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1" w:lineRule="exact"/>
        <w:rPr>
          <w:sz w:val="24"/>
          <w:szCs w:val="24"/>
          <w:color w:val="auto"/>
        </w:rPr>
      </w:pPr>
    </w:p>
    <w:p>
      <w:pPr>
        <w:ind w:left="424" w:right="40" w:hanging="424"/>
        <w:spacing w:after="0" w:line="262" w:lineRule="auto"/>
        <w:tabs>
          <w:tab w:leader="none" w:pos="42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4"/>
          </w:cols>
          <w:pgMar w:left="436" w:top="376" w:right="479" w:bottom="1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26-1679911</w:t>
      </w:r>
    </w:p>
    <w:p>
      <w:pPr>
        <w:spacing w:after="0" w:line="24" w:lineRule="exact"/>
        <w:rPr>
          <w:sz w:val="24"/>
          <w:szCs w:val="24"/>
          <w:color w:val="auto"/>
        </w:rPr>
      </w:pPr>
    </w:p>
    <w:p>
      <w:pPr>
        <w:sectPr>
          <w:pgSz w:w="11900" w:h="16838" w:orient="portrait"/>
          <w:cols w:equalWidth="0" w:num="2">
            <w:col w:w="7184" w:space="720"/>
            <w:col w:w="3080"/>
          </w:cols>
          <w:pgMar w:left="436" w:top="376" w:right="479" w:bottom="10" w:gutter="0" w:footer="0" w:header="0"/>
          <w:type w:val="continuous"/>
        </w:sectPr>
      </w:pPr>
    </w:p>
    <w:p>
      <w:pPr>
        <w:ind w:left="188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4" w:space="720"/>
            <w:col w:w="3200"/>
          </w:cols>
          <w:pgMar w:left="436" w:top="376" w:right="479" w:bottom="10" w:gutter="0" w:footer="0" w:header="0"/>
          <w:type w:val="continuous"/>
        </w:sectPr>
      </w:pPr>
    </w:p>
    <w:p>
      <w:pPr>
        <w:spacing w:after="0" w:line="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31"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0984"/>
          </w:cols>
          <w:pgMar w:left="436" w:top="376" w:right="479" w:bottom="10" w:gutter="0" w:footer="0" w:header="0"/>
          <w:type w:val="continuous"/>
        </w:sectPr>
      </w:pPr>
    </w:p>
    <w:p>
      <w:pPr>
        <w:spacing w:after="0" w:line="1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243-5555</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200" w:type="dxa"/>
            <w:vAlign w:val="bottom"/>
            <w:gridSpan w:val="2"/>
          </w:tcPr>
          <w:p>
            <w:pPr>
              <w:jc w:val="center"/>
              <w:ind w:right="167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4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87"/>
        </w:trPr>
        <w:tc>
          <w:tcPr>
            <w:tcW w:w="1140" w:type="dxa"/>
            <w:vAlign w:val="bottom"/>
          </w:tcPr>
          <w:p>
            <w:pPr>
              <w:spacing w:after="0"/>
              <w:rPr>
                <w:sz w:val="16"/>
                <w:szCs w:val="16"/>
                <w:color w:val="auto"/>
              </w:rPr>
            </w:pPr>
          </w:p>
        </w:tc>
        <w:tc>
          <w:tcPr>
            <w:tcW w:w="3200" w:type="dxa"/>
            <w:vAlign w:val="bottom"/>
            <w:gridSpan w:val="2"/>
          </w:tcPr>
          <w:p>
            <w:pPr>
              <w:jc w:val="center"/>
              <w:ind w:right="1670"/>
              <w:spacing w:after="0"/>
              <w:rPr>
                <w:sz w:val="20"/>
                <w:szCs w:val="20"/>
                <w:color w:val="auto"/>
              </w:rPr>
            </w:pPr>
            <w:r>
              <w:rPr>
                <w:rFonts w:ascii="Times New Roman" w:cs="Times New Roman" w:eastAsia="Times New Roman" w:hAnsi="Times New Roman"/>
                <w:sz w:val="14"/>
                <w:szCs w:val="14"/>
                <w:b w:val="1"/>
                <w:bCs w:val="1"/>
                <w:color w:val="auto"/>
              </w:rPr>
              <w:t>of Securities Registered</w:t>
            </w:r>
          </w:p>
        </w:tc>
        <w:tc>
          <w:tcPr>
            <w:tcW w:w="1040" w:type="dxa"/>
            <w:vAlign w:val="bottom"/>
          </w:tcPr>
          <w:p>
            <w:pPr>
              <w:spacing w:after="0"/>
              <w:rPr>
                <w:sz w:val="16"/>
                <w:szCs w:val="16"/>
                <w:color w:val="auto"/>
              </w:rPr>
            </w:pPr>
          </w:p>
        </w:tc>
        <w:tc>
          <w:tcPr>
            <w:tcW w:w="2600" w:type="dxa"/>
            <w:vAlign w:val="bottom"/>
            <w:gridSpan w:val="3"/>
          </w:tcPr>
          <w:p>
            <w:pPr>
              <w:jc w:val="center"/>
              <w:ind w:right="2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0"/>
        </w:trPr>
        <w:tc>
          <w:tcPr>
            <w:tcW w:w="1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2"/>
        </w:trPr>
        <w:tc>
          <w:tcPr>
            <w:tcW w:w="434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40" w:type="dxa"/>
            <w:vAlign w:val="bottom"/>
          </w:tcPr>
          <w:p>
            <w:pPr>
              <w:spacing w:after="0"/>
              <w:rPr>
                <w:sz w:val="20"/>
                <w:szCs w:val="20"/>
                <w:color w:val="auto"/>
              </w:rPr>
            </w:pPr>
          </w:p>
        </w:tc>
        <w:tc>
          <w:tcPr>
            <w:tcW w:w="260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NGM</w:t>
            </w: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42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6"/>
        </w:trPr>
        <w:tc>
          <w:tcPr>
            <w:tcW w:w="92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124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9220" w:type="dxa"/>
            <w:vAlign w:val="bottom"/>
            <w:gridSpan w:val="9"/>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p>
        </w:tc>
        <w:tc>
          <w:tcPr>
            <w:tcW w:w="1240" w:type="dxa"/>
            <w:vAlign w:val="bottom"/>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8" w:lineRule="exact"/>
        <w:rPr>
          <w:sz w:val="24"/>
          <w:szCs w:val="24"/>
          <w:color w:val="auto"/>
        </w:rPr>
      </w:pPr>
    </w:p>
    <w:p>
      <w:pPr>
        <w:ind w:left="4"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4"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left="4" w:right="2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0984"/>
          </w:cols>
          <w:pgMar w:left="436" w:top="376" w:right="479" w:bottom="10" w:gutter="0" w:footer="0" w:header="0"/>
          <w:type w:val="continuous"/>
        </w:sectPr>
      </w:pPr>
    </w:p>
    <w:bookmarkStart w:id="1" w:name="page2"/>
    <w:bookmarkEnd w:id="1"/>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9" w:lineRule="exact"/>
        <w:rPr>
          <w:sz w:val="20"/>
          <w:szCs w:val="20"/>
          <w:color w:val="auto"/>
        </w:rPr>
      </w:pPr>
    </w:p>
    <w:p>
      <w:pPr>
        <w:ind w:right="4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1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as of June 30, 2022, the last business day of the registrant’s most recently completed second fiscal quarter, was approximately $699 million, calculated based on the closing price of the registrant’s common stock as reported by the Nasdaq Global Select Market. Excludes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22, 2023, the number of outstanding shares of the registrant’s common stock, par value $0.001 per share, was 82,046,499.</w:t>
      </w:r>
    </w:p>
    <w:p>
      <w:pPr>
        <w:sectPr>
          <w:pgSz w:w="11900" w:h="16838" w:orient="portrait"/>
          <w:cols w:equalWidth="0" w:num="1">
            <w:col w:w="10920"/>
          </w:cols>
          <w:pgMar w:left="440" w:top="121" w:right="5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Firm ID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PCAOB ID No. 42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Name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Ernst &amp; Young LLP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Location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00" w:lineRule="exact"/>
        <w:rPr>
          <w:sz w:val="20"/>
          <w:szCs w:val="20"/>
          <w:color w:val="auto"/>
        </w:rPr>
      </w:pPr>
    </w:p>
    <w:p>
      <w:pPr>
        <w:sectPr>
          <w:pgSz w:w="11900" w:h="16838" w:orient="portrait"/>
          <w:cols w:equalWidth="0" w:num="3">
            <w:col w:w="3260" w:space="720"/>
            <w:col w:w="2920" w:space="720"/>
            <w:col w:w="3300"/>
          </w:cols>
          <w:pgMar w:left="440" w:top="121" w:right="539" w:bottom="1440" w:gutter="0" w:footer="0" w:header="0"/>
          <w:type w:val="continuous"/>
        </w:sectPr>
      </w:pP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2023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121" w:right="5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NGM Biopharmaceuticals, Inc. (the “Company”) is filing this Amendment No. 1 (this “Amendment”) to its Annual Report on Form 10-K for the fiscal year ended December 31, 2022, as filed with the Securities and Exchange Commission (the “SEC”) on February 28, 2023 (the “Original Filing”) to correct an inadvertent error that was included in Exhibit 31.2 to the Original Filing. In the version of Exhibit 31.2 filed with the Original Filing, the phrase “and internal control over financial reporting (as defined in Exchange Act Rules 13a-15(f) and 15d-15(f))” was inadvertently omitted from the introductory language in Section 4 of such exhibit. The Company is filing this Amendment solely for the purpose of correcting the text of the certification contained in Exhibit 31.2 of the Original Filing.</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 attempt has been made in this Amendment to otherwise modify or update the other disclosures presented in the Original Filing. This Amendment does not reflect events occurring after the Original Filing (i.e., those events occurring after February 28, 2023) or modify or update those disclosures that may be affected by subsequent events. Such subsequent matters are addressed in subsequent reports filed with the SEC. Accordingly, this Amendment should be read in conjunction with the Original Filing and the Company’s other filings with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Consolidated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Amendment.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29"/>
        </w:trPr>
        <w:tc>
          <w:tcPr>
            <w:tcW w:w="780" w:type="dxa"/>
            <w:vAlign w:val="bottom"/>
            <w:vMerge w:val="continue"/>
          </w:tcPr>
          <w:p>
            <w:pPr>
              <w:spacing w:after="0"/>
              <w:rPr>
                <w:sz w:val="11"/>
                <w:szCs w:val="11"/>
                <w:color w:val="auto"/>
              </w:rPr>
            </w:pPr>
          </w:p>
        </w:tc>
        <w:tc>
          <w:tcPr>
            <w:tcW w:w="8040" w:type="dxa"/>
            <w:vAlign w:val="bottom"/>
            <w:gridSpan w:val="4"/>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vMerge w:val="restart"/>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File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4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Form   No.</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Date</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 13a-14(a)/15d-14(a), as adopted pursuant to</w:t>
            </w: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140" w:type="dxa"/>
            <w:vAlign w:val="bottom"/>
            <w:tcBorders>
              <w:top w:val="single" w:sz="8" w:color="0000EE"/>
            </w:tcBorders>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5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13a-14(a)/15d-14(a), as adopted pursuant to</w:t>
            </w:r>
          </w:p>
        </w:tc>
        <w:tc>
          <w:tcPr>
            <w:tcW w:w="60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70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Siobhan Nolan Mangini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President and Chief Financial Officer</w:t>
      </w:r>
    </w:p>
    <w:p>
      <w:pPr>
        <w:sectPr>
          <w:pgSz w:w="11900" w:h="16838" w:orient="portrait"/>
          <w:cols w:equalWidth="0" w:num="1">
            <w:col w:w="10800"/>
          </w:cols>
          <w:pgMar w:left="440" w:top="293"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David J. Woodhouse, certify that:</w:t>
      </w:r>
    </w:p>
    <w:p>
      <w:pPr>
        <w:spacing w:after="0" w:line="131"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NGM Biopharmaceuticals,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52" w:lineRule="exact"/>
        <w:rPr>
          <w:sz w:val="20"/>
          <w:szCs w:val="20"/>
          <w:color w:val="auto"/>
        </w:rPr>
      </w:pPr>
    </w:p>
    <w:p>
      <w:pPr>
        <w:ind w:left="6624"/>
        <w:spacing w:after="0"/>
        <w:tabs>
          <w:tab w:leader="none" w:pos="788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ectPr>
          <w:pgSz w:w="11900" w:h="16838" w:orient="portrait"/>
          <w:cols w:equalWidth="0" w:num="1">
            <w:col w:w="11024"/>
          </w:cols>
          <w:pgMar w:left="436"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Siobhan Nolan Mangini, certify that:</w:t>
      </w:r>
    </w:p>
    <w:p>
      <w:pPr>
        <w:spacing w:after="0" w:line="131"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NGM Biopharmaceuticals,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130"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252" w:lineRule="exact"/>
        <w:rPr>
          <w:sz w:val="20"/>
          <w:szCs w:val="20"/>
          <w:color w:val="auto"/>
        </w:rPr>
      </w:pPr>
    </w:p>
    <w:p>
      <w:pPr>
        <w:ind w:left="6624"/>
        <w:spacing w:after="0"/>
        <w:tabs>
          <w:tab w:leader="none" w:pos="800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Siobhan Nolan Mangini</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2023-03-01T08:21:24Z</dcterms:created>
  <dcterms:modified xsi:type="dcterms:W3CDTF">2023-03-01T08:21:24Z</dcterms:modified>
</cp:coreProperties>
</file>