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0001426332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NGM BIOPHARMACEUTICALS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630 GATEWAY BOULEVARD</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SOUTH SAN FRANCISCO 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94080</w:t>
      </w:r>
      <w:r>
        <w:rPr>
          <w:sz w:val="20"/>
          <w:szCs w:val="20"/>
          <w:color w:val="auto"/>
        </w:rPr>
        <w:tab/>
      </w:r>
      <w:r>
        <w:rPr>
          <w:rFonts w:ascii="Arial" w:cs="Arial" w:eastAsia="Arial" w:hAnsi="Arial"/>
          <w:sz w:val="22"/>
          <w:szCs w:val="22"/>
          <w:color w:val="auto"/>
        </w:rPr>
        <w:t>650-243-5555</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Chen</w:t>
            </w:r>
          </w:p>
        </w:tc>
        <w:tc>
          <w:tcPr>
            <w:tcW w:w="1020" w:type="dxa"/>
            <w:vAlign w:val="bottom"/>
          </w:tcPr>
          <w:p>
            <w:pPr>
              <w:ind w:left="200"/>
              <w:spacing w:after="0"/>
              <w:rPr>
                <w:sz w:val="20"/>
                <w:szCs w:val="20"/>
                <w:color w:val="auto"/>
              </w:rPr>
            </w:pPr>
            <w:r>
              <w:rPr>
                <w:rFonts w:ascii="Arial" w:cs="Arial" w:eastAsia="Arial" w:hAnsi="Arial"/>
                <w:sz w:val="22"/>
                <w:szCs w:val="22"/>
                <w:color w:val="auto"/>
                <w:w w:val="94"/>
              </w:rPr>
              <w:t>Jin-Long</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6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Rieflin</w:t>
            </w:r>
          </w:p>
        </w:tc>
        <w:tc>
          <w:tcPr>
            <w:tcW w:w="1020" w:type="dxa"/>
            <w:vAlign w:val="bottom"/>
          </w:tcPr>
          <w:p>
            <w:pPr>
              <w:ind w:left="200"/>
              <w:spacing w:after="0"/>
              <w:rPr>
                <w:sz w:val="20"/>
                <w:szCs w:val="20"/>
                <w:color w:val="auto"/>
              </w:rPr>
            </w:pPr>
            <w:r>
              <w:rPr>
                <w:rFonts w:ascii="Arial" w:cs="Arial" w:eastAsia="Arial" w:hAnsi="Arial"/>
                <w:sz w:val="22"/>
                <w:szCs w:val="22"/>
                <w:color w:val="auto"/>
              </w:rPr>
              <w:t>William</w:t>
            </w:r>
          </w:p>
        </w:tc>
        <w:tc>
          <w:tcPr>
            <w:tcW w:w="226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60" w:type="dxa"/>
            <w:vAlign w:val="bottom"/>
          </w:tcPr>
          <w:p>
            <w:pPr>
              <w:jc w:val="center"/>
              <w:ind w:right="4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4880" w:type="dxa"/>
            <w:vAlign w:val="bottom"/>
          </w:tcPr>
          <w:p>
            <w:pPr>
              <w:spacing w:after="0"/>
              <w:rPr>
                <w:sz w:val="24"/>
                <w:szCs w:val="24"/>
                <w:color w:val="auto"/>
              </w:rPr>
            </w:pPr>
          </w:p>
        </w:tc>
      </w:tr>
      <w:tr>
        <w:trPr>
          <w:trHeight w:val="297"/>
        </w:trPr>
        <w:tc>
          <w:tcPr>
            <w:tcW w:w="3260" w:type="dxa"/>
            <w:vAlign w:val="bottom"/>
          </w:tcPr>
          <w:p>
            <w:pPr>
              <w:jc w:val="center"/>
              <w:ind w:left="72"/>
              <w:spacing w:after="0"/>
              <w:rPr>
                <w:sz w:val="20"/>
                <w:szCs w:val="20"/>
                <w:color w:val="auto"/>
              </w:rPr>
            </w:pPr>
            <w:r>
              <w:rPr>
                <w:rFonts w:ascii="Arial" w:cs="Arial" w:eastAsia="Arial" w:hAnsi="Arial"/>
                <w:sz w:val="22"/>
                <w:szCs w:val="22"/>
                <w:b w:val="1"/>
                <w:bCs w:val="1"/>
                <w:color w:val="auto"/>
                <w:w w:val="96"/>
              </w:rPr>
              <w:t>City</w:t>
            </w:r>
          </w:p>
        </w:tc>
        <w:tc>
          <w:tcPr>
            <w:tcW w:w="328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60" w:type="dxa"/>
            <w:vAlign w:val="bottom"/>
          </w:tcPr>
          <w:p>
            <w:pPr>
              <w:ind w:left="40"/>
              <w:spacing w:after="0"/>
              <w:rPr>
                <w:sz w:val="20"/>
                <w:szCs w:val="20"/>
                <w:color w:val="auto"/>
              </w:rPr>
            </w:pPr>
            <w:r>
              <w:rPr>
                <w:rFonts w:ascii="Arial" w:cs="Arial" w:eastAsia="Arial" w:hAnsi="Arial"/>
                <w:sz w:val="22"/>
                <w:szCs w:val="22"/>
                <w:color w:val="auto"/>
              </w:rPr>
              <w:t>South San Francisco</w:t>
            </w:r>
          </w:p>
        </w:tc>
        <w:tc>
          <w:tcPr>
            <w:tcW w:w="328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94080</w:t>
            </w:r>
          </w:p>
        </w:tc>
      </w:tr>
      <w:tr>
        <w:trPr>
          <w:trHeight w:val="324"/>
        </w:trPr>
        <w:tc>
          <w:tcPr>
            <w:tcW w:w="428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226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Goeddel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ind w:left="460"/>
              <w:spacing w:after="0"/>
              <w:rPr>
                <w:sz w:val="20"/>
                <w:szCs w:val="20"/>
                <w:color w:val="auto"/>
              </w:rPr>
            </w:pPr>
            <w:r>
              <w:rPr>
                <w:rFonts w:ascii="Arial" w:cs="Arial" w:eastAsia="Arial" w:hAnsi="Arial"/>
                <w:sz w:val="22"/>
                <w:szCs w:val="22"/>
                <w:color w:val="auto"/>
              </w:rPr>
              <w:t>V.</w:t>
            </w: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Leschly</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Mark</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Rho Ventures</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w w:val="95"/>
              </w:rPr>
              <w:t>525 University Ave., Suite 1350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Schnell</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w w:val="99"/>
              </w:rPr>
              <w:t>David</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Prospect Ventures, L.P.</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435 Tasso St., 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Palo Alto</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94301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Svennilson</w:t>
            </w:r>
          </w:p>
        </w:tc>
        <w:tc>
          <w:tcPr>
            <w:tcW w:w="186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Arial" w:cs="Arial" w:eastAsia="Arial" w:hAnsi="Arial"/>
                <w:sz w:val="22"/>
                <w:szCs w:val="22"/>
                <w:color w:val="auto"/>
              </w:rPr>
              <w:t>Peter</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w w:val="96"/>
              </w:rPr>
              <w:t>c/o NGM Biopharmaceuticals, Inc.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630 Gateway Boulevard</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South San Francisco</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CALIFORNIA</w:t>
            </w:r>
          </w:p>
        </w:tc>
        <w:tc>
          <w:tcPr>
            <w:tcW w:w="5020" w:type="dxa"/>
            <w:vAlign w:val="bottom"/>
          </w:tcPr>
          <w:p>
            <w:pPr>
              <w:ind w:left="460"/>
              <w:spacing w:after="0"/>
              <w:rPr>
                <w:sz w:val="20"/>
                <w:szCs w:val="20"/>
                <w:color w:val="auto"/>
              </w:rPr>
            </w:pPr>
            <w:r>
              <w:rPr>
                <w:rFonts w:ascii="Arial" w:cs="Arial" w:eastAsia="Arial" w:hAnsi="Arial"/>
                <w:sz w:val="22"/>
                <w:szCs w:val="22"/>
                <w:color w:val="auto"/>
              </w:rPr>
              <w:t>94080</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Tichenor, Jr.</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McHenry</w:t>
            </w:r>
          </w:p>
        </w:tc>
        <w:tc>
          <w:tcPr>
            <w:tcW w:w="5020" w:type="dxa"/>
            <w:vAlign w:val="bottom"/>
          </w:tcPr>
          <w:p>
            <w:pPr>
              <w:ind w:left="460"/>
              <w:spacing w:after="0"/>
              <w:rPr>
                <w:sz w:val="20"/>
                <w:szCs w:val="20"/>
                <w:color w:val="auto"/>
              </w:rPr>
            </w:pPr>
            <w:r>
              <w:rPr>
                <w:rFonts w:ascii="Arial" w:cs="Arial" w:eastAsia="Arial" w:hAnsi="Arial"/>
                <w:sz w:val="22"/>
                <w:szCs w:val="22"/>
                <w:color w:val="auto"/>
              </w:rPr>
              <w:t>T.</w:t>
            </w:r>
          </w:p>
        </w:tc>
        <w:tc>
          <w:tcPr>
            <w:tcW w:w="0" w:type="dxa"/>
            <w:vAlign w:val="bottom"/>
          </w:tcPr>
          <w:p>
            <w:pPr>
              <w:spacing w:after="0"/>
              <w:rPr>
                <w:sz w:val="1"/>
                <w:szCs w:val="1"/>
                <w:color w:val="auto"/>
              </w:rPr>
            </w:pPr>
          </w:p>
        </w:tc>
      </w:tr>
      <w:tr>
        <w:trPr>
          <w:trHeight w:val="297"/>
        </w:trPr>
        <w:tc>
          <w:tcPr>
            <w:tcW w:w="3260" w:type="dxa"/>
            <w:vAlign w:val="bottom"/>
            <w:gridSpan w:val="2"/>
          </w:tcPr>
          <w:p>
            <w:pPr>
              <w:jc w:val="center"/>
              <w:ind w:left="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60" w:type="dxa"/>
            <w:vAlign w:val="bottom"/>
            <w:gridSpan w:val="2"/>
          </w:tcPr>
          <w:p>
            <w:pPr>
              <w:ind w:left="40"/>
              <w:spacing w:after="0"/>
              <w:rPr>
                <w:sz w:val="20"/>
                <w:szCs w:val="20"/>
                <w:color w:val="auto"/>
              </w:rPr>
            </w:pPr>
            <w:r>
              <w:rPr>
                <w:rFonts w:ascii="Arial" w:cs="Arial" w:eastAsia="Arial" w:hAnsi="Arial"/>
                <w:sz w:val="22"/>
                <w:szCs w:val="22"/>
                <w:color w:val="auto"/>
              </w:rPr>
              <w:t>c/o Tichenor Ventures, LLC</w:t>
            </w: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w w:val="98"/>
              </w:rPr>
              <w:t>100 Crescent Court, Suite 700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60" w:type="dxa"/>
            <w:vAlign w:val="bottom"/>
          </w:tcPr>
          <w:p>
            <w:pPr>
              <w:jc w:val="center"/>
              <w:ind w:right="111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Dallas</w:t>
            </w:r>
          </w:p>
        </w:tc>
        <w:tc>
          <w:tcPr>
            <w:tcW w:w="1860" w:type="dxa"/>
            <w:vAlign w:val="bottom"/>
          </w:tcPr>
          <w:p>
            <w:pPr>
              <w:spacing w:after="0"/>
              <w:rPr>
                <w:sz w:val="24"/>
                <w:szCs w:val="24"/>
                <w:color w:val="auto"/>
              </w:rPr>
            </w:pPr>
          </w:p>
        </w:tc>
        <w:tc>
          <w:tcPr>
            <w:tcW w:w="3140" w:type="dxa"/>
            <w:vAlign w:val="bottom"/>
            <w:gridSpan w:val="2"/>
          </w:tcPr>
          <w:p>
            <w:pPr>
              <w:ind w:left="200"/>
              <w:spacing w:after="0"/>
              <w:rPr>
                <w:sz w:val="20"/>
                <w:szCs w:val="20"/>
                <w:color w:val="auto"/>
              </w:rPr>
            </w:pPr>
            <w:r>
              <w:rPr>
                <w:rFonts w:ascii="Arial" w:cs="Arial" w:eastAsia="Arial" w:hAnsi="Arial"/>
                <w:sz w:val="22"/>
                <w:szCs w:val="22"/>
                <w:color w:val="auto"/>
              </w:rPr>
              <w:t>TEXAS</w:t>
            </w:r>
          </w:p>
        </w:tc>
        <w:tc>
          <w:tcPr>
            <w:tcW w:w="5020" w:type="dxa"/>
            <w:vAlign w:val="bottom"/>
          </w:tcPr>
          <w:p>
            <w:pPr>
              <w:ind w:left="460"/>
              <w:spacing w:after="0"/>
              <w:rPr>
                <w:sz w:val="20"/>
                <w:szCs w:val="20"/>
                <w:color w:val="auto"/>
              </w:rPr>
            </w:pPr>
            <w:r>
              <w:rPr>
                <w:rFonts w:ascii="Arial" w:cs="Arial" w:eastAsia="Arial" w:hAnsi="Arial"/>
                <w:sz w:val="22"/>
                <w:szCs w:val="22"/>
                <w:color w:val="auto"/>
              </w:rPr>
              <w:t>75201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60" w:type="dxa"/>
            <w:vAlign w:val="bottom"/>
            <w:tcBorders>
              <w:bottom w:val="single" w:sz="8" w:color="9A9A9A"/>
            </w:tcBorders>
            <w:gridSpan w:val="2"/>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6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60" w:type="dxa"/>
            <w:vAlign w:val="bottom"/>
          </w:tcPr>
          <w:p>
            <w:pPr>
              <w:spacing w:after="0"/>
              <w:rPr>
                <w:sz w:val="24"/>
                <w:szCs w:val="24"/>
                <w:color w:val="auto"/>
              </w:rPr>
            </w:pPr>
          </w:p>
        </w:tc>
        <w:tc>
          <w:tcPr>
            <w:tcW w:w="3140" w:type="dxa"/>
            <w:vAlign w:val="bottom"/>
            <w:gridSpan w:val="2"/>
          </w:tcPr>
          <w:p>
            <w:pPr>
              <w:ind w:left="68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6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3140" w:type="dxa"/>
            <w:vAlign w:val="bottom"/>
            <w:gridSpan w:val="2"/>
          </w:tcPr>
          <w:p>
            <w:pPr>
              <w:ind w:left="720"/>
              <w:spacing w:after="0"/>
              <w:rPr>
                <w:sz w:val="20"/>
                <w:szCs w:val="20"/>
                <w:color w:val="auto"/>
              </w:rPr>
            </w:pPr>
            <w:r>
              <w:rPr>
                <w:rFonts w:ascii="Arial" w:cs="Arial" w:eastAsia="Arial" w:hAnsi="Arial"/>
                <w:sz w:val="22"/>
                <w:szCs w:val="22"/>
                <w:color w:val="auto"/>
              </w:rPr>
              <w:t>X 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6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7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6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2015-03-20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ind w:left="260" w:right="4740" w:hanging="211"/>
        <w:spacing w:after="0" w:line="326" w:lineRule="auto"/>
        <w:tabs>
          <w:tab w:leader="none" w:pos="260" w:val="left"/>
        </w:tabs>
        <w:numPr>
          <w:ilvl w:val="0"/>
          <w:numId w:val="2"/>
        </w:numPr>
        <w:rPr>
          <w:rFonts w:ascii="Arial" w:cs="Arial" w:eastAsia="Arial" w:hAnsi="Arial"/>
          <w:sz w:val="19"/>
          <w:szCs w:val="19"/>
          <w:color w:val="auto"/>
        </w:rPr>
      </w:pPr>
      <w:r>
        <w:rPr>
          <w:rFonts w:ascii="Arial" w:cs="Arial" w:eastAsia="Arial" w:hAnsi="Arial"/>
          <w:sz w:val="19"/>
          <w:szCs w:val="19"/>
          <w:color w:val="auto"/>
        </w:rPr>
        <w:t>Equity Debt</w:t>
      </w:r>
    </w:p>
    <w:p>
      <w:pPr>
        <w:spacing w:after="0" w:line="1" w:lineRule="exact"/>
        <w:rPr>
          <w:rFonts w:ascii="Arial" w:cs="Arial" w:eastAsia="Arial" w:hAnsi="Arial"/>
          <w:sz w:val="19"/>
          <w:szCs w:val="19"/>
          <w:color w:val="auto"/>
        </w:rPr>
      </w:pP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Arial" w:cs="Arial" w:eastAsia="Arial" w:hAnsi="Arial"/>
          <w:sz w:val="22"/>
          <w:szCs w:val="22"/>
          <w:color w:val="auto"/>
        </w:rPr>
        <w:t>Pooled Investment Fund Interests</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Tenant-in-Common Securities</w:t>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Mineral Property Securities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80"/>
        <w:spacing w:after="0" w:line="328" w:lineRule="auto"/>
        <w:rPr>
          <w:sz w:val="20"/>
          <w:szCs w:val="20"/>
          <w:color w:val="auto"/>
        </w:rPr>
      </w:pPr>
      <w:r>
        <w:rPr>
          <w:rFonts w:ascii="Arial" w:cs="Arial" w:eastAsia="Arial" w:hAnsi="Arial"/>
          <w:sz w:val="19"/>
          <w:szCs w:val="19"/>
          <w:color w:val="auto"/>
        </w:rPr>
        <w:t>Sale and issuance of Series E preferred stock and the underlying shares of common stock issuable upon conversion thereof.</w:t>
      </w:r>
    </w:p>
    <w:p>
      <w:pPr>
        <w:spacing w:after="0" w:line="146" w:lineRule="exact"/>
        <w:rPr>
          <w:sz w:val="20"/>
          <w:szCs w:val="20"/>
          <w:color w:val="auto"/>
        </w:rPr>
      </w:pPr>
    </w:p>
    <w:p>
      <w:pPr>
        <w:sectPr>
          <w:pgSz w:w="11900" w:h="16838" w:orient="portrait"/>
          <w:cols w:equalWidth="0" w:num="2">
            <w:col w:w="5580" w:space="160"/>
            <w:col w:w="5640"/>
          </w:cols>
          <w:pgMar w:left="240" w:top="118" w:right="279" w:bottom="0" w:gutter="0" w:footer="0" w:header="0"/>
        </w:sectPr>
      </w:pPr>
    </w:p>
    <w:tbl>
      <w:tblPr>
        <w:tblLayout w:type="fixed"/>
        <w:tblInd w:w="0" w:type="dxa"/>
        <w:tblCellMar>
          <w:top w:w="0" w:type="dxa"/>
          <w:left w:w="0" w:type="dxa"/>
          <w:bottom w:w="0" w:type="dxa"/>
          <w:right w:w="0" w:type="dxa"/>
        </w:tblCellMar>
      </w:tblPr>
      <w:tr>
        <w:trPr>
          <w:trHeight w:val="275"/>
        </w:trPr>
        <w:tc>
          <w:tcPr>
            <w:tcW w:w="420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6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8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60" w:type="dxa"/>
            <w:vAlign w:val="bottom"/>
          </w:tcPr>
          <w:p>
            <w:pPr>
              <w:spacing w:after="0"/>
              <w:rPr>
                <w:sz w:val="24"/>
                <w:szCs w:val="24"/>
                <w:color w:val="auto"/>
              </w:rPr>
            </w:pPr>
          </w:p>
        </w:tc>
        <w:tc>
          <w:tcPr>
            <w:tcW w:w="5340" w:type="dxa"/>
            <w:vAlign w:val="bottom"/>
            <w:gridSpan w:val="2"/>
          </w:tcPr>
          <w:p>
            <w:pPr>
              <w:ind w:left="6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60" w:type="dxa"/>
            <w:vAlign w:val="bottom"/>
          </w:tcPr>
          <w:p>
            <w:pPr>
              <w:spacing w:after="0"/>
              <w:rPr>
                <w:sz w:val="24"/>
                <w:szCs w:val="24"/>
                <w:color w:val="auto"/>
              </w:rPr>
            </w:pPr>
          </w:p>
        </w:tc>
        <w:tc>
          <w:tcPr>
            <w:tcW w:w="5340" w:type="dxa"/>
            <w:vAlign w:val="bottom"/>
            <w:gridSpan w:val="2"/>
          </w:tcPr>
          <w:p>
            <w:pPr>
              <w:ind w:left="22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60" w:type="dxa"/>
            <w:vAlign w:val="bottom"/>
          </w:tcPr>
          <w:p>
            <w:pPr>
              <w:ind w:left="64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200" w:type="dxa"/>
            <w:vAlign w:val="bottom"/>
            <w:gridSpan w:val="2"/>
          </w:tcPr>
          <w:p>
            <w:pPr>
              <w:ind w:left="80"/>
              <w:spacing w:after="0"/>
              <w:rPr>
                <w:sz w:val="20"/>
                <w:szCs w:val="20"/>
                <w:color w:val="auto"/>
              </w:rPr>
            </w:pPr>
            <w:r>
              <w:rPr>
                <w:rFonts w:ascii="Arial" w:cs="Arial" w:eastAsia="Arial" w:hAnsi="Arial"/>
                <w:sz w:val="22"/>
                <w:szCs w:val="22"/>
                <w:color w:val="auto"/>
                <w:w w:val="97"/>
              </w:rPr>
              <w:t>State(s) of Solicitation (select all that apply)</w:t>
            </w:r>
          </w:p>
        </w:tc>
        <w:tc>
          <w:tcPr>
            <w:tcW w:w="3920" w:type="dxa"/>
            <w:vAlign w:val="bottom"/>
            <w:gridSpan w:val="2"/>
            <w:vMerge w:val="restart"/>
          </w:tcPr>
          <w:p>
            <w:pPr>
              <w:ind w:left="4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392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2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2100" w:type="dxa"/>
            <w:vAlign w:val="bottom"/>
            <w:gridSpan w:val="2"/>
          </w:tcPr>
          <w:p>
            <w:pPr>
              <w:ind w:left="20"/>
              <w:spacing w:after="0"/>
              <w:rPr>
                <w:sz w:val="20"/>
                <w:szCs w:val="20"/>
                <w:color w:val="auto"/>
              </w:rPr>
            </w:pPr>
            <w:r>
              <w:rPr>
                <w:rFonts w:ascii="Arial" w:cs="Arial" w:eastAsia="Arial" w:hAnsi="Arial"/>
                <w:sz w:val="22"/>
                <w:szCs w:val="22"/>
                <w:color w:val="auto"/>
                <w:w w:val="96"/>
              </w:rPr>
              <w:t>$105,999,996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740" w:type="dxa"/>
            <w:vAlign w:val="bottom"/>
          </w:tcPr>
          <w:p>
            <w:pPr>
              <w:ind w:left="20"/>
              <w:spacing w:after="0"/>
              <w:rPr>
                <w:sz w:val="20"/>
                <w:szCs w:val="20"/>
                <w:color w:val="auto"/>
              </w:rPr>
            </w:pPr>
            <w:r>
              <w:rPr>
                <w:rFonts w:ascii="Arial" w:cs="Arial" w:eastAsia="Arial" w:hAnsi="Arial"/>
                <w:sz w:val="22"/>
                <w:szCs w:val="22"/>
                <w:color w:val="auto"/>
                <w:w w:val="90"/>
              </w:rPr>
              <w:t>$105,999,996 USD</w:t>
            </w:r>
          </w:p>
        </w:tc>
        <w:tc>
          <w:tcPr>
            <w:tcW w:w="3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2100" w:type="dxa"/>
            <w:vAlign w:val="bottom"/>
            <w:gridSpan w:val="2"/>
          </w:tcPr>
          <w:p>
            <w:pPr>
              <w:ind w:left="1000"/>
              <w:spacing w:after="0"/>
              <w:rPr>
                <w:sz w:val="20"/>
                <w:szCs w:val="20"/>
                <w:color w:val="auto"/>
              </w:rPr>
            </w:pPr>
            <w:r>
              <w:rPr>
                <w:rFonts w:ascii="Arial" w:cs="Arial" w:eastAsia="Arial" w:hAnsi="Arial"/>
                <w:sz w:val="22"/>
                <w:szCs w:val="22"/>
                <w:color w:val="auto"/>
              </w:rPr>
              <w:t>$0 USD or</w:t>
            </w:r>
          </w:p>
        </w:tc>
        <w:tc>
          <w:tcPr>
            <w:tcW w:w="3560" w:type="dxa"/>
            <w:vAlign w:val="bottom"/>
          </w:tcPr>
          <w:p>
            <w:pPr>
              <w:ind w:left="10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4620" w:type="dxa"/>
            <w:vAlign w:val="bottom"/>
            <w:tcBorders>
              <w:top w:val="single" w:sz="8" w:color="2C2C2C"/>
              <w:bottom w:val="single" w:sz="8" w:color="808080"/>
            </w:tcBorders>
          </w:tcPr>
          <w:p>
            <w:pPr>
              <w:ind w:left="202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62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4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NGM BIOPHARMACEUTICALS INC</w:t>
            </w:r>
          </w:p>
        </w:tc>
        <w:tc>
          <w:tcPr>
            <w:tcW w:w="2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/s/Barbara Kosacz</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Barbara Kosacz</w:t>
            </w:r>
          </w:p>
        </w:tc>
        <w:tc>
          <w:tcPr>
            <w:tcW w:w="20" w:type="dxa"/>
            <w:vAlign w:val="bottom"/>
          </w:tcPr>
          <w:p>
            <w:pPr>
              <w:spacing w:after="0"/>
              <w:rPr>
                <w:sz w:val="22"/>
                <w:szCs w:val="22"/>
                <w:color w:val="auto"/>
              </w:rPr>
            </w:pPr>
          </w:p>
        </w:tc>
        <w:tc>
          <w:tcPr>
            <w:tcW w:w="1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2015-03-25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4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2019-12-08T21:32:45Z</dcterms:created>
  <dcterms:modified xsi:type="dcterms:W3CDTF">2019-12-08T21:32:45Z</dcterms:modified>
</cp:coreProperties>
</file>