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3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COLUMN GROUP L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60"/>
        <w:spacing w:after="0" w:line="387" w:lineRule="auto"/>
        <w:rPr>
          <w:sz w:val="20"/>
          <w:szCs w:val="20"/>
          <w:color w:val="auto"/>
        </w:rPr>
      </w:pPr>
      <w:r>
        <w:rPr>
          <w:rFonts w:ascii="Arial" w:cs="Arial" w:eastAsia="Arial" w:hAnsi="Arial"/>
          <w:sz w:val="16"/>
          <w:szCs w:val="16"/>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05/13/2022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03" w:lineRule="exact"/>
        <w:rPr>
          <w:sz w:val="24"/>
          <w:szCs w:val="24"/>
          <w:color w:val="auto"/>
        </w:rPr>
      </w:pPr>
    </w:p>
    <w:p>
      <w:pPr>
        <w:sectPr>
          <w:pgSz w:w="11900" w:h="16838" w:orient="portrait"/>
          <w:cols w:equalWidth="0" w:num="3">
            <w:col w:w="3200" w:space="720"/>
            <w:col w:w="3540" w:space="275"/>
            <w:col w:w="3345"/>
          </w:cols>
          <w:pgMar w:left="460" w:top="225" w:right="359" w:bottom="37" w:gutter="0" w:footer="0" w:header="0"/>
          <w:type w:val="continuous"/>
        </w:sectPr>
      </w:pPr>
    </w:p>
    <w:tbl>
      <w:tblPr>
        <w:tblLayout w:type="fixed"/>
        <w:tblInd w:w="0" w:type="dxa"/>
        <w:tblCellMar>
          <w:top w:w="0" w:type="dxa"/>
          <w:left w:w="0" w:type="dxa"/>
          <w:bottom w:w="0" w:type="dxa"/>
          <w:right w:w="0" w:type="dxa"/>
        </w:tblCellMar>
      </w:tblP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40" w:type="dxa"/>
            <w:vAlign w:val="bottom"/>
            <w:tcBorders>
              <w:top w:val="single" w:sz="8" w:color="2C2C2C"/>
              <w:bottom w:val="single" w:sz="8" w:color="2C2C2C"/>
            </w:tcBorders>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Borders>
              <w:top w:val="single" w:sz="8" w:color="2C2C2C"/>
              <w:bottom w:val="single" w:sz="8" w:color="2C2C2C"/>
            </w:tcBorders>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40" w:type="dxa"/>
            <w:vAlign w:val="bottom"/>
            <w:gridSpan w:val="9"/>
            <w:vMerge w:val="continue"/>
          </w:tcPr>
          <w:p>
            <w:pPr>
              <w:spacing w:after="0" w:line="20" w:lineRule="exact"/>
              <w:rPr>
                <w:sz w:val="1"/>
                <w:szCs w:val="1"/>
                <w:color w:val="auto"/>
              </w:rPr>
            </w:pPr>
          </w:p>
        </w:tc>
        <w:tc>
          <w:tcPr>
            <w:tcW w:w="3280" w:type="dxa"/>
            <w:vAlign w:val="bottom"/>
            <w:gridSpan w:val="10"/>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40" w:type="dxa"/>
            <w:vAlign w:val="bottom"/>
            <w:gridSpan w:val="9"/>
            <w:vMerge w:val="continue"/>
          </w:tcPr>
          <w:p>
            <w:pPr>
              <w:spacing w:after="0"/>
              <w:rPr>
                <w:sz w:val="12"/>
                <w:szCs w:val="12"/>
                <w:color w:val="auto"/>
              </w:rPr>
            </w:pPr>
          </w:p>
        </w:tc>
        <w:tc>
          <w:tcPr>
            <w:tcW w:w="3280" w:type="dxa"/>
            <w:vAlign w:val="bottom"/>
            <w:gridSpan w:val="10"/>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0" w:type="dxa"/>
            <w:vAlign w:val="bottom"/>
            <w:gridSpan w:val="9"/>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3000" w:type="dxa"/>
            <w:vAlign w:val="bottom"/>
            <w:gridSpan w:val="9"/>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gridSpan w:val="2"/>
            <w:vMerge w:val="continue"/>
          </w:tcPr>
          <w:p>
            <w:pPr>
              <w:spacing w:after="0"/>
              <w:rPr>
                <w:sz w:val="7"/>
                <w:szCs w:val="7"/>
                <w:color w:val="auto"/>
              </w:rPr>
            </w:pPr>
          </w:p>
        </w:tc>
        <w:tc>
          <w:tcPr>
            <w:tcW w:w="300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gridSpan w:val="2"/>
            <w:vMerge w:val="continue"/>
          </w:tcPr>
          <w:p>
            <w:pPr>
              <w:spacing w:after="0"/>
              <w:rPr>
                <w:sz w:val="9"/>
                <w:szCs w:val="9"/>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gridSpan w:val="3"/>
          </w:tcPr>
          <w:p>
            <w:pPr>
              <w:spacing w:after="0"/>
              <w:rPr>
                <w:sz w:val="11"/>
                <w:szCs w:val="11"/>
                <w:color w:val="auto"/>
              </w:rPr>
            </w:pPr>
          </w:p>
        </w:tc>
        <w:tc>
          <w:tcPr>
            <w:tcW w:w="2840" w:type="dxa"/>
            <w:vAlign w:val="bottom"/>
            <w:tcBorders>
              <w:bottom w:val="single" w:sz="8" w:color="2C2C2C"/>
            </w:tcBorders>
            <w:gridSpan w:val="8"/>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8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jc w:val="center"/>
              <w:ind w:left="32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5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560" w:type="dxa"/>
            <w:vAlign w:val="bottom"/>
          </w:tcPr>
          <w:p>
            <w:pPr>
              <w:spacing w:after="0"/>
              <w:rPr>
                <w:sz w:val="14"/>
                <w:szCs w:val="14"/>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00" w:type="dxa"/>
            <w:vAlign w:val="bottom"/>
            <w:tcBorders>
              <w:top w:val="single" w:sz="8" w:color="2C2C2C"/>
            </w:tcBorders>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0"/>
                <w:szCs w:val="10"/>
                <w:color w:val="auto"/>
              </w:rPr>
            </w:pPr>
          </w:p>
        </w:tc>
        <w:tc>
          <w:tcPr>
            <w:tcW w:w="6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3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vMerge w:val="restart"/>
          </w:tcPr>
          <w:p>
            <w:pPr>
              <w:jc w:val="center"/>
              <w:ind w:left="426"/>
              <w:spacing w:after="0"/>
              <w:rPr>
                <w:sz w:val="20"/>
                <w:szCs w:val="20"/>
                <w:color w:val="auto"/>
              </w:rPr>
            </w:pPr>
            <w:r>
              <w:rPr>
                <w:rFonts w:ascii="Arial" w:cs="Arial" w:eastAsia="Arial" w:hAnsi="Arial"/>
                <w:sz w:val="17"/>
                <w:szCs w:val="17"/>
                <w:color w:val="0000FF"/>
                <w:w w:val="93"/>
              </w:rPr>
              <w:t>05/13/2022</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3"/>
                <w:szCs w:val="13"/>
                <w:color w:val="0000FF"/>
              </w:rPr>
              <w:t>P</w:t>
            </w:r>
          </w:p>
        </w:tc>
        <w:tc>
          <w:tcPr>
            <w:tcW w:w="420" w:type="dxa"/>
            <w:vAlign w:val="bottom"/>
          </w:tcPr>
          <w:p>
            <w:pPr>
              <w:spacing w:after="0"/>
              <w:rPr>
                <w:sz w:val="22"/>
                <w:szCs w:val="22"/>
                <w:color w:val="auto"/>
              </w:rPr>
            </w:pP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1"/>
              </w:rPr>
              <w:t>125,096</w:t>
            </w:r>
          </w:p>
        </w:tc>
        <w:tc>
          <w:tcPr>
            <w:tcW w:w="340" w:type="dxa"/>
            <w:vAlign w:val="bottom"/>
            <w:vMerge w:val="restart"/>
          </w:tcPr>
          <w:p>
            <w:pPr>
              <w:jc w:val="center"/>
              <w:ind w:left="102"/>
              <w:spacing w:after="0"/>
              <w:rPr>
                <w:sz w:val="20"/>
                <w:szCs w:val="20"/>
                <w:color w:val="auto"/>
              </w:rPr>
            </w:pPr>
            <w:r>
              <w:rPr>
                <w:rFonts w:ascii="Arial" w:cs="Arial" w:eastAsia="Arial" w:hAnsi="Arial"/>
                <w:sz w:val="17"/>
                <w:szCs w:val="17"/>
                <w:color w:val="0000FF"/>
              </w:rPr>
              <w:t>A</w:t>
            </w:r>
          </w:p>
        </w:tc>
        <w:tc>
          <w:tcPr>
            <w:tcW w:w="140" w:type="dxa"/>
            <w:vAlign w:val="bottom"/>
          </w:tcPr>
          <w:p>
            <w:pPr>
              <w:spacing w:after="0"/>
              <w:rPr>
                <w:sz w:val="22"/>
                <w:szCs w:val="22"/>
                <w:color w:val="auto"/>
              </w:rPr>
            </w:pPr>
          </w:p>
        </w:tc>
        <w:tc>
          <w:tcPr>
            <w:tcW w:w="600" w:type="dxa"/>
            <w:vAlign w:val="bottom"/>
            <w:vMerge w:val="restart"/>
          </w:tcPr>
          <w:p>
            <w:pPr>
              <w:jc w:val="center"/>
              <w:ind w:left="291"/>
              <w:spacing w:after="0"/>
              <w:rPr>
                <w:sz w:val="20"/>
                <w:szCs w:val="20"/>
                <w:color w:val="auto"/>
              </w:rPr>
            </w:pPr>
            <w:r>
              <w:rPr>
                <w:rFonts w:ascii="Arial" w:cs="Arial" w:eastAsia="Arial" w:hAnsi="Arial"/>
                <w:sz w:val="11"/>
                <w:szCs w:val="11"/>
                <w:color w:val="008000"/>
                <w:w w:val="88"/>
              </w:rPr>
              <w:t>(1)</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gridSpan w:val="2"/>
            <w:vMerge w:val="restart"/>
          </w:tcPr>
          <w:p>
            <w:pPr>
              <w:jc w:val="center"/>
              <w:ind w:right="60"/>
              <w:spacing w:after="0"/>
              <w:rPr>
                <w:sz w:val="20"/>
                <w:szCs w:val="20"/>
                <w:color w:val="auto"/>
              </w:rPr>
            </w:pPr>
            <w:r>
              <w:rPr>
                <w:rFonts w:ascii="Arial" w:cs="Arial" w:eastAsia="Arial" w:hAnsi="Arial"/>
                <w:sz w:val="17"/>
                <w:szCs w:val="17"/>
                <w:color w:val="0000FF"/>
                <w:w w:val="92"/>
              </w:rPr>
              <w:t>1,218,279</w:t>
            </w:r>
          </w:p>
        </w:tc>
        <w:tc>
          <w:tcPr>
            <w:tcW w:w="260" w:type="dxa"/>
            <w:vAlign w:val="bottom"/>
          </w:tcPr>
          <w:p>
            <w:pPr>
              <w:spacing w:after="0"/>
              <w:rPr>
                <w:sz w:val="22"/>
                <w:szCs w:val="22"/>
                <w:color w:val="auto"/>
              </w:rPr>
            </w:pPr>
          </w:p>
        </w:tc>
        <w:tc>
          <w:tcPr>
            <w:tcW w:w="560" w:type="dxa"/>
            <w:vAlign w:val="bottom"/>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vMerge w:val="restart"/>
          </w:tcPr>
          <w:p>
            <w:pPr>
              <w:jc w:val="center"/>
              <w:ind w:left="426"/>
              <w:spacing w:after="0"/>
              <w:rPr>
                <w:sz w:val="20"/>
                <w:szCs w:val="20"/>
                <w:color w:val="auto"/>
              </w:rPr>
            </w:pPr>
            <w:r>
              <w:rPr>
                <w:rFonts w:ascii="Arial" w:cs="Arial" w:eastAsia="Arial" w:hAnsi="Arial"/>
                <w:sz w:val="17"/>
                <w:szCs w:val="17"/>
                <w:color w:val="0000FF"/>
                <w:w w:val="93"/>
              </w:rPr>
              <w:t>05/13/2022</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vMerge w:val="restart"/>
          </w:tcPr>
          <w:p>
            <w:pPr>
              <w:ind w:left="140"/>
              <w:spacing w:after="0"/>
              <w:rPr>
                <w:sz w:val="20"/>
                <w:szCs w:val="20"/>
                <w:color w:val="auto"/>
              </w:rPr>
            </w:pPr>
            <w:r>
              <w:rPr>
                <w:rFonts w:ascii="Arial" w:cs="Arial" w:eastAsia="Arial" w:hAnsi="Arial"/>
                <w:sz w:val="13"/>
                <w:szCs w:val="13"/>
                <w:color w:val="0000FF"/>
              </w:rPr>
              <w:t>P</w:t>
            </w:r>
          </w:p>
        </w:tc>
        <w:tc>
          <w:tcPr>
            <w:tcW w:w="4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4,269</w:t>
            </w:r>
          </w:p>
        </w:tc>
        <w:tc>
          <w:tcPr>
            <w:tcW w:w="340" w:type="dxa"/>
            <w:vAlign w:val="bottom"/>
            <w:tcBorders>
              <w:top w:val="single" w:sz="8" w:color="2C2C2C"/>
            </w:tcBorders>
            <w:vMerge w:val="restart"/>
          </w:tcPr>
          <w:p>
            <w:pPr>
              <w:jc w:val="center"/>
              <w:ind w:left="102"/>
              <w:spacing w:after="0"/>
              <w:rPr>
                <w:sz w:val="20"/>
                <w:szCs w:val="20"/>
                <w:color w:val="auto"/>
              </w:rPr>
            </w:pPr>
            <w:r>
              <w:rPr>
                <w:rFonts w:ascii="Arial" w:cs="Arial" w:eastAsia="Arial" w:hAnsi="Arial"/>
                <w:sz w:val="17"/>
                <w:szCs w:val="17"/>
                <w:color w:val="0000FF"/>
              </w:rPr>
              <w:t>A</w:t>
            </w:r>
          </w:p>
        </w:tc>
        <w:tc>
          <w:tcPr>
            <w:tcW w:w="1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vMerge w:val="restart"/>
          </w:tcPr>
          <w:p>
            <w:pPr>
              <w:jc w:val="center"/>
              <w:ind w:left="291"/>
              <w:spacing w:after="0"/>
              <w:rPr>
                <w:sz w:val="20"/>
                <w:szCs w:val="20"/>
                <w:color w:val="auto"/>
              </w:rPr>
            </w:pPr>
            <w:r>
              <w:rPr>
                <w:rFonts w:ascii="Arial" w:cs="Arial" w:eastAsia="Arial" w:hAnsi="Arial"/>
                <w:sz w:val="11"/>
                <w:szCs w:val="11"/>
                <w:color w:val="008000"/>
                <w:w w:val="88"/>
              </w:rPr>
              <w:t>(1)</w:t>
            </w:r>
          </w:p>
        </w:tc>
        <w:tc>
          <w:tcPr>
            <w:tcW w:w="1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88"/>
              </w:rPr>
              <w:t>41,577</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vMerge w:val="restart"/>
          </w:tcPr>
          <w:p>
            <w:pPr>
              <w:jc w:val="center"/>
              <w:ind w:left="426"/>
              <w:spacing w:after="0"/>
              <w:rPr>
                <w:sz w:val="20"/>
                <w:szCs w:val="20"/>
                <w:color w:val="auto"/>
              </w:rPr>
            </w:pPr>
            <w:r>
              <w:rPr>
                <w:rFonts w:ascii="Arial" w:cs="Arial" w:eastAsia="Arial" w:hAnsi="Arial"/>
                <w:sz w:val="17"/>
                <w:szCs w:val="17"/>
                <w:color w:val="0000FF"/>
                <w:w w:val="93"/>
              </w:rPr>
              <w:t>05/16/2022</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vMerge w:val="restart"/>
          </w:tcPr>
          <w:p>
            <w:pPr>
              <w:ind w:left="140"/>
              <w:spacing w:after="0"/>
              <w:rPr>
                <w:sz w:val="20"/>
                <w:szCs w:val="20"/>
                <w:color w:val="auto"/>
              </w:rPr>
            </w:pPr>
            <w:r>
              <w:rPr>
                <w:rFonts w:ascii="Arial" w:cs="Arial" w:eastAsia="Arial" w:hAnsi="Arial"/>
                <w:sz w:val="13"/>
                <w:szCs w:val="13"/>
                <w:color w:val="0000FF"/>
              </w:rPr>
              <w:t>P</w:t>
            </w:r>
          </w:p>
        </w:tc>
        <w:tc>
          <w:tcPr>
            <w:tcW w:w="4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32,072</w:t>
            </w:r>
          </w:p>
        </w:tc>
        <w:tc>
          <w:tcPr>
            <w:tcW w:w="340" w:type="dxa"/>
            <w:vAlign w:val="bottom"/>
            <w:tcBorders>
              <w:top w:val="single" w:sz="8" w:color="2C2C2C"/>
            </w:tcBorders>
            <w:vMerge w:val="restart"/>
          </w:tcPr>
          <w:p>
            <w:pPr>
              <w:jc w:val="center"/>
              <w:ind w:left="102"/>
              <w:spacing w:after="0"/>
              <w:rPr>
                <w:sz w:val="20"/>
                <w:szCs w:val="20"/>
                <w:color w:val="auto"/>
              </w:rPr>
            </w:pPr>
            <w:r>
              <w:rPr>
                <w:rFonts w:ascii="Arial" w:cs="Arial" w:eastAsia="Arial" w:hAnsi="Arial"/>
                <w:sz w:val="17"/>
                <w:szCs w:val="17"/>
                <w:color w:val="0000FF"/>
              </w:rPr>
              <w:t>A</w:t>
            </w:r>
          </w:p>
        </w:tc>
        <w:tc>
          <w:tcPr>
            <w:tcW w:w="1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gridSpan w:val="4"/>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12.9015</w:t>
            </w:r>
            <w:r>
              <w:rPr>
                <w:rFonts w:ascii="Arial" w:cs="Arial" w:eastAsia="Arial" w:hAnsi="Arial"/>
                <w:sz w:val="22"/>
                <w:szCs w:val="22"/>
                <w:color w:val="008000"/>
                <w:w w:val="90"/>
                <w:vertAlign w:val="superscript"/>
              </w:rPr>
              <w:t>(4)</w:t>
            </w: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2"/>
              </w:rPr>
              <w:t>1,250,351</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vMerge w:val="restart"/>
          </w:tcPr>
          <w:p>
            <w:pPr>
              <w:jc w:val="center"/>
              <w:ind w:left="426"/>
              <w:spacing w:after="0"/>
              <w:rPr>
                <w:sz w:val="20"/>
                <w:szCs w:val="20"/>
                <w:color w:val="auto"/>
              </w:rPr>
            </w:pPr>
            <w:r>
              <w:rPr>
                <w:rFonts w:ascii="Arial" w:cs="Arial" w:eastAsia="Arial" w:hAnsi="Arial"/>
                <w:sz w:val="17"/>
                <w:szCs w:val="17"/>
                <w:color w:val="0000FF"/>
                <w:w w:val="93"/>
              </w:rPr>
              <w:t>05/16/2022</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vMerge w:val="restart"/>
          </w:tcPr>
          <w:p>
            <w:pPr>
              <w:ind w:left="140"/>
              <w:spacing w:after="0"/>
              <w:rPr>
                <w:sz w:val="20"/>
                <w:szCs w:val="20"/>
                <w:color w:val="auto"/>
              </w:rPr>
            </w:pPr>
            <w:r>
              <w:rPr>
                <w:rFonts w:ascii="Arial" w:cs="Arial" w:eastAsia="Arial" w:hAnsi="Arial"/>
                <w:sz w:val="13"/>
                <w:szCs w:val="13"/>
                <w:color w:val="0000FF"/>
              </w:rPr>
              <w:t>P</w:t>
            </w:r>
          </w:p>
        </w:tc>
        <w:tc>
          <w:tcPr>
            <w:tcW w:w="4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1,094</w:t>
            </w:r>
          </w:p>
        </w:tc>
        <w:tc>
          <w:tcPr>
            <w:tcW w:w="340" w:type="dxa"/>
            <w:vAlign w:val="bottom"/>
            <w:tcBorders>
              <w:top w:val="single" w:sz="8" w:color="2C2C2C"/>
            </w:tcBorders>
            <w:vMerge w:val="restart"/>
          </w:tcPr>
          <w:p>
            <w:pPr>
              <w:jc w:val="center"/>
              <w:ind w:left="102"/>
              <w:spacing w:after="0"/>
              <w:rPr>
                <w:sz w:val="20"/>
                <w:szCs w:val="20"/>
                <w:color w:val="auto"/>
              </w:rPr>
            </w:pPr>
            <w:r>
              <w:rPr>
                <w:rFonts w:ascii="Arial" w:cs="Arial" w:eastAsia="Arial" w:hAnsi="Arial"/>
                <w:sz w:val="17"/>
                <w:szCs w:val="17"/>
                <w:color w:val="0000FF"/>
              </w:rPr>
              <w:t>A</w:t>
            </w:r>
          </w:p>
        </w:tc>
        <w:tc>
          <w:tcPr>
            <w:tcW w:w="1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gridSpan w:val="4"/>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12.9015</w:t>
            </w:r>
            <w:r>
              <w:rPr>
                <w:rFonts w:ascii="Arial" w:cs="Arial" w:eastAsia="Arial" w:hAnsi="Arial"/>
                <w:sz w:val="22"/>
                <w:szCs w:val="22"/>
                <w:color w:val="008000"/>
                <w:w w:val="90"/>
                <w:vertAlign w:val="superscript"/>
              </w:rPr>
              <w:t>(4)</w:t>
            </w: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88"/>
              </w:rPr>
              <w:t>42,671</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14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1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140" w:type="dxa"/>
            <w:vAlign w:val="bottom"/>
            <w:tcBorders>
              <w:top w:val="single" w:sz="8" w:color="2C2C2C"/>
              <w:bottom w:val="single" w:sz="8" w:color="2C2C2C"/>
            </w:tcBorders>
            <w:gridSpan w:val="2"/>
          </w:tcPr>
          <w:p>
            <w:pPr>
              <w:jc w:val="center"/>
              <w:ind w:right="60"/>
              <w:spacing w:after="0"/>
              <w:rPr>
                <w:sz w:val="20"/>
                <w:szCs w:val="20"/>
                <w:color w:val="auto"/>
              </w:rPr>
            </w:pPr>
            <w:r>
              <w:rPr>
                <w:rFonts w:ascii="Arial" w:cs="Arial" w:eastAsia="Arial" w:hAnsi="Arial"/>
                <w:sz w:val="17"/>
                <w:szCs w:val="17"/>
                <w:color w:val="0000FF"/>
                <w:w w:val="91"/>
              </w:rPr>
              <w:t>11,103,333</w:t>
            </w:r>
          </w:p>
        </w:tc>
        <w:tc>
          <w:tcPr>
            <w:tcW w:w="26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jc w:val="center"/>
              <w:ind w:right="243"/>
              <w:spacing w:after="0" w:line="320"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(5)</w:t>
            </w:r>
          </w:p>
        </w:tc>
        <w:tc>
          <w:tcPr>
            <w:tcW w:w="34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1"/>
              </w:rPr>
              <w:t>858,035</w:t>
            </w:r>
          </w:p>
        </w:tc>
        <w:tc>
          <w:tcPr>
            <w:tcW w:w="260" w:type="dxa"/>
            <w:vAlign w:val="bottom"/>
          </w:tcPr>
          <w:p>
            <w:pPr>
              <w:spacing w:after="0"/>
              <w:rPr>
                <w:sz w:val="22"/>
                <w:szCs w:val="22"/>
                <w:color w:val="auto"/>
              </w:rPr>
            </w:pPr>
          </w:p>
        </w:tc>
        <w:tc>
          <w:tcPr>
            <w:tcW w:w="560" w:type="dxa"/>
            <w:vAlign w:val="bottom"/>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Arial" w:cs="Arial" w:eastAsia="Arial" w:hAnsi="Arial"/>
                <w:sz w:val="17"/>
                <w:szCs w:val="17"/>
                <w:color w:val="0000FF"/>
                <w:w w:val="91"/>
              </w:rPr>
              <w:t>968,990</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2"/>
              </w:rPr>
              <w:t>2,265,758</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2"/>
              </w:rPr>
              <w:t>1,298,908</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2"/>
              </w:rPr>
              <w:t>1,298,908</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Arial" w:cs="Arial" w:eastAsia="Arial" w:hAnsi="Arial"/>
                <w:sz w:val="17"/>
                <w:szCs w:val="17"/>
                <w:color w:val="0000FF"/>
                <w:w w:val="91"/>
              </w:rPr>
              <w:t>100,000</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Arial" w:cs="Arial" w:eastAsia="Arial" w:hAnsi="Arial"/>
                <w:sz w:val="17"/>
                <w:szCs w:val="17"/>
                <w:color w:val="0000FF"/>
                <w:w w:val="91"/>
              </w:rPr>
              <w:t>100,000</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88"/>
              </w:rPr>
              <w:t>15,000</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88"/>
              </w:rPr>
              <w:t>44,000</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00" w:type="dxa"/>
            <w:vAlign w:val="bottom"/>
            <w:gridSpan w:val="4"/>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95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95120"/>
                    </a:xfrm>
                    <a:prstGeom prst="rect">
                      <a:avLst/>
                    </a:prstGeom>
                    <a:noFill/>
                  </pic:spPr>
                </pic:pic>
              </a:graphicData>
            </a:graphic>
          </wp:anchor>
        </w:drawing>
      </w:r>
    </w:p>
    <w:p>
      <w:pPr>
        <w:sectPr>
          <w:pgSz w:w="11900" w:h="16838" w:orient="portrait"/>
          <w:cols w:equalWidth="0" w:num="1">
            <w:col w:w="11080"/>
          </w:cols>
          <w:pgMar w:left="460" w:top="225" w:right="359" w:bottom="37"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700" w:type="dxa"/>
            <w:vAlign w:val="bottom"/>
            <w:gridSpan w:val="13"/>
          </w:tcPr>
          <w:p>
            <w:pPr>
              <w:ind w:left="580"/>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2"/>
          </w:tcPr>
          <w:p>
            <w:pPr>
              <w:ind w:left="460"/>
              <w:spacing w:after="0" w:line="80" w:lineRule="exact"/>
              <w:rPr>
                <w:sz w:val="20"/>
                <w:szCs w:val="20"/>
                <w:color w:val="auto"/>
              </w:rPr>
            </w:pPr>
            <w:r>
              <w:rPr>
                <w:rFonts w:ascii="Arial" w:cs="Arial" w:eastAsia="Arial" w:hAnsi="Arial"/>
                <w:sz w:val="8"/>
                <w:szCs w:val="8"/>
                <w:b w:val="1"/>
                <w:bCs w:val="1"/>
                <w:color w:val="auto"/>
              </w:rPr>
              <w:t>or</w:t>
            </w: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60" w:type="dxa"/>
            <w:vAlign w:val="bottom"/>
            <w:gridSpan w:val="9"/>
          </w:tcPr>
          <w:p>
            <w:pPr>
              <w:ind w:left="480"/>
              <w:spacing w:after="0" w:line="144" w:lineRule="exact"/>
              <w:rPr>
                <w:sz w:val="20"/>
                <w:szCs w:val="20"/>
                <w:color w:val="auto"/>
              </w:rPr>
            </w:pPr>
            <w:r>
              <w:rPr>
                <w:rFonts w:ascii="Arial" w:cs="Arial" w:eastAsia="Arial" w:hAnsi="Arial"/>
                <w:sz w:val="16"/>
                <w:szCs w:val="16"/>
                <w:b w:val="1"/>
                <w:bCs w:val="1"/>
                <w:color w:val="auto"/>
              </w:rPr>
              <w:t xml:space="preserve">(e.g., puts, calls, warrants, options, convertible </w:t>
            </w:r>
            <w:r>
              <w:rPr>
                <w:rFonts w:ascii="Arial" w:cs="Arial" w:eastAsia="Arial" w:hAnsi="Arial"/>
                <w:sz w:val="10"/>
                <w:szCs w:val="10"/>
                <w:b w:val="1"/>
                <w:bCs w:val="1"/>
                <w:color w:val="auto"/>
              </w:rPr>
              <w:t>securities)Numb</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3A. Deemed</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4Code.  V</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rPr>
                <w:sz w:val="20"/>
                <w:szCs w:val="20"/>
                <w:color w:val="auto"/>
              </w:rPr>
            </w:pPr>
            <w:r>
              <w:rPr>
                <w:rFonts w:ascii="Arial" w:cs="Arial" w:eastAsia="Arial" w:hAnsi="Arial"/>
                <w:sz w:val="11"/>
                <w:szCs w:val="11"/>
                <w:b w:val="1"/>
                <w:bCs w:val="1"/>
                <w:color w:val="auto"/>
                <w:w w:val="72"/>
              </w:rPr>
              <w:t>6Exercisable.DateExercisableDate and</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78"/>
              </w:rPr>
              <w:t>7Title.Title Sharesand</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6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or Exercise</w:t>
            </w:r>
          </w:p>
        </w:tc>
        <w:tc>
          <w:tcPr>
            <w:tcW w:w="60" w:type="dxa"/>
            <w:vAlign w:val="bottom"/>
          </w:tcPr>
          <w:p>
            <w:pPr>
              <w:spacing w:after="0"/>
              <w:rPr>
                <w:sz w:val="10"/>
                <w:szCs w:val="10"/>
                <w:color w:val="auto"/>
              </w:rPr>
            </w:pPr>
          </w:p>
        </w:tc>
        <w:tc>
          <w:tcPr>
            <w:tcW w:w="1120" w:type="dxa"/>
            <w:vAlign w:val="bottom"/>
            <w:gridSpan w:val="3"/>
          </w:tcPr>
          <w:p>
            <w:pPr>
              <w:ind w:left="40"/>
              <w:spacing w:after="0" w:line="12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2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2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2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60" w:type="dxa"/>
            <w:vAlign w:val="bottom"/>
            <w:gridSpan w:val="8"/>
          </w:tcPr>
          <w:p>
            <w:pPr>
              <w:ind w:left="60"/>
              <w:spacing w:after="0" w:line="80" w:lineRule="exact"/>
              <w:rPr>
                <w:sz w:val="20"/>
                <w:szCs w:val="20"/>
                <w:color w:val="auto"/>
              </w:rPr>
            </w:pPr>
            <w:r>
              <w:rPr>
                <w:rFonts w:ascii="Arial" w:cs="Arial" w:eastAsia="Arial" w:hAnsi="Arial"/>
                <w:sz w:val="7"/>
                <w:szCs w:val="7"/>
                <w:color w:val="auto"/>
              </w:rPr>
              <w:t>1. Name and Address of Reporting Person</w:t>
            </w:r>
            <w:r>
              <w:rPr>
                <w:rFonts w:ascii="Arial" w:cs="Arial" w:eastAsia="Arial" w:hAnsi="Arial"/>
                <w:sz w:val="9"/>
                <w:szCs w:val="9"/>
                <w:color w:val="auto"/>
                <w:vertAlign w:val="superscript"/>
              </w:rPr>
              <w:t>*</w:t>
            </w: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gridSpan w:val="7"/>
          </w:tcPr>
          <w:p>
            <w:pPr>
              <w:spacing w:after="0"/>
              <w:rPr>
                <w:sz w:val="20"/>
                <w:szCs w:val="20"/>
                <w:color w:val="auto"/>
              </w:rPr>
            </w:pPr>
            <w:r>
              <w:rPr>
                <w:rFonts w:ascii="Arial" w:cs="Arial" w:eastAsia="Arial" w:hAnsi="Arial"/>
                <w:sz w:val="2"/>
                <w:szCs w:val="2"/>
                <w:color w:val="0000EE"/>
              </w:rPr>
              <w:t>COLUMN GROUP L P</w:t>
            </w: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60"/>
              <w:spacing w:after="0" w:line="120"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Derivative</w:t>
              </w:r>
            </w:hyperlink>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Security</w:t>
              </w:r>
            </w:hyperlink>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3"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03" w:lineRule="exact"/>
              <w:rPr>
                <w:sz w:val="20"/>
                <w:szCs w:val="20"/>
                <w:color w:val="auto"/>
              </w:rPr>
            </w:pPr>
            <w:r>
              <w:rPr>
                <w:rFonts w:ascii="Arial" w:cs="Arial" w:eastAsia="Arial" w:hAnsi="Arial"/>
                <w:sz w:val="11"/>
                <w:szCs w:val="11"/>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03"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gridSpan w:val="7"/>
            <w:vMerge w:val="restart"/>
          </w:tcPr>
          <w:p>
            <w:pPr>
              <w:spacing w:after="0"/>
              <w:rPr>
                <w:sz w:val="20"/>
                <w:szCs w:val="20"/>
                <w:color w:val="auto"/>
              </w:rPr>
            </w:pPr>
            <w:r>
              <w:rPr>
                <w:rFonts w:ascii="Arial" w:cs="Arial" w:eastAsia="Arial" w:hAnsi="Arial"/>
                <w:sz w:val="17"/>
                <w:szCs w:val="17"/>
                <w:color w:val="0000FF"/>
                <w:highlight w:val="white"/>
              </w:rPr>
              <w:t>1 LETTERMAN DRIVE</w:t>
            </w: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560" w:type="dxa"/>
            <w:vAlign w:val="bottom"/>
            <w:gridSpan w:val="7"/>
            <w:vMerge w:val="continue"/>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Borders>
              <w:bottom w:val="single" w:sz="8" w:color="808080"/>
            </w:tcBorders>
          </w:tcPr>
          <w:p>
            <w:pPr>
              <w:spacing w:after="0"/>
              <w:rPr>
                <w:sz w:val="2"/>
                <w:szCs w:val="2"/>
                <w:color w:val="auto"/>
              </w:rPr>
            </w:pPr>
          </w:p>
        </w:tc>
        <w:tc>
          <w:tcPr>
            <w:tcW w:w="100" w:type="dxa"/>
            <w:vAlign w:val="bottom"/>
            <w:tcBorders>
              <w:bottom w:val="single" w:sz="8" w:color="808080"/>
            </w:tcBorders>
          </w:tcPr>
          <w:p>
            <w:pPr>
              <w:spacing w:after="0"/>
              <w:rPr>
                <w:sz w:val="2"/>
                <w:szCs w:val="2"/>
                <w:color w:val="auto"/>
              </w:rPr>
            </w:pPr>
          </w:p>
        </w:tc>
        <w:tc>
          <w:tcPr>
            <w:tcW w:w="22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980" w:type="dxa"/>
            <w:vAlign w:val="bottom"/>
            <w:tcBorders>
              <w:bottom w:val="single" w:sz="8" w:color="808080"/>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560" w:type="dxa"/>
            <w:vAlign w:val="bottom"/>
            <w:gridSpan w:val="7"/>
            <w:vMerge w:val="continue"/>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highlight w:val="white"/>
              </w:rPr>
              <w:t>BUILDING D, SUITE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gridSpan w:val="2"/>
            <w:vMerge w:val="restart"/>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3"/>
                <w:szCs w:val="13"/>
                <w:color w:val="auto"/>
              </w:rPr>
              <w:t>(Street)</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highlight w:val="white"/>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28"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restart"/>
          </w:tcPr>
          <w:p>
            <w:pPr>
              <w:spacing w:after="0"/>
              <w:rPr>
                <w:sz w:val="20"/>
                <w:szCs w:val="20"/>
                <w:color w:val="auto"/>
              </w:rPr>
            </w:pPr>
            <w:r>
              <w:rPr>
                <w:rFonts w:ascii="Arial" w:cs="Arial" w:eastAsia="Arial" w:hAnsi="Arial"/>
                <w:sz w:val="17"/>
                <w:szCs w:val="17"/>
                <w:color w:val="0000FF"/>
                <w:highlight w:val="white"/>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gridSpan w:val="3"/>
            <w:vMerge w:val="continue"/>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gridSpan w:val="3"/>
            <w:vMerge w:val="continue"/>
          </w:tcPr>
          <w:p>
            <w:pPr>
              <w:spacing w:after="0"/>
              <w:rPr>
                <w:sz w:val="8"/>
                <w:szCs w:val="8"/>
                <w:color w:val="auto"/>
              </w:rPr>
            </w:pPr>
          </w:p>
        </w:tc>
        <w:tc>
          <w:tcPr>
            <w:tcW w:w="740" w:type="dxa"/>
            <w:vAlign w:val="bottom"/>
            <w:tcBorders>
              <w:bottom w:val="single" w:sz="8" w:color="808080"/>
            </w:tcBorders>
            <w:vMerge w:val="continue"/>
          </w:tcPr>
          <w:p>
            <w:pPr>
              <w:spacing w:after="0"/>
              <w:rPr>
                <w:sz w:val="8"/>
                <w:szCs w:val="8"/>
                <w:color w:val="auto"/>
              </w:rPr>
            </w:pPr>
          </w:p>
        </w:tc>
        <w:tc>
          <w:tcPr>
            <w:tcW w:w="800" w:type="dxa"/>
            <w:vAlign w:val="bottom"/>
            <w:tcBorders>
              <w:bottom w:val="single" w:sz="8" w:color="808080"/>
            </w:tcBorders>
            <w:vMerge w:val="continue"/>
          </w:tcPr>
          <w:p>
            <w:pPr>
              <w:spacing w:after="0"/>
              <w:rPr>
                <w:sz w:val="8"/>
                <w:szCs w:val="8"/>
                <w:color w:val="auto"/>
              </w:rPr>
            </w:pPr>
          </w:p>
        </w:tc>
        <w:tc>
          <w:tcPr>
            <w:tcW w:w="740" w:type="dxa"/>
            <w:vAlign w:val="bottom"/>
            <w:tcBorders>
              <w:bottom w:val="single" w:sz="8" w:color="808080"/>
            </w:tcBorders>
            <w:vMerge w:val="continue"/>
          </w:tcPr>
          <w:p>
            <w:pPr>
              <w:spacing w:after="0"/>
              <w:rPr>
                <w:sz w:val="8"/>
                <w:szCs w:val="8"/>
                <w:color w:val="auto"/>
              </w:rPr>
            </w:pPr>
          </w:p>
        </w:tc>
        <w:tc>
          <w:tcPr>
            <w:tcW w:w="1060" w:type="dxa"/>
            <w:vAlign w:val="bottom"/>
            <w:tcBorders>
              <w:bottom w:val="single" w:sz="8" w:color="808080"/>
            </w:tcBorders>
            <w:gridSpan w:val="2"/>
            <w:vMerge w:val="continue"/>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Svennilson Peter</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1 LETTERMAN DRIVE</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BUILDING D, SUITE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1" w:lineRule="exact"/>
              <w:rPr>
                <w:rFonts w:ascii="Arial" w:cs="Arial" w:eastAsia="Arial" w:hAnsi="Arial"/>
                <w:sz w:val="21"/>
                <w:szCs w:val="21"/>
                <w:color w:val="0000EE"/>
              </w:rPr>
            </w:pPr>
            <w:hyperlink r:id="rId16">
              <w:r>
                <w:rPr>
                  <w:rFonts w:ascii="Arial" w:cs="Arial" w:eastAsia="Arial" w:hAnsi="Arial"/>
                  <w:sz w:val="21"/>
                  <w:szCs w:val="21"/>
                  <w:color w:val="0000EE"/>
                </w:rPr>
                <w:t>Kutzkey Tim</w:t>
              </w:r>
            </w:hyperlink>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1 LETTERMAN DRIVE</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BUILDING D, SUITE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Ponoi Capital II, LP</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1 LETTERMAN DRIVE</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BUILDING D, SUITE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Ponoi II Management, LLC</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1 LETTERMAN DRIVE</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Arial" w:cs="Arial" w:eastAsia="Arial" w:hAnsi="Arial"/>
                <w:sz w:val="17"/>
                <w:szCs w:val="17"/>
                <w:color w:val="0000FF"/>
              </w:rPr>
              <w:t>BUILDING D, SUITE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175" w:right="359" w:bottom="0" w:gutter="0" w:footer="0" w:header="0"/>
        </w:sectPr>
      </w:pPr>
    </w:p>
    <w:p>
      <w:pPr>
        <w:ind w:left="120"/>
        <w:spacing w:after="0"/>
        <w:rPr>
          <w:rFonts w:ascii="Arial" w:cs="Arial" w:eastAsia="Arial" w:hAnsi="Arial"/>
          <w:sz w:val="20"/>
          <w:szCs w:val="20"/>
          <w:u w:val="single" w:color="auto"/>
          <w:color w:val="0000EE"/>
        </w:rPr>
      </w:pPr>
      <w:hyperlink r:id="rId20">
        <w:r>
          <w:rPr>
            <w:rFonts w:ascii="Arial" w:cs="Arial" w:eastAsia="Arial" w:hAnsi="Arial"/>
            <w:sz w:val="20"/>
            <w:szCs w:val="20"/>
            <w:u w:val="single" w:color="auto"/>
            <w:color w:val="0000EE"/>
          </w:rPr>
          <w:t>PONOI CAPITAL, LP</w:t>
        </w:r>
      </w:hyperlink>
    </w:p>
    <w:p>
      <w:pPr>
        <w:sectPr>
          <w:pgSz w:w="11900" w:h="16838" w:orient="portrait"/>
          <w:cols w:equalWidth="0" w:num="1">
            <w:col w:w="11080"/>
          </w:cols>
          <w:pgMar w:left="460" w:top="175" w:right="359" w:bottom="0" w:gutter="0" w:footer="0" w:header="0"/>
          <w:type w:val="continuous"/>
        </w:sectPr>
      </w:pPr>
    </w:p>
    <w:bookmarkStart w:id="2" w:name="page3"/>
    <w:bookmarkEnd w:id="2"/>
    <w:p>
      <w:pPr>
        <w:spacing w:after="0" w:line="1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9058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2809240" cy="90582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5"/>
          </w:tcPr>
          <w:p>
            <w:pPr>
              <w:spacing w:after="0"/>
              <w:rPr>
                <w:sz w:val="20"/>
                <w:szCs w:val="20"/>
                <w:color w:val="auto"/>
              </w:rPr>
            </w:pPr>
            <w:r>
              <w:rPr>
                <w:rFonts w:ascii="Arial" w:cs="Arial" w:eastAsia="Arial" w:hAnsi="Arial"/>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4"/>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4"/>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5"/>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Ponoi Management,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5"/>
          </w:tcPr>
          <w:p>
            <w:pPr>
              <w:spacing w:after="0"/>
              <w:rPr>
                <w:sz w:val="20"/>
                <w:szCs w:val="20"/>
                <w:color w:val="auto"/>
              </w:rPr>
            </w:pPr>
            <w:r>
              <w:rPr>
                <w:rFonts w:ascii="Arial" w:cs="Arial" w:eastAsia="Arial" w:hAnsi="Arial"/>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4"/>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4"/>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5"/>
          </w:tcPr>
          <w:p>
            <w:pPr>
              <w:spacing w:after="0" w:line="221" w:lineRule="exact"/>
              <w:rPr>
                <w:rFonts w:ascii="Arial" w:cs="Arial" w:eastAsia="Arial" w:hAnsi="Arial"/>
                <w:sz w:val="21"/>
                <w:szCs w:val="21"/>
                <w:color w:val="0000EE"/>
              </w:rPr>
            </w:pPr>
            <w:hyperlink r:id="rId23">
              <w:r>
                <w:rPr>
                  <w:rFonts w:ascii="Arial" w:cs="Arial" w:eastAsia="Arial" w:hAnsi="Arial"/>
                  <w:sz w:val="21"/>
                  <w:szCs w:val="21"/>
                  <w:color w:val="0000EE"/>
                </w:rPr>
                <w:t>COLUMN GROUP II,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5"/>
          </w:tcPr>
          <w:p>
            <w:pPr>
              <w:spacing w:after="0"/>
              <w:rPr>
                <w:sz w:val="20"/>
                <w:szCs w:val="20"/>
                <w:color w:val="auto"/>
              </w:rPr>
            </w:pPr>
            <w:r>
              <w:rPr>
                <w:rFonts w:ascii="Arial" w:cs="Arial" w:eastAsia="Arial" w:hAnsi="Arial"/>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4"/>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4"/>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5"/>
          </w:tcPr>
          <w:p>
            <w:pPr>
              <w:spacing w:after="0" w:line="221" w:lineRule="exact"/>
              <w:rPr>
                <w:rFonts w:ascii="Arial" w:cs="Arial" w:eastAsia="Arial" w:hAnsi="Arial"/>
                <w:sz w:val="21"/>
                <w:szCs w:val="21"/>
                <w:color w:val="0000EE"/>
                <w:w w:val="93"/>
              </w:rPr>
            </w:pPr>
            <w:hyperlink r:id="rId24">
              <w:r>
                <w:rPr>
                  <w:rFonts w:ascii="Arial" w:cs="Arial" w:eastAsia="Arial" w:hAnsi="Arial"/>
                  <w:sz w:val="21"/>
                  <w:szCs w:val="21"/>
                  <w:color w:val="0000EE"/>
                  <w:w w:val="93"/>
                </w:rPr>
                <w:t>Column Group Management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4"/>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1700 OWENS STREET, SUITE 500</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4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CA</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60" w:type="dxa"/>
            <w:vAlign w:val="bottom"/>
            <w:gridSpan w:val="2"/>
            <w:vMerge w:val="continue"/>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5">
              <w:r>
                <w:rPr>
                  <w:rFonts w:ascii="Arial" w:cs="Arial" w:eastAsia="Arial" w:hAnsi="Arial"/>
                  <w:sz w:val="21"/>
                  <w:szCs w:val="21"/>
                  <w:color w:val="0000EE"/>
                </w:rPr>
                <w:t>Column Group II GP,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4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60" w:type="dxa"/>
            <w:vAlign w:val="bottom"/>
            <w:gridSpan w:val="2"/>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purchase of common stock pursuant to a block trade at a price of $11.29 per share.</w:t>
      </w:r>
    </w:p>
    <w:p>
      <w:pPr>
        <w:spacing w:after="0" w:line="50" w:lineRule="exact"/>
        <w:rPr>
          <w:rFonts w:ascii="Arial" w:cs="Arial" w:eastAsia="Arial" w:hAnsi="Arial"/>
          <w:sz w:val="13"/>
          <w:szCs w:val="13"/>
          <w:color w:val="008000"/>
        </w:rPr>
      </w:pPr>
    </w:p>
    <w:p>
      <w:pPr>
        <w:ind w:left="20" w:right="20" w:firstLine="7"/>
        <w:spacing w:after="0" w:line="268"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IV, LP ("TCG IV LP"). The Column Group IV GP, LP ("TCG IV GP LP") is the general partner of TCG IV LP and may be deemed to have voting and investment power with respect to these securities. TCG IV GP LLC ("TCG IV LLC") is the general partner of TCG IV GP LP and the ultimate general partner of TCG IV LP and may be deemed to have voting and investment power with respect to these securities. The managing members of TCG IV LLC are David Goeddel, a member of the issuer's board of directors, Peter Svennilson and Tim Kutzkey (collectively,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15" w:lineRule="exact"/>
        <w:rPr>
          <w:rFonts w:ascii="Arial" w:cs="Arial" w:eastAsia="Arial" w:hAnsi="Arial"/>
          <w:sz w:val="12"/>
          <w:szCs w:val="12"/>
          <w:color w:val="008000"/>
        </w:rPr>
      </w:pPr>
    </w:p>
    <w:p>
      <w:pPr>
        <w:ind w:left="20" w:right="180" w:firstLine="7"/>
        <w:spacing w:after="0" w:line="243"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IV-A, LP ("TCG IV-A LP"). TCG IV GP LP is the general partner of TCG IV-A LP and may be deemed to have voting and investment power with respect to these securities. TCG IV LLC is the general partner of TCG IV GP LP and the ultimate general partner of TCG IV-A LP and may be deemed to have voting and investment power with respect to these securities. The managing members of TCG IV LLC are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20" w:firstLine="7"/>
        <w:spacing w:after="0" w:line="308"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purchased in multiple transactions at prices ranging from $12.05 to $13.00, inclusive. The Reporting Person undertakes to provide to the Issuer, any security holder of the Issuer or the staff of the Securities Exchange Commission, upon request, full information regarding the number of securities purchased at each separate</w:t>
      </w:r>
    </w:p>
    <w:p>
      <w:pPr>
        <w:sectPr>
          <w:pgSz w:w="11900" w:h="16942" w:orient="portrait"/>
          <w:cols w:equalWidth="0" w:num="1">
            <w:col w:w="10920"/>
          </w:cols>
          <w:pgMar w:left="480" w:top="312" w:right="499" w:bottom="0" w:gutter="0" w:footer="0" w:header="0"/>
        </w:sectPr>
      </w:pPr>
    </w:p>
    <w:bookmarkStart w:id="3" w:name="page4"/>
    <w:bookmarkEnd w:id="3"/>
    <w:p>
      <w:pPr>
        <w:spacing w:after="0"/>
        <w:rPr>
          <w:sz w:val="20"/>
          <w:szCs w:val="20"/>
          <w:color w:val="auto"/>
        </w:rPr>
      </w:pPr>
      <w:r>
        <w:rPr>
          <w:rFonts w:ascii="Arial" w:cs="Arial" w:eastAsia="Arial" w:hAnsi="Arial"/>
          <w:sz w:val="13"/>
          <w:szCs w:val="13"/>
          <w:color w:val="008000"/>
        </w:rPr>
        <w:t>price within the ranges set forth in this footnote (4) to this Form 4.</w:t>
      </w:r>
    </w:p>
    <w:p>
      <w:pPr>
        <w:spacing w:after="0" w:line="50" w:lineRule="exact"/>
        <w:rPr>
          <w:sz w:val="20"/>
          <w:szCs w:val="20"/>
          <w:color w:val="auto"/>
        </w:rPr>
      </w:pPr>
    </w:p>
    <w:p>
      <w:pPr>
        <w:ind w:right="10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LP ("TCG LP").The Column Group GP, LP ("TCG GP") is the general partner of TCG LP and may be deemed to have voting and investment power with respect to these securities. The managing partners of TCG GP are David Goeddel, a member of the issuer's board of directors and Peter Svennilson (the "TCG Managing Partners"). The TCG Managing Partners may be deemed to share voting and investment power with respect to such securities. TCG GP and each of the TCG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 LP ("TCG III LP"). The Column Group III GP, LP ("TCG III GP") is the general partner of TCG III LP and may be deemed to have voting and investment power with respect to these securities. The managing partners of TCG III GP are David Goeddel, a member of the issuer's board of directors, Peter Svennilson and Tim Kutzkey (collectively, the "TCG III Managing Partners"). The TCG III GP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18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III-A, LP ("TCG III-A LP"). TCG III GP is the general partner of TCG III-A LP and may be deemed to have voting and investment power with respect to these securities. The managing partners of TCG III GP are the TCG III GP Managing Partners. The TCG III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24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 LP ("TCG II LP"). The Column Group II GP LP ("TCG II GP") is the general partner of TCG II LP and may be deemed to have voting and investment power with respect to these securities. The managing partners of TCG II GP are the TCG Managing Partners. The TCG Managing Partners may be deemed to share voting and investment power with respect to such securities. TCG II GP and each of the TCG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4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LP ("Ponoi LP"). Ponoi Management, LLC ("Ponoi LLC") is the general partner of Ponoi LP and may be deemed to have voting and investment power with respect to these securities. The managing members of Ponoi LLC are the Ponoi Managing Partners. The TCG III Managing Partners may be deemed to share voting and investment power with respect to such securities. Ponoi LLC and the each of the TCG III Managing Partners disclaims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200" w:firstLine="7"/>
        <w:spacing w:after="0" w:line="245"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II, LP ("Ponoi II LP"). Ponoi II Management, LLC ("Ponoi II LLC") is the general partner of Ponoi II LP and may be deemed to have voting and investment power with respect to these securities. The managing members of Ponoi II LLC are the TCG III Managing Partners. The TCG III Managing Partners may be deemed to share voting and investment power with respect to such securities. Ponoi II LLC and the each of the TCG III Managing Partners disclaims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200" w:firstLine="7"/>
        <w:spacing w:after="0" w:line="301" w:lineRule="auto"/>
        <w:tabs>
          <w:tab w:leader="none" w:pos="19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ind w:left="200" w:hanging="193"/>
        <w:spacing w:after="0"/>
        <w:tabs>
          <w:tab w:leader="none" w:pos="20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Management LP ("TCGM LP"). The managing partners of TCGM LP are the TCG Managing Partners. The TCG Managing Partners may be</w:t>
      </w:r>
    </w:p>
    <w:p>
      <w:pPr>
        <w:spacing w:after="0" w:line="18" w:lineRule="exact"/>
        <w:rPr>
          <w:rFonts w:ascii="Arial" w:cs="Arial" w:eastAsia="Arial" w:hAnsi="Arial"/>
          <w:sz w:val="12"/>
          <w:szCs w:val="12"/>
          <w:color w:val="008000"/>
        </w:rPr>
      </w:pPr>
    </w:p>
    <w:p>
      <w:pPr>
        <w:ind w:right="80"/>
        <w:spacing w:after="0" w:line="250" w:lineRule="auto"/>
        <w:rPr>
          <w:rFonts w:ascii="Arial" w:cs="Arial" w:eastAsia="Arial" w:hAnsi="Arial"/>
          <w:sz w:val="12"/>
          <w:szCs w:val="12"/>
          <w:color w:val="008000"/>
        </w:rPr>
      </w:pPr>
      <w:r>
        <w:rPr>
          <w:rFonts w:ascii="Arial" w:cs="Arial" w:eastAsia="Arial" w:hAnsi="Arial"/>
          <w:sz w:val="13"/>
          <w:szCs w:val="13"/>
          <w:color w:val="008000"/>
        </w:rPr>
        <w:t>deemed to share voting and investment power with respect to such securities. Each of the TCG Managing Partners disclaim beneficial ownership of these securities, except to the extent of their respective pecuniary interest in such securities.</w:t>
      </w:r>
    </w:p>
    <w:p>
      <w:pPr>
        <w:spacing w:after="0" w:line="25" w:lineRule="exact"/>
        <w:rPr>
          <w:rFonts w:ascii="Arial" w:cs="Arial" w:eastAsia="Arial" w:hAnsi="Arial"/>
          <w:sz w:val="12"/>
          <w:szCs w:val="12"/>
          <w:color w:val="008000"/>
        </w:rPr>
      </w:pPr>
    </w:p>
    <w:p>
      <w:pPr>
        <w:ind w:left="200" w:hanging="193"/>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owned solely by Tim Kutzkey.</w:t>
      </w:r>
    </w:p>
    <w:p>
      <w:pPr>
        <w:spacing w:after="0" w:line="50" w:lineRule="exact"/>
        <w:rPr>
          <w:rFonts w:ascii="Arial" w:cs="Arial" w:eastAsia="Arial" w:hAnsi="Arial"/>
          <w:sz w:val="13"/>
          <w:szCs w:val="13"/>
          <w:color w:val="008000"/>
        </w:rPr>
      </w:pPr>
    </w:p>
    <w:p>
      <w:pPr>
        <w:ind w:left="200" w:hanging="193"/>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Peter Svennilson.</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008000"/>
        </w:rPr>
        <w:t>Due to SEC restrictions on the number of reporting owners, this is Form 1 of 2.</w:t>
      </w:r>
    </w:p>
    <w:p>
      <w:pPr>
        <w:sectPr>
          <w:pgSz w:w="11900" w:h="16838" w:orient="portrait"/>
          <w:cols w:equalWidth="0" w:num="1">
            <w:col w:w="10900"/>
          </w:cols>
          <w:pgMar w:left="500" w:top="131" w:right="499" w:bottom="1440" w:gutter="0" w:footer="0" w:header="0"/>
        </w:sectPr>
      </w:pP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3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1239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88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6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0769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Kutzkey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Capital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740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Ponoi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53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96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Capital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737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96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94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91948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Column Group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2922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2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77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64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color w:val="0000FF"/>
        </w:rPr>
        <w:t>05/17/2022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05/17/2022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05/17/2022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15" w:lineRule="exact"/>
        <w:rPr>
          <w:sz w:val="20"/>
          <w:szCs w:val="20"/>
          <w:color w:val="auto"/>
        </w:rPr>
      </w:pPr>
    </w:p>
    <w:p>
      <w:pPr>
        <w:sectPr>
          <w:pgSz w:w="11900" w:h="16838" w:orient="portrait"/>
          <w:cols w:equalWidth="0" w:num="2">
            <w:col w:w="8580" w:space="160"/>
            <w:col w:w="2160"/>
          </w:cols>
          <w:pgMar w:left="500" w:top="131" w:right="49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31"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9" Type="http://schemas.openxmlformats.org/officeDocument/2006/relationships/image" Target="media/image6.png"/><Relationship Id="rId21"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5" Type="http://schemas.openxmlformats.org/officeDocument/2006/relationships/hyperlink" Target="http://www.sec.gov/cgi-bin/browse-edgar?action=getcompany&amp;CIK=0001606074" TargetMode="External"/><Relationship Id="rId16" Type="http://schemas.openxmlformats.org/officeDocument/2006/relationships/hyperlink" Target="http://www.sec.gov/cgi-bin/browse-edgar?action=getcompany&amp;CIK=0001614186" TargetMode="External"/><Relationship Id="rId17" Type="http://schemas.openxmlformats.org/officeDocument/2006/relationships/hyperlink" Target="http://www.sec.gov/cgi-bin/browse-edgar?action=getcompany&amp;CIK=0001732601" TargetMode="External"/><Relationship Id="rId18" Type="http://schemas.openxmlformats.org/officeDocument/2006/relationships/hyperlink" Target="http://www.sec.gov/cgi-bin/browse-edgar?action=getcompany&amp;CIK=0001746488" TargetMode="External"/><Relationship Id="rId20" Type="http://schemas.openxmlformats.org/officeDocument/2006/relationships/hyperlink" Target="http://www.sec.gov/cgi-bin/browse-edgar?action=getcompany&amp;CIK=0001707230" TargetMode="External"/><Relationship Id="rId22" Type="http://schemas.openxmlformats.org/officeDocument/2006/relationships/hyperlink" Target="http://www.sec.gov/cgi-bin/browse-edgar?action=getcompany&amp;CIK=0001720702" TargetMode="External"/><Relationship Id="rId23" Type="http://schemas.openxmlformats.org/officeDocument/2006/relationships/hyperlink" Target="http://www.sec.gov/cgi-bin/browse-edgar?action=getcompany&amp;CIK=0001600420" TargetMode="External"/><Relationship Id="rId24" Type="http://schemas.openxmlformats.org/officeDocument/2006/relationships/hyperlink" Target="http://www.sec.gov/cgi-bin/browse-edgar?action=getcompany&amp;CIK=0001645340" TargetMode="External"/><Relationship Id="rId25" Type="http://schemas.openxmlformats.org/officeDocument/2006/relationships/hyperlink" Target="http://www.sec.gov/cgi-bin/browse-edgar?action=getcompany&amp;CIK=0001645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2022-05-17T15:29:15Z</dcterms:created>
  <dcterms:modified xsi:type="dcterms:W3CDTF">2022-05-17T15:29:15Z</dcterms:modified>
</cp:coreProperties>
</file>