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jc w:val="center"/>
        <w:ind w:left="340"/>
        <w:spacing w:after="0"/>
        <w:rPr>
          <w:sz w:val="20"/>
          <w:szCs w:val="20"/>
          <w:color w:val="auto"/>
        </w:rPr>
      </w:pPr>
      <w:r>
        <w:rPr>
          <w:rFonts w:ascii="Arial" w:cs="Arial" w:eastAsia="Arial" w:hAnsi="Arial"/>
          <w:sz w:val="10"/>
          <w:szCs w:val="10"/>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3810</wp:posOffset>
            </wp:positionV>
            <wp:extent cx="140335" cy="189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335" cy="189230"/>
                    </a:xfrm>
                    <a:prstGeom prst="rect">
                      <a:avLst/>
                    </a:prstGeom>
                    <a:noFill/>
                  </pic:spPr>
                </pic:pic>
              </a:graphicData>
            </a:graphic>
          </wp:anchor>
        </w:drawing>
      </w:r>
    </w:p>
    <w:p>
      <w:pPr>
        <w:spacing w:after="0" w:line="4" w:lineRule="exact"/>
        <w:rPr>
          <w:sz w:val="24"/>
          <w:szCs w:val="24"/>
          <w:color w:val="auto"/>
        </w:rPr>
      </w:pPr>
    </w:p>
    <w:p>
      <w:pPr>
        <w:jc w:val="both"/>
        <w:ind w:left="340" w:right="360" w:hanging="259"/>
        <w:spacing w:after="0" w:line="181" w:lineRule="auto"/>
        <w:tabs>
          <w:tab w:leader="none" w:pos="340" w:val="left"/>
        </w:tabs>
        <w:numPr>
          <w:ilvl w:val="0"/>
          <w:numId w:val="1"/>
        </w:numPr>
        <w:rPr>
          <w:rFonts w:ascii="Times New Roman" w:cs="Times New Roman" w:eastAsia="Times New Roman" w:hAnsi="Times New Roman"/>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5279390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23495</wp:posOffset>
            </wp:positionV>
            <wp:extent cx="7046595" cy="6330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63303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00"/>
            <w:col w:w="854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Ho Carole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540"/>
        <w:spacing w:after="0" w:line="343" w:lineRule="auto"/>
        <w:rPr>
          <w:sz w:val="20"/>
          <w:szCs w:val="20"/>
          <w:color w:val="auto"/>
        </w:rPr>
      </w:pPr>
      <w:r>
        <w:rPr>
          <w:rFonts w:ascii="Times New Roman" w:cs="Times New Roman" w:eastAsia="Times New Roman" w:hAnsi="Times New Roman"/>
          <w:sz w:val="17"/>
          <w:szCs w:val="17"/>
          <w:color w:val="0000FF"/>
        </w:rPr>
        <w:t>C/O NGM BIOPHARMACEUTICALS, INC. 333 OYSTER POINT BOULEVARD</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96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NGM BIOPHARMACEUTICALS INC </w:t>
              </w:r>
            </w:hyperlink>
            <w:r>
              <w:rPr>
                <w:rFonts w:ascii="Times New Roman" w:cs="Times New Roman" w:eastAsia="Times New Roman" w:hAnsi="Times New Roman"/>
                <w:sz w:val="15"/>
                <w:szCs w:val="15"/>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3760" w:type="dxa"/>
            <w:vAlign w:val="bottom"/>
            <w:gridSpan w:val="3"/>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vMerge w:val="restart"/>
          </w:tcPr>
          <w:p>
            <w:pPr>
              <w:ind w:left="80"/>
              <w:spacing w:after="0" w:line="51" w:lineRule="exact"/>
              <w:rPr>
                <w:sz w:val="20"/>
                <w:szCs w:val="20"/>
                <w:color w:val="auto"/>
              </w:rPr>
            </w:pPr>
            <w:r>
              <w:rPr>
                <w:rFonts w:ascii="Times New Roman" w:cs="Times New Roman" w:eastAsia="Times New Roman" w:hAnsi="Times New Roman"/>
                <w:sz w:val="5"/>
                <w:szCs w:val="5"/>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300" w:type="dxa"/>
            <w:vAlign w:val="bottom"/>
            <w:gridSpan w:val="2"/>
            <w:shd w:val="clear" w:color="auto" w:fill="0000EE"/>
          </w:tcPr>
          <w:p>
            <w:pPr>
              <w:spacing w:after="0"/>
              <w:rPr>
                <w:rFonts w:ascii="Times New Roman" w:cs="Times New Roman" w:eastAsia="Times New Roman" w:hAnsi="Times New Roman"/>
                <w:sz w:val="1"/>
                <w:szCs w:val="1"/>
                <w:color w:val="0000FF"/>
              </w:rPr>
            </w:pPr>
            <w:hyperlink r:id="rId13">
              <w:r>
                <w:rPr>
                  <w:rFonts w:ascii="Times New Roman" w:cs="Times New Roman" w:eastAsia="Times New Roman" w:hAnsi="Times New Roman"/>
                  <w:sz w:val="1"/>
                  <w:szCs w:val="1"/>
                  <w:color w:val="0000FF"/>
                </w:rPr>
                <w:t xml:space="preserve">NGM </w:t>
              </w:r>
              <w:r>
                <w:rPr>
                  <w:rFonts w:ascii="Times New Roman" w:cs="Times New Roman" w:eastAsia="Times New Roman" w:hAnsi="Times New Roman"/>
                  <w:sz w:val="1"/>
                  <w:szCs w:val="1"/>
                  <w:color w:val="000000"/>
                </w:rPr>
                <w:t>]</w:t>
              </w:r>
            </w:hyperlink>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1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6"/>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33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04/05/2024</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0"/>
          <w:szCs w:val="20"/>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0"/>
          <w:szCs w:val="20"/>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7"/>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line="193" w:lineRule="exact"/>
              <w:rPr>
                <w:sz w:val="20"/>
                <w:szCs w:val="20"/>
                <w:color w:val="auto"/>
              </w:rPr>
            </w:pPr>
            <w:r>
              <w:rPr>
                <w:rFonts w:ascii="Arial" w:cs="Arial" w:eastAsia="Arial" w:hAnsi="Arial"/>
                <w:sz w:val="20"/>
                <w:szCs w:val="20"/>
                <w:color w:val="000000"/>
                <w:w w:val="95"/>
                <w:vertAlign w:val="subscript"/>
              </w:rPr>
              <w:t>$</w:t>
            </w:r>
            <w:r>
              <w:rPr>
                <w:rFonts w:ascii="Times New Roman" w:cs="Times New Roman" w:eastAsia="Times New Roman" w:hAnsi="Times New Roman"/>
                <w:sz w:val="22"/>
                <w:szCs w:val="22"/>
                <w:color w:val="0000FF"/>
                <w:w w:val="95"/>
                <w:vertAlign w:val="subscript"/>
              </w:rPr>
              <w:t>3.69</w:t>
            </w:r>
            <w:r>
              <w:rPr>
                <w:rFonts w:ascii="Times New Roman" w:cs="Times New Roman" w:eastAsia="Times New Roman" w:hAnsi="Times New Roman"/>
                <w:sz w:val="10"/>
                <w:szCs w:val="10"/>
                <w:color w:val="008000"/>
                <w:w w:val="95"/>
              </w:rPr>
              <w:t>(1)(2)</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04/05/2024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78,407</w:t>
            </w: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05/09/2033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78,407</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(1)(2)</w:t>
            </w:r>
          </w:p>
        </w:tc>
        <w:tc>
          <w:tcPr>
            <w:tcW w:w="94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line="193" w:lineRule="exact"/>
              <w:rPr>
                <w:sz w:val="20"/>
                <w:szCs w:val="20"/>
                <w:color w:val="auto"/>
              </w:rPr>
            </w:pPr>
            <w:r>
              <w:rPr>
                <w:rFonts w:ascii="Arial" w:cs="Arial" w:eastAsia="Arial" w:hAnsi="Arial"/>
                <w:sz w:val="20"/>
                <w:szCs w:val="20"/>
                <w:color w:val="000000"/>
                <w:w w:val="94"/>
                <w:vertAlign w:val="subscript"/>
              </w:rPr>
              <w:t>$</w:t>
            </w:r>
            <w:r>
              <w:rPr>
                <w:rFonts w:ascii="Times New Roman" w:cs="Times New Roman" w:eastAsia="Times New Roman" w:hAnsi="Times New Roman"/>
                <w:sz w:val="22"/>
                <w:szCs w:val="22"/>
                <w:color w:val="0000FF"/>
                <w:w w:val="94"/>
                <w:vertAlign w:val="subscript"/>
              </w:rPr>
              <w:t>13.35</w:t>
            </w:r>
            <w:r>
              <w:rPr>
                <w:rFonts w:ascii="Times New Roman" w:cs="Times New Roman" w:eastAsia="Times New Roman" w:hAnsi="Times New Roman"/>
                <w:sz w:val="10"/>
                <w:szCs w:val="10"/>
                <w:color w:val="008000"/>
                <w:w w:val="94"/>
              </w:rPr>
              <w:t>(1)(2)</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04/05/2024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24,222</w:t>
            </w: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05/17/2032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24,222</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(1)(2)</w:t>
            </w:r>
          </w:p>
        </w:tc>
        <w:tc>
          <w:tcPr>
            <w:tcW w:w="94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line="193" w:lineRule="exact"/>
              <w:rPr>
                <w:sz w:val="20"/>
                <w:szCs w:val="20"/>
                <w:color w:val="auto"/>
              </w:rPr>
            </w:pPr>
            <w:r>
              <w:rPr>
                <w:rFonts w:ascii="Arial" w:cs="Arial" w:eastAsia="Arial" w:hAnsi="Arial"/>
                <w:sz w:val="12"/>
                <w:szCs w:val="12"/>
                <w:color w:val="auto"/>
                <w:w w:val="90"/>
              </w:rPr>
              <w:t>$</w:t>
            </w:r>
            <w:r>
              <w:rPr>
                <w:rFonts w:ascii="Times New Roman" w:cs="Times New Roman" w:eastAsia="Times New Roman" w:hAnsi="Times New Roman"/>
                <w:sz w:val="12"/>
                <w:szCs w:val="12"/>
                <w:color w:val="0000FF"/>
                <w:w w:val="90"/>
              </w:rPr>
              <w:t>17.24</w:t>
            </w:r>
            <w:r>
              <w:rPr>
                <w:rFonts w:ascii="Times New Roman" w:cs="Times New Roman" w:eastAsia="Times New Roman" w:hAnsi="Times New Roman"/>
                <w:sz w:val="21"/>
                <w:szCs w:val="21"/>
                <w:color w:val="008000"/>
                <w:w w:val="90"/>
                <w:vertAlign w:val="superscript"/>
              </w:rPr>
              <w:t>(1)(2)</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04/05/2024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19,619</w:t>
            </w: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06/07/2031</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19,619</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(1)(2)</w:t>
            </w:r>
          </w:p>
        </w:tc>
        <w:tc>
          <w:tcPr>
            <w:tcW w:w="94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line="193" w:lineRule="exact"/>
              <w:rPr>
                <w:sz w:val="20"/>
                <w:szCs w:val="20"/>
                <w:color w:val="auto"/>
              </w:rPr>
            </w:pPr>
            <w:r>
              <w:rPr>
                <w:rFonts w:ascii="Arial" w:cs="Arial" w:eastAsia="Arial" w:hAnsi="Arial"/>
                <w:sz w:val="12"/>
                <w:szCs w:val="12"/>
                <w:color w:val="auto"/>
                <w:w w:val="90"/>
              </w:rPr>
              <w:t>$</w:t>
            </w:r>
            <w:r>
              <w:rPr>
                <w:rFonts w:ascii="Times New Roman" w:cs="Times New Roman" w:eastAsia="Times New Roman" w:hAnsi="Times New Roman"/>
                <w:sz w:val="12"/>
                <w:szCs w:val="12"/>
                <w:color w:val="0000FF"/>
                <w:w w:val="90"/>
              </w:rPr>
              <w:t>20.66</w:t>
            </w:r>
            <w:r>
              <w:rPr>
                <w:rFonts w:ascii="Times New Roman" w:cs="Times New Roman" w:eastAsia="Times New Roman" w:hAnsi="Times New Roman"/>
                <w:sz w:val="21"/>
                <w:szCs w:val="21"/>
                <w:color w:val="008000"/>
                <w:w w:val="90"/>
                <w:vertAlign w:val="superscript"/>
              </w:rPr>
              <w:t>(1)(2)</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04/05/2024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39,515</w:t>
            </w: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06/04/2030</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39,515</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(1)(2)</w:t>
            </w:r>
          </w:p>
        </w:tc>
        <w:tc>
          <w:tcPr>
            <w:tcW w:w="94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20" w:firstLine="2"/>
        <w:spacing w:after="0" w:line="23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reports securities disposed of pursuant to the terms of the Agreement and Plan of Merger entered into by and among the Issuer, Atlas Neon Parent, Inc. ("Parent") and Atlas Neon Merger Sub, Inc., a wholly-owned subsidiary of Parent ("Purchaser"), dated as of February 25, 2024 ("Merger Agreement"), pursuant to which the Purchaser completed a tender offer for the shares of common stock of the Issuer and thereafter merged with and into the Issuer effective as of April 5, 2024 (the "Effective Time"). Pursuant to the terms of the Merger Agreement and Purchaser's offer to purchase, the shares of common stock were tendered to Purchaser in consideration for a per share price of $1.55 in cash, subject to applicable tax withholding and without interest (the "Offer Price").</w:t>
      </w:r>
    </w:p>
    <w:p>
      <w:pPr>
        <w:spacing w:after="0" w:line="28" w:lineRule="exact"/>
        <w:rPr>
          <w:rFonts w:ascii="Times New Roman" w:cs="Times New Roman" w:eastAsia="Times New Roman" w:hAnsi="Times New Roman"/>
          <w:sz w:val="13"/>
          <w:szCs w:val="13"/>
          <w:color w:val="008000"/>
        </w:rPr>
      </w:pPr>
    </w:p>
    <w:p>
      <w:pPr>
        <w:ind w:left="40" w:right="220" w:firstLine="2"/>
        <w:spacing w:after="0" w:line="23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Merger Agreement, as of the Effective Time, the vesting of each outstanding unvested Stock Option that had a per share exercise price that was less than the Offer Price (an "In-the-Money Option") was accelerated, any applicable retention period for options that were repriced ended, and each outstanding In-the-Money Option (both vested and unvested) was canceled and the holder of such canceled Stock Option was entitled to receive an amount in cash, without interest and less any withholding of taxes, equal to the product of (i) the excess of the Offer Price over the applicable exercise price per share subject to such Stock Option multiplied by (ii) the total number of shares subject to such Stock Option. Each Stock Option that was not an In-the-Money Option (whether vested or unvested) was canceled as of the Effective Time for no consideration.</w:t>
      </w:r>
    </w:p>
    <w:p>
      <w:pPr>
        <w:spacing w:after="0" w:line="20"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Valerie Pierce,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04/05/2024</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24605"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2024-04-08T15:22:18Z</dcterms:created>
  <dcterms:modified xsi:type="dcterms:W3CDTF">2024-04-08T15:22:18Z</dcterms:modified>
</cp:coreProperties>
</file>