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82"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GOEDDEL DAVID V</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240"/>
              <w:spacing w:after="0"/>
              <w:rPr>
                <w:sz w:val="20"/>
                <w:szCs w:val="20"/>
                <w:color w:val="auto"/>
              </w:rPr>
            </w:pPr>
            <w:r>
              <w:rPr>
                <w:rFonts w:ascii="Arial" w:cs="Arial" w:eastAsia="Arial" w:hAnsi="Arial"/>
                <w:sz w:val="14"/>
                <w:szCs w:val="14"/>
                <w:color w:val="auto"/>
              </w:rPr>
              <w:t>(First)</w:t>
            </w:r>
          </w:p>
        </w:tc>
        <w:tc>
          <w:tcPr>
            <w:tcW w:w="1840" w:type="dxa"/>
            <w:vAlign w:val="bottom"/>
          </w:tcPr>
          <w:p>
            <w:pPr>
              <w:ind w:left="5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10/22/2019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82"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40" w:type="dxa"/>
            <w:vAlign w:val="bottom"/>
            <w:tcBorders>
              <w:top w:val="single" w:sz="8" w:color="9A9A9A"/>
            </w:tcBorders>
          </w:tcPr>
          <w:p>
            <w:pPr>
              <w:spacing w:after="0"/>
              <w:rPr>
                <w:sz w:val="12"/>
                <w:szCs w:val="12"/>
                <w:color w:val="auto"/>
              </w:rPr>
            </w:pPr>
          </w:p>
        </w:tc>
        <w:tc>
          <w:tcPr>
            <w:tcW w:w="108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40" w:type="dxa"/>
            <w:vAlign w:val="bottom"/>
          </w:tcPr>
          <w:p>
            <w:pPr>
              <w:spacing w:after="0"/>
              <w:rPr>
                <w:sz w:val="20"/>
                <w:szCs w:val="20"/>
                <w:color w:val="auto"/>
              </w:rPr>
            </w:pPr>
          </w:p>
        </w:tc>
        <w:tc>
          <w:tcPr>
            <w:tcW w:w="1080" w:type="dxa"/>
            <w:vAlign w:val="bottom"/>
            <w:vMerge w:val="restart"/>
          </w:tcPr>
          <w:p>
            <w:pPr>
              <w:ind w:left="180"/>
              <w:spacing w:after="0"/>
              <w:rPr>
                <w:sz w:val="20"/>
                <w:szCs w:val="20"/>
                <w:color w:val="auto"/>
              </w:rPr>
            </w:pPr>
            <w:r>
              <w:rPr>
                <w:rFonts w:ascii="Arial" w:cs="Arial" w:eastAsia="Arial" w:hAnsi="Arial"/>
                <w:sz w:val="18"/>
                <w:szCs w:val="18"/>
                <w:color w:val="0000FF"/>
              </w:rPr>
              <w:t>94158</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080" w:type="dxa"/>
            <w:vAlign w:val="bottom"/>
          </w:tcPr>
          <w:p>
            <w:pPr>
              <w:ind w:left="180"/>
              <w:spacing w:after="0"/>
              <w:rPr>
                <w:sz w:val="20"/>
                <w:szCs w:val="20"/>
                <w:color w:val="auto"/>
              </w:rPr>
            </w:pPr>
            <w:r>
              <w:rPr>
                <w:rFonts w:ascii="Arial" w:cs="Arial" w:eastAsia="Arial" w:hAnsi="Arial"/>
                <w:sz w:val="14"/>
                <w:szCs w:val="14"/>
                <w:color w:val="auto"/>
              </w:rPr>
              <w:t>(Zip)</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6"/>
          </w:tcPr>
          <w:p>
            <w:pPr>
              <w:jc w:val="center"/>
              <w:ind w:left="1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0000FF"/>
              </w:rPr>
              <w:t>10/22/2019</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jc w:val="center"/>
              <w:ind w:right="34"/>
              <w:spacing w:after="0"/>
              <w:rPr>
                <w:sz w:val="20"/>
                <w:szCs w:val="20"/>
                <w:color w:val="auto"/>
              </w:rPr>
            </w:pPr>
            <w:r>
              <w:rPr>
                <w:rFonts w:ascii="Arial" w:cs="Arial" w:eastAsia="Arial" w:hAnsi="Arial"/>
                <w:sz w:val="18"/>
                <w:szCs w:val="18"/>
                <w:color w:val="0000FF"/>
              </w:rPr>
              <w:t>2,300</w:t>
            </w:r>
            <w:r>
              <w:rPr>
                <w:rFonts w:ascii="Arial" w:cs="Arial" w:eastAsia="Arial" w:hAnsi="Arial"/>
                <w:sz w:val="22"/>
                <w:szCs w:val="22"/>
                <w:color w:val="008000"/>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w:t>
            </w:r>
          </w:p>
        </w:tc>
        <w:tc>
          <w:tcPr>
            <w:tcW w:w="60" w:type="dxa"/>
            <w:vAlign w:val="bottom"/>
          </w:tcPr>
          <w:p>
            <w:pPr>
              <w:spacing w:after="0"/>
              <w:rPr>
                <w:sz w:val="24"/>
                <w:szCs w:val="24"/>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8"/>
                <w:szCs w:val="18"/>
                <w:color w:val="0000FF"/>
                <w:w w:val="99"/>
              </w:rPr>
              <w:t>16,600,318</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0000FF"/>
              </w:rPr>
              <w:t>10/23/2019</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jc w:val="center"/>
              <w:ind w:right="14"/>
              <w:spacing w:after="0"/>
              <w:rPr>
                <w:sz w:val="20"/>
                <w:szCs w:val="20"/>
                <w:color w:val="auto"/>
              </w:rPr>
            </w:pPr>
            <w:r>
              <w:rPr>
                <w:rFonts w:ascii="Arial" w:cs="Arial" w:eastAsia="Arial" w:hAnsi="Arial"/>
                <w:sz w:val="18"/>
                <w:szCs w:val="18"/>
                <w:color w:val="0000FF"/>
                <w:w w:val="95"/>
              </w:rPr>
              <w:t>2,087</w:t>
            </w:r>
            <w:r>
              <w:rPr>
                <w:rFonts w:ascii="Arial" w:cs="Arial" w:eastAsia="Arial" w:hAnsi="Arial"/>
                <w:sz w:val="22"/>
                <w:szCs w:val="22"/>
                <w:color w:val="008000"/>
                <w:w w:val="95"/>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11.86</w:t>
            </w:r>
          </w:p>
        </w:tc>
        <w:tc>
          <w:tcPr>
            <w:tcW w:w="60" w:type="dxa"/>
            <w:vAlign w:val="bottom"/>
          </w:tcPr>
          <w:p>
            <w:pPr>
              <w:spacing w:after="0"/>
              <w:rPr>
                <w:sz w:val="24"/>
                <w:szCs w:val="24"/>
                <w:color w:val="auto"/>
              </w:rPr>
            </w:pPr>
          </w:p>
        </w:tc>
        <w:tc>
          <w:tcPr>
            <w:tcW w:w="1200" w:type="dxa"/>
            <w:vAlign w:val="bottom"/>
            <w:gridSpan w:val="3"/>
          </w:tcPr>
          <w:p>
            <w:pPr>
              <w:jc w:val="center"/>
              <w:ind w:right="93"/>
              <w:spacing w:after="0"/>
              <w:rPr>
                <w:sz w:val="20"/>
                <w:szCs w:val="20"/>
                <w:color w:val="auto"/>
              </w:rPr>
            </w:pPr>
            <w:r>
              <w:rPr>
                <w:rFonts w:ascii="Arial" w:cs="Arial" w:eastAsia="Arial" w:hAnsi="Arial"/>
                <w:sz w:val="18"/>
                <w:szCs w:val="18"/>
                <w:color w:val="0000FF"/>
                <w:w w:val="86"/>
              </w:rPr>
              <w:t>16,602,405</w:t>
            </w:r>
            <w:r>
              <w:rPr>
                <w:rFonts w:ascii="Arial" w:cs="Arial" w:eastAsia="Arial" w:hAnsi="Arial"/>
                <w:sz w:val="22"/>
                <w:szCs w:val="22"/>
                <w:color w:val="008000"/>
                <w:w w:val="86"/>
                <w:vertAlign w:val="superscript"/>
              </w:rPr>
              <w:t>(11)</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2"/>
          </w:tcPr>
          <w:p>
            <w:pPr>
              <w:jc w:val="center"/>
              <w:ind w:left="68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08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270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center"/>
              <w:ind w:right="9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1,080 shares held directly by The Column Group III, LP ("TCG III LP") and 1,220 shares held directly by The Column Group III-A, LP ("TCG III-A LP").</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980 shares held directly by The Column Group III, LP ("TCG III LP") and 1,107 shares held directly by The Column Group III-A, LP ("TCG III-A LP").</w:t>
      </w:r>
    </w:p>
    <w:p>
      <w:pPr>
        <w:spacing w:after="0" w:line="41" w:lineRule="exact"/>
        <w:rPr>
          <w:rFonts w:ascii="Arial" w:cs="Arial" w:eastAsia="Arial" w:hAnsi="Arial"/>
          <w:sz w:val="14"/>
          <w:szCs w:val="14"/>
          <w:color w:val="008000"/>
        </w:rPr>
      </w:pPr>
    </w:p>
    <w:p>
      <w:pPr>
        <w:ind w:left="40" w:right="80" w:firstLine="9"/>
        <w:spacing w:after="0" w:line="273"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115,294 shares of Common Stock held directly by TCG III LP, 130,204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360" w:type="dxa"/>
            <w:vAlign w:val="bottom"/>
          </w:tcPr>
          <w:p>
            <w:pPr>
              <w:spacing w:after="0"/>
              <w:rPr>
                <w:sz w:val="18"/>
                <w:szCs w:val="18"/>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10/24/2019</w:t>
            </w:r>
          </w:p>
        </w:tc>
        <w:tc>
          <w:tcPr>
            <w:tcW w:w="0" w:type="dxa"/>
            <w:vAlign w:val="bottom"/>
          </w:tcPr>
          <w:p>
            <w:pPr>
              <w:spacing w:after="0"/>
              <w:rPr>
                <w:sz w:val="1"/>
                <w:szCs w:val="1"/>
                <w:color w:val="auto"/>
              </w:rPr>
            </w:pPr>
          </w:p>
        </w:tc>
      </w:tr>
      <w:tr>
        <w:trPr>
          <w:trHeight w:val="88"/>
        </w:trPr>
        <w:tc>
          <w:tcPr>
            <w:tcW w:w="19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82" w:orient="portrait"/>
          <w:cols w:equalWidth="0" w:num="1">
            <w:col w:w="11420"/>
          </w:cols>
          <w:pgMar w:left="240" w:top="226"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82"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2019-12-24T04:45:02Z</dcterms:created>
  <dcterms:modified xsi:type="dcterms:W3CDTF">2019-12-24T04:45:02Z</dcterms:modified>
</cp:coreProperties>
</file>