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6)*</w:t>
      </w:r>
    </w:p>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62921N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James Evangelista</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 Letterman Drive,</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Building D, Suite DM-900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San Francisco, CA 94129</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(415) 865-2050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60" w:firstLine="648"/>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§240.13d-7 for other parties to whom copies are to be sent.</w:t>
      </w:r>
    </w:p>
    <w:p>
      <w:pPr>
        <w:spacing w:after="0" w:line="135" w:lineRule="exact"/>
        <w:rPr>
          <w:sz w:val="24"/>
          <w:szCs w:val="24"/>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21" w:lineRule="exact"/>
        <w:rPr>
          <w:sz w:val="24"/>
          <w:szCs w:val="24"/>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u w:val="single" w:color="auto"/>
          <w:color w:val="auto"/>
        </w:rPr>
        <w:t>Securities Exchange Act</w:t>
      </w:r>
      <w:r>
        <w:rPr>
          <w:rFonts w:ascii="Times New Roman" w:cs="Times New Roman" w:eastAsia="Times New Roman" w:hAnsi="Times New Roman"/>
          <w:sz w:val="18"/>
          <w:szCs w:val="18"/>
          <w:color w:val="auto"/>
        </w:rPr>
        <w:t>”) or otherwise subject to the liabilities of that section of the Securities Exchange Act but shall be subject to all other provisions of the Securities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33"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2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11,103,333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11,103,333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11,103,333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13.4%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00" w:hanging="332"/>
        <w:spacing w:after="0" w:line="255"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LP (as defined in Item 2(a) below). TCG GP (as defined in Item 2(a) below) is the general partner of TCG LP and may be deemed to have voting, investment and dispositive power with respect to these securities. Peter Svennilson and David Goeddel, a member of the Issuer’s board of directors, are the managing partners of TCG GP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340" w:right="380" w:hanging="332"/>
        <w:spacing w:after="0" w:line="26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Issuer’s Quarterly Report on Form 10-Q and filed with the Securities and Exchange Commission on November 2, 2023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3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GP,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100,000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11,103,333 (2)</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100,000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11,103,333 (2)</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11,203,333 (1)(2)</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13.5% (3)</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right="8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GP. Peter Svennilson and David Goeddel, a member of the Issuer’s board of directors, are the managing partners of TCG GP and may each be deemed to share voting, investment and dispositive power with respect to these securities.</w:t>
      </w:r>
    </w:p>
    <w:p>
      <w:pPr>
        <w:ind w:left="340" w:right="12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LP. TCG GP is the general partner of TCG LP and may be deemed to have voting, investment and dispositive power with respect to these securities. Peter Svennilson and David Goeddel, a member of the Issuer’s board of directors, are the managing partners of TCG GP and may each be deemed to share voting, investment and dispositive power with respect to these securities.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4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II,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2,265,758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2,265,758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2,265,758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II LP (as defined in Item 2(a) below). TCG II GP (as defined in Item 2(a) below) is the general partner of TCG II LP and may be deemed to have voting, investment and dispositive power with respect to these securities. Peter Svennilson and David Goeddel, a member of the Issuer’s board of directors, are the managing partners of TCG II GP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5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II GP,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2,265,758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2,265,758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2,265,758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20" w:hanging="332"/>
        <w:spacing w:after="0" w:line="257"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II LP. TCG II GP is the general partner of TCG II LP and may be deemed to have voting, investment and dispositive power with respect to these securities. Peter Svennilson and David Goeddel, a member of the Issuer’s board of directors, are the managing partners of TCG II GP and may each be deemed to share voting, investment and dispositive power with respect to these securities.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6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Management,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100,000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100,000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100,000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0.1%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right="180" w:hanging="332"/>
        <w:spacing w:after="0" w:line="257"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TCGM LP (as defined in Item 2(a) below). Peter Svennilson, Timothy Kutzkey and David Goeddel, a member of the Issuer’s board of directors, are the managing partners of TCGM LP and may each be deemed to share voting, investment and dispositive power with respect to these securities.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7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Ponoi Capital,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1,298,908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1,298,908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1,298,908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1.6%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6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Ponoi LP (as defined in Item 2(a) below). Ponoi LLC (as defined in Item 2(a) below) is the general partner of Ponoi LP and may be deemed to have voting, investment and dispositive power with respect to these securities. Peter Svennilson, Timothy Kutzkey and David Goeddel, a member of the Issuer’s board of directors, are the managing members of Ponoi LLC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8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Ponoi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1,298,908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1,298,908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1,298,908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1.6%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5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Ponoi LP. Ponoi LLC is the general partner of Ponoi LP and may be deemed to have voting, investment and dispositive power with respect to these securities. Peter Svennilson, Timothy Kutzkey and David Goeddel, a member of the Issuer’s board of directors, are the managing members of Ponoi LLC and may each be deemed to share voting, investment and dispositive power with respect to these securities.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9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Ponoi Capital II,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1,298,908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1,298,908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1,298,908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1.6%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60" w:hanging="332"/>
        <w:spacing w:after="0" w:line="255"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Ponoi II LP (as defined in Item 2(a) below). Ponoi II LLC (as defined in Item 2(a) below) is the general partner of Ponoi II LP and may be deemed to have voting, investment and dispositive power with respect to these securities. Peter Svennilson, Timothy Kutzkey and David Goeddel, a member of the Issuer’s board of directors, are the managing members of Ponoi II LLC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10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Ponoi II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1,298,908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1,298,908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1,298,908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1.6%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40" w:hanging="332"/>
        <w:spacing w:after="0" w:line="255"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Ponoi II LP. Ponoi II LLC is the general partner of Ponoi II LP and may be deemed to have voting, investment and dispositive power with respect to these securities. Peter Svennilson, Timothy Kutzkey and David Goeddel, a member of the Issuer’s board of directors, are the managing members of Ponoi II LLC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11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III,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858,035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858,035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858,035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00" w:hanging="332"/>
        <w:spacing w:after="0" w:line="25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III LP (as defined in Item 2(a) below). TCG III GP (as defined in Item 2(a) below) is the general partner of TCG III LP and may be deemed to have voting, investment and dispositive power with respect to these securities. Peter Svennilson, Timothy Kutzkey and David Goeddel, a member of the Issuer’s board of directors, are the managing partners of TCG III GP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12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III-A,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968,990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968,990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968,990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55"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III-A LP (as defined in Item 2(a) below). TCG III GP is the general partner of TCG III-A LP and may be deemed to have voting, investment and dispositive power with respect to these securities. Peter Svennilson, Timothy Kutzkey and David Goeddel, a member of the Issuer’s board of directors, are the managing partners of TCG III GP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13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1,827,025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1,827,025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1,827,025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2.2%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858,035 shares held of record by TCG III LP and (ii) 968,990 shares held of record by TCG III-A LP. TCG III GP is the general partner of each of TCG III LP and TCG III-A LP and may be deemed to have voting, investment and dispositive power with respect to these securities. Peter Svennilson, Timothy Kutzkey and David Goeddel, a member of the Issuer’s board of directors, are the managing partners of TCG III GP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14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IV,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2,650,177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2,650,177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2,650,177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3.2%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53"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IV LP (as defined in Item 2(a) below). TCG IV GP LP (as defined in Item 2(a) below) is the general partner of TCG IV LP and may be deemed to have voting, investment and dispositive power with respect to these securities. TCG IV GP LLC (as defined in Item 2(a) below) is the general partner of TCG IV GP LP and the ultimate general partner of TCG IV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w:t>
      </w:r>
    </w:p>
    <w:p>
      <w:pPr>
        <w:spacing w:after="0" w:line="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15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IV-A,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90,442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90,442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90,442 (1)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0.1%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54"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IV-A LP (as defined in Item 2(a) below). TCG IV GP LP is the general partner of TCG IV-A LP and may be deemed to have voting, investment and dispositive power with respect to these securities. TCG IV GP LLC is the general partner of TCG IV GP LP and the ultimate general partner of TCG IV-A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16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IV GP,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2,740,619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2,740,619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2,740,619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54"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2,650,177 shares held of record by TCG IV LP and (ii) 90,442 shares held of record by TCG IV-A LP. TCG IV GP LP is the general partner of each of TCG IV LP and TCG IV-A LP and may be deemed to have voting, investment and dispositive power with respect to these securities. TCG IV GP LLC is the general partner of TCG IV GP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17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TCG IV GP,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2,740,619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2,740,619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2,740,619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53"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2,650,177 shares held of record by TCG IV LP and (ii) 90,442 shares held of record by TCG IV-A LP. TCG IV GP LP is the general partner of each of TCG IV LP and TCG IV-A LP and may be deemed to have voting, investment and dispositive power with respect to these securities. TCG IV GP LLC is the general partner of TCG IV GP LP and the ultimate general partner of each of TCG IV LP and TCG IV-A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w:t>
      </w:r>
    </w:p>
    <w:p>
      <w:pPr>
        <w:spacing w:after="0" w:line="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18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Opportunity III,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949,862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949,862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949,862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40" w:hanging="332"/>
        <w:spacing w:after="0" w:line="253"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Opportunity III LP (as defined in Item 2(a) below). TCG Opportunity III GP LP (as defined in Item 2(a) below)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Timothy Kutzkey and David Goeddel, a member of the Issuer’s board of directors, are the managing members of TCG Opportunity III GP LLC and may each be deemed to share voting, investment and dispositive power with respect to these securities.</w:t>
      </w:r>
    </w:p>
    <w:p>
      <w:pPr>
        <w:spacing w:after="0" w:line="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19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Opportunity III GP,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949,862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949,862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949,862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80" w:hanging="332"/>
        <w:spacing w:after="0" w:line="269" w:lineRule="auto"/>
        <w:tabs>
          <w:tab w:leader="none" w:pos="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shares are held of record by TCG Opportunity III LP. TCG Opportunity GP LP is the general partner of TCG Opportunity III LP and may be deemed to have voting, investment and dispositive power with respect to these securities. TCG Opportunity GP LLC is the general partner of TCG Opportunity GP LP and the ultimate general partner of TCG Opportunity III LP and may be deemed to have voting, investment and dispositive power with respect to these securities. Peter Svennilson, Timothy Kutzkey and David Goeddel, a member of the Issuer’s board of directors, are the managing members of TCG Opportunity III GP LLC and may each be deemed to share voting, investment and dispositive power with respect to these securities.</w:t>
      </w:r>
    </w:p>
    <w:p>
      <w:pPr>
        <w:spacing w:after="0" w:line="2"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20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TCG Opportunity III GP,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949,862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949,862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949,862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80" w:hanging="332"/>
        <w:spacing w:after="0" w:line="269" w:lineRule="auto"/>
        <w:tabs>
          <w:tab w:leader="none" w:pos="3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shares are held of record by TCG Opportunity III LP. TCG Opportunity GP LP is the general partner of TCG Opportunity III LP and may be deemed to have voting, investment and dispositive power with respect to these securities. TCG Opportunity GP LLC is the general partner of TCG Opportunity GP LP and the ultimate general partner of TCG Opportunity III LP and may be deemed to have voting, investment and dispositive power with respect to these securities. Peter Svennilson, Timothy Kutzkey and David Goeddel, a member of the Issuer’s board of directors, are the managing members of TCG Opportunity III GP LLC and may each be deemed to share voting, investment and dispositive power with respect to these securities.</w:t>
      </w:r>
    </w:p>
    <w:p>
      <w:pPr>
        <w:spacing w:after="0" w:line="2"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21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 PF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Sweden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44,000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21,684,413 (2)</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44,000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21,684,413 (2)</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21,728,413 (1)(2)</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26.3% (3)</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directly by Peter Svennilson.</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Svennilson is a managing partner of TCG GP, TCG II GP, TCGM LP and TCG III GP, and a managing member of Ponoi LLC, Ponoi II LLC, TCG Opportunity III GP LLC and TCG IV GP LLC and may be deemed to share voting and dispositive control over the shares of Common Stock held by TCG LP, TCG GP, TCG II LP, TCGM LP, Ponoi LP, Ponoi II LP, TCG III LP, TCG III-A LP, TCG Opportunity III LP, TCG IV LP and TCG IV-A LP.</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22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 PF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205,096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21,874,413 (2)</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205,096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21,874,413 (2)</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22,079,509 (1)(2)</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26.7% (3)</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40" w:hanging="332"/>
        <w:spacing w:after="0" w:line="261"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134,180 shares held directly by David Goeddel and (ii) 70,916 shares underlying stock options granted to David Goeddel for his service as a member of the Issuer’s board of directors, which vest within 60 days of this statement.</w:t>
      </w:r>
    </w:p>
    <w:p>
      <w:pPr>
        <w:ind w:left="340" w:right="40" w:hanging="332"/>
        <w:spacing w:after="0" w:line="265" w:lineRule="auto"/>
        <w:tabs>
          <w:tab w:leader="none" w:pos="3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David Goeddel, a member of the Issuer’s board of directors, is a managing partner of TCG GP, TCG II GP, TCGM LP and TCG III GP, and a managing member of Ponoi LLC, Ponoi II LLC, TCG Opportunity III GP LLC and TCG IV GP LLC and may be deemed to share voting and dispositive control over the shares of Common Stock held by TCG LP, TCG GP, TCG II LP, TCGM LP, Ponoi LP, Ponoi II LP, TCG III LP, TCG III-A LP, TCG Opportunity III LP, TCG IV LP and TCG IV-A LP. David Goeddel serves as co-trustee of the David V. Goeddel and Alena Z. Goeddel 2004 Trust (the “Goeddel Trust”) and shares voting and dispositive control over 190,000 shares of Common Stock held directly by the Goeddel Trust.</w:t>
      </w:r>
    </w:p>
    <w:p>
      <w:pPr>
        <w:ind w:left="340" w:right="180" w:hanging="332"/>
        <w:spacing w:after="0" w:line="255"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82,786,423 shares of Common Stock outstanding, which consists of (a) 82,715,507 shares of Common Stock outstanding as of October 30, 2023, as reported in the Form 10-Q plus (b) 70,916 shares underlying stock options granted to David Goeddel for his service as a member of the Issuer's board of directors, which vest within 60 days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23 of 28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 PF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15,000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8,215,322 (2)</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15,000 (1)</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8,215,322 (2)</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8,230,322 (1)(2)</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(3)</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directly by Timothy Kutzkey.</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Kutzkey is a managing member of Ponoi LLC, Ponoi II LLC, TCG Opportunity III GP LLC and TCG IV GP LLC, and a managing partner of TCG III GP and TCGM LP and may be deemed to share voting and dispositive control over the shares of Common Stock held by Ponoi LP, Ponoi II LP, TCG III LP, TCG III-A LP, TCG Opportunity III LP, TCG IV LP, TCG IV-A LP and TCGM LP.</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82,715,507 shares of Common Stock outstanding as of October 30, 2023, as reported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3" w:name="page24"/>
    <w:bookmarkEnd w:id="23"/>
    <w:p>
      <w:pPr>
        <w:ind w:left="40"/>
        <w:spacing w:after="0"/>
        <w:tabs>
          <w:tab w:leader="none" w:pos="4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62921N 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color w:val="auto"/>
        </w:rPr>
        <w:t>Page 24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14401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4401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Amendment No. 6 supplements and amends the Schedule 13D relating to shares of common stock, par value $0.001 per share (the “Common Stock”), of NGM Biopharmaceuticals, Inc., a Delaware corporation (the “Issuer”), that was filed with the Securities and Exchange Commission (the “SEC”) on April 12, 2019 as it has been amended by Amendment No. 1, Amendment No. 2, Amendment No. 3, Amendment No. 4 and Amendment No. 5 that were filed with the SEC on May 17, 2019, October 18, 2019, April 2, 2020, February 3, 2022 and June 10, 2022, respectively (collectively, the “Amended Statement”). Only those items that are reported are hereby amended; all other items reported in the Amended Statement remain unchanged. Capitalized terms contained herein but not otherwise defined shall have the meanings ascribed to such terms in the Amended Statement. Information given in response to each item shall be deemed incorporated by reference in all other items as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(b) and (c) of the Amended Statement are hereby amended and restated in their entirety as follows:</w:t>
      </w:r>
    </w:p>
    <w:p>
      <w:pPr>
        <w:spacing w:after="0" w:line="27" w:lineRule="exact"/>
        <w:rPr>
          <w:sz w:val="20"/>
          <w:szCs w:val="20"/>
          <w:color w:val="auto"/>
        </w:rPr>
      </w:pPr>
    </w:p>
    <w:p>
      <w:pPr>
        <w:ind w:right="20" w:firstLine="8"/>
        <w:spacing w:after="0" w:line="251"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by (i) The Column Group, LP, a Delaware limited partnership (“TCG LP”), (ii) The Column Group GP, LP, a Delaware limited partnership (“TCG GP”), (iii) The Column Group II, LP, a Delaware limited partnership (“TCG II LP”), (iv) The Column Group II GP, LP, a Delaware limited partnership (“TCG II GP”), (v) The Column Group Management LP, a Delaware limited partnership (“TCGM LP”), (vi) Ponoi Capital, LP, a Delaware limited partnership (“Ponoi LP”), (vii) Ponoi Management, LLC, a Delaware limited liability company (“Ponoi LLC”), (viii) Ponoi Capital II, LP, a Delaware limited partnership (“Ponoi II LP”), (ix) Ponoi II Management, LLC, a Delaware limited liability company (“Ponoi II LLC”), (x) The Column Group III, LP, a Delaware limited partnership (“TCG III LP”), (xi) The Column Group III-A, LP, a Delaware limited partnership (“TCG III-A LP”), (xii) The Column Group III GP, LP, a Delaware limited partnership (“TCG III GP”), (xiii) The Column Group IV, LP, a Delaware limited partnership (“TCG IV LP”), (xiv) The Column Group IV-A, LP, a Delaware limited partnership (“TCG IV-A LP”), (xv) The Column Group IV GP, LP, a Delaware limited partnership (“TCG IV GP LP”), (xvi) TCG IV GP LLC, a Delaware limited liability company (“TCG IV GP LLC”), (xvii) The Column Group Opportunity III, LP, a Delaware limited partnership (“TCG Opportunity III LP”), (xviii) The Column Group Opportunity III GP, LP, a Delaware limited partnership (“TCG Opportunity III GP LP”), (xix) TCG Opportunity III GP LLC, a Delaware limited liability company (“TCG Opportunity III GP LLC”), and (xx) Peter Svennilson, David V. Goeddel and Timothy Kutzkey (collectively referred to as the “Reporting Individuals”). Mr. Svennilson and Dr. Goeddel are the managing partners of TCG GP and TCG II GP. Mr. Svennilson, Dr. Goeddel and Dr. Kutzkey are the managing members of Ponoi LLC, Ponoi II LLC, TCG Opportunity III GP LLC and TCG IV GP LLC, and the managing partners of TCG III GP and TCGM LP. Each of the Reporting Individuals, TCG LP, TCG GP, TCG II LP, TCG II GP, TCGM LP, Ponoi LP, Ponoi LLC, Ponoi II LP, Ponoi II LLC, TCG III LP, TCG III-A LP, TCG III GP, TCG IV LP, TCG IV-A LP, TCG IV GP LP, TCG IV GP LLC, TCG Opportunity III LP, TCG Opportunity III GP LP and TCG Opportunity III GP LLC are sometimes hereinafter referred to individually as a “Reporting Person,” and, collectively, as the “Reporting Persons.”</w:t>
      </w:r>
    </w:p>
    <w:p>
      <w:pPr>
        <w:spacing w:after="0" w:line="189"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offices of TCG LP, TCG GP, TCG II LP, TCG II GP, TCGM LP, Ponoi LP, Ponoi LLC, Ponoi II LP, Ponoi II LLC, TCG III LP, TCG III-A LP, TCG III GP, TCG IV LP, TCG IV-A LP, TCG IV GP LP, TCG IV GP LLC, TCG Opportunity III LP, TCG Opportunity III GP LP and TCG Opportunity III GP LLC and the business address of each of the Reporting Individuals is 1 Letterman Drive, Building D, Suite DM-900, San Francisco, CA 94129.</w:t>
      </w:r>
    </w:p>
    <w:p>
      <w:pPr>
        <w:spacing w:after="0" w:line="179" w:lineRule="exact"/>
        <w:rPr>
          <w:rFonts w:ascii="Times New Roman" w:cs="Times New Roman" w:eastAsia="Times New Roman" w:hAnsi="Times New Roman"/>
          <w:sz w:val="18"/>
          <w:szCs w:val="18"/>
          <w:color w:val="auto"/>
        </w:rPr>
      </w:pPr>
    </w:p>
    <w:p>
      <w:pPr>
        <w:ind w:right="60" w:firstLine="8"/>
        <w:spacing w:after="0" w:line="255"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each of TCG LP, TCG II LP, Ponoi LP, Ponoi II LP, TCG III LP, TCG III-A LP, TCG IV LP, TCG IV-A LP and TCG Opportunity III LP is making venture capital investments. TCGM LP’s principal business is managing entities that make venture capital investments. TCG GP’s principal business is acting as general partner of TCG LP. TCG II GP’s principal business is acting as general partner of TCG II LP. Ponoi LLC’s principal business is acting as general partner of Ponoi LP. Ponoi II LLC’s principal business is acting as general partner of Ponoi II LP. TCG III GP’s principal business is acting as general partner of TCG III LP and TCG III-A LP. TCG IV GP LP’s principal business is acting as general partner of TCG IV LP and TCG IV-A LP. TCG IV GP LLC’s principal business is acting as general partner of TCG IV GP LP. TCG Opportunity III GP LP’s principal business is acting as general partner of TCG Opportunity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type w:val="continuous"/>
        </w:sectPr>
      </w:pPr>
    </w:p>
    <w:bookmarkStart w:id="24" w:name="page25"/>
    <w:bookmarkEnd w:id="24"/>
    <w:p>
      <w:pPr>
        <w:ind w:left="40"/>
        <w:spacing w:after="0"/>
        <w:tabs>
          <w:tab w:leader="none" w:pos="4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62921N 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color w:val="auto"/>
        </w:rPr>
        <w:t>Page 25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14401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4401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06" w:right="35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7"/>
          <w:szCs w:val="17"/>
          <w:color w:val="auto"/>
        </w:rPr>
        <w:t>TCG Opportunity III GP LLC’s principal business is acting as general partner of TCG Opportunity III GP LP. Each Reporting Individual is engaged through venture capital investment entities in acquiring, holding and disposing of interests in various companies for investment purposes. Each of Mr. Svennilson’s and Dr. Goeddel’s principal business is acting as a managing partner of TCG GP, TCG II GP, TCGM LP, and TCG III GP, and managing member of Ponoi LLC, Ponoi II LLC, TCG IV GP LLC and TCG Opportunity III GP LLC. Dr. Kutzkey’s principal business is acting as a managing member of Ponoi LLC, Ponoi II LLC, TCG IV GP LLC, and TCG Opportunity III GP LLC, and managing partner of TCG III GP and TCGM 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Amended Statement is hereby amended to add the following language as the last paragraphs thereof:</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Between October 25, 2022 and November 16, 2023, TCG Opportunity III LP purchased 949,862 shares of Common Stock for an aggregate purchase price of $4,539,248.20. TCG Opportunity III LP received the funds used to purchase the shares of Common Stock noted above from capital contributions made by its partners for investment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October 17, 2022 and November 16, 2023, David Goeddel purchased 54,180 shares of Common Stock for an aggregate purchase price of</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$161,965.50. On October 18, 2022, the David V. Goeddel and Alena Z. Goeddel 2004 Trust purchased 80,000 shares of Common Stock for an aggregate purchase price of $303,256.00.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Amended Statement is hereby amended and supplemented by adding the following:</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December 28, 2023, certain of the Reporting Persons, on behalf of themselves and their affiliated investment funds and persons, submitted to the board of directors of the Issuer (the “Board”) a non-binding expression of interest letter (the “Letter”) setting forth an intent to explore and evaluate a potential acquisition of all of the outstanding shares of Common Stock that are not owned by the Reporting Persons or their affiliates in a going-private transaction. A copy of the Letter is filed as Exhibit 1 to this Amendment No. 6, and the information set forth in the Letter is incorporated by reference herein.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Letter may result in one or more of the transactions, events or actions specified in clauses (a) through (j) of Item 4 of Schedule 13D, including, without limitation, an acquisition of additional securities of the Issuer, an extraordinary corporate transaction (such as a merger) involving the Issuer, delisting of the Common Stock from the Nasdaq Global Select Market and other material changes in the Issuer’s business or corporate structure.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Letter stated that any transaction, once structured and agreed upon, would be conditioned upon, among other things, the (x) approval and recommendation of the transaction by a properly constituted special committee composed of independent and disinterested directors of the Issuer appointed by the Board, with assistance from legal and financial advisors, and (y) approval of the stockholders holding at least a majority of all the issued and outstanding shares of Common Stock not held by the Reporting Persons or their affiliates.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Letter is non-binding in nature and does not obligate in any way the Reporting Persons or the Issuer to negotiate or enter into definitive documentation with respect to a transaction or otherwise complete a transaction. The Letter states that the Reporting Persons are only interested in acquiring the outstanding shares of Common Stock that they do not already own, and are not interested in selling their shares of Common Stock to another party or in participating in an alternative change of control transaction involving the Issuer.</w:t>
      </w:r>
    </w:p>
    <w:p>
      <w:pPr>
        <w:spacing w:after="0" w:line="180"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Letter does not purport to be complete and is qualified in its entirety by reference to the full text of the Letter. Neither the Letter nor this Schedule 13D is meant to be, nor should be construed as, an offer to buy or the solicitation of an offer to sell any of the Issuer’s securities.</w:t>
      </w:r>
    </w:p>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Reporting Persons intend to review their investment in the Issuer on a continuing basis and may from time to time and at any time in the future depending on various factors, including, without limitation, the outcome of any discussions referenced in this Schedule 13D, as may be amended from time to time, the Issuer’s financial position and strategic direction, actions taken by the Board, price levels of the Issuer’s securities, other investment opportunities available to the Reporting Persons, conditions in the securities market and general economic and industry conditions, take such actions with respect to the investment in the Issuer as they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6" w:right="359" w:bottom="1440" w:gutter="0" w:footer="0" w:header="0"/>
          <w:type w:val="continuous"/>
        </w:sectPr>
      </w:pPr>
    </w:p>
    <w:bookmarkStart w:id="25" w:name="page26"/>
    <w:bookmarkEnd w:id="25"/>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Page 26 of 28</w:t>
            </w:r>
          </w:p>
        </w:tc>
      </w:tr>
    </w:tbl>
    <w:p>
      <w:pPr>
        <w:spacing w:after="0" w:line="200" w:lineRule="exact"/>
        <w:rPr>
          <w:sz w:val="20"/>
          <w:szCs w:val="20"/>
          <w:color w:val="auto"/>
        </w:rPr>
      </w:pPr>
    </w:p>
    <w:p>
      <w:pPr>
        <w:spacing w:after="0" w:line="21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Reporting Persons do not plan to make further filings or announcements regarding a potential transaction unless and until there is a definitive agreement to report or unless required by applicable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5(a), (b) and (c) of the Amended Statement are hereby amended and restated in their entirety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and (b) See Items 7-11 of the cover pages of this Statement and Item 2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Except as reported in this Statement, none of the Reporting Persons has effected any transactions in the Issuer’s securities within the past 60 days.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hereof is hereby incorporated by reference into this Item 6, as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ind w:left="14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360" w:hanging="830"/>
        <w:spacing w:after="0"/>
        <w:tabs>
          <w:tab w:leader="none" w:pos="1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Letter, dated December 28, 2023, from certain Reporting Persons to the Board</w:t>
      </w:r>
    </w:p>
    <w:p>
      <w:pPr>
        <w:spacing w:after="0" w:line="23" w:lineRule="exact"/>
        <w:rPr>
          <w:sz w:val="20"/>
          <w:szCs w:val="20"/>
          <w:color w:val="auto"/>
        </w:rPr>
      </w:pPr>
    </w:p>
    <w:p>
      <w:pPr>
        <w:ind w:left="1360" w:hanging="830"/>
        <w:spacing w:after="0"/>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6" w:name="page27"/>
    <w:bookmarkEnd w:id="26"/>
    <w:p>
      <w:pPr>
        <w:ind w:left="40"/>
        <w:spacing w:after="0"/>
        <w:tabs>
          <w:tab w:leader="none" w:pos="4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62921N 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color w:val="auto"/>
        </w:rPr>
        <w:t>Page 27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14401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4401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December 29,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THE COLUMN GROUP GP, LP</w:t>
            </w:r>
          </w:p>
        </w:tc>
        <w:tc>
          <w:tcPr>
            <w:tcW w:w="4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GP, LP</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II,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THE COLUMN GROUP II GP, LP</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II GP, LP</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PONOI CAPITAL,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PONOI MANAGEMENT, LLC</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Ponoi Management, LLC</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PONOI CAPITAL II,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PONOI II MANAGEMENT, LLC</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Ponoi II Management, LLC</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MANAGEMENT,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III,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THE COLUMN GROUP III-A, LP</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440" w:type="dxa"/>
            <w:vAlign w:val="bottom"/>
          </w:tcPr>
          <w:p>
            <w:pPr>
              <w:spacing w:after="0"/>
              <w:rPr>
                <w:sz w:val="24"/>
                <w:szCs w:val="24"/>
                <w:color w:val="auto"/>
              </w:rPr>
            </w:pPr>
          </w:p>
        </w:tc>
      </w:tr>
      <w:tr>
        <w:trPr>
          <w:trHeight w:val="42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Timothy</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Timothy</w:t>
            </w:r>
          </w:p>
        </w:tc>
        <w:tc>
          <w:tcPr>
            <w:tcW w:w="4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Kutzkey</w:t>
            </w: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Kutzkey</w:t>
            </w:r>
          </w:p>
        </w:tc>
        <w:tc>
          <w:tcPr>
            <w:tcW w:w="44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9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Peter</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Peter</w:t>
            </w:r>
          </w:p>
        </w:tc>
        <w:tc>
          <w:tcPr>
            <w:tcW w:w="4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Svennilson</w:t>
            </w: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Svennilson</w:t>
            </w:r>
          </w:p>
        </w:tc>
        <w:tc>
          <w:tcPr>
            <w:tcW w:w="44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9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David V.</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David V.</w:t>
            </w:r>
          </w:p>
        </w:tc>
        <w:tc>
          <w:tcPr>
            <w:tcW w:w="4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Goeddel</w:t>
            </w: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Goeddel</w:t>
            </w:r>
          </w:p>
        </w:tc>
        <w:tc>
          <w:tcPr>
            <w:tcW w:w="440" w:type="dxa"/>
            <w:vAlign w:val="bottom"/>
          </w:tcPr>
          <w:p>
            <w:pPr>
              <w:spacing w:after="0"/>
              <w:rPr>
                <w:sz w:val="20"/>
                <w:szCs w:val="20"/>
                <w:color w:val="auto"/>
              </w:rPr>
            </w:pPr>
          </w:p>
        </w:tc>
      </w:tr>
      <w:tr>
        <w:trPr>
          <w:trHeight w:val="20"/>
        </w:trPr>
        <w:tc>
          <w:tcPr>
            <w:tcW w:w="600" w:type="dxa"/>
            <w:vAlign w:val="bottom"/>
            <w:gridSpan w:val="2"/>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IV, LP</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IV GP, LP</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IV GP, LLC</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56"/>
        </w:trPr>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6" w:right="339" w:bottom="1440" w:gutter="0" w:footer="0" w:header="0"/>
          <w:type w:val="continuous"/>
        </w:sectPr>
      </w:pPr>
    </w:p>
    <w:bookmarkStart w:id="27" w:name="page28"/>
    <w:bookmarkEnd w:id="27"/>
    <w:p>
      <w:pPr>
        <w:ind w:left="40"/>
        <w:spacing w:after="0"/>
        <w:tabs>
          <w:tab w:leader="none" w:pos="4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62921N 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color w:val="auto"/>
        </w:rPr>
        <w:t>Page 28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14401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4401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COLUMN GROUP IV-A,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IV GP, LP</w:t>
            </w:r>
          </w:p>
        </w:tc>
        <w:tc>
          <w:tcPr>
            <w:tcW w:w="616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IV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IV GP,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IV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TCG IV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Opportunity III GP,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Opportunity III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OPPORTUNITY III GP,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Opportunity III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TIMOTHY KUTZKEY</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PETER SVENNILSON</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c>
          <w:tcPr>
            <w:tcW w:w="616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DAVID V. GOEDDEL</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c>
          <w:tcPr>
            <w:tcW w:w="6160" w:type="dxa"/>
            <w:vAlign w:val="bottom"/>
          </w:tcPr>
          <w:p>
            <w:pPr>
              <w:spacing w:after="0"/>
              <w:rPr>
                <w:sz w:val="24"/>
                <w:szCs w:val="24"/>
                <w:color w:val="auto"/>
              </w:rPr>
            </w:pPr>
          </w:p>
        </w:tc>
      </w:tr>
      <w:tr>
        <w:trPr>
          <w:trHeight w:val="784"/>
        </w:trPr>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6" w:right="339" w:bottom="1440" w:gutter="0" w:footer="0" w:header="0"/>
          <w:type w:val="continuous"/>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Column Group, 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Column Group GP,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Column Group Management,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Column Group II,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Column Group III,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Column Group III-A,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Column Group IV,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Column Group IV-A,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Column Group Opportunity III,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Ponoi Capital,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Ponoi Capital II,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Letterman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Building D, Suite DM-900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Francisco, CA 94129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Oyster Point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0" w:lineRule="exact"/>
        <w:rPr>
          <w:sz w:val="20"/>
          <w:szCs w:val="20"/>
          <w:color w:val="auto"/>
        </w:rPr>
      </w:pPr>
    </w:p>
    <w:p>
      <w:pPr>
        <w:spacing w:after="0" w:line="21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Re:</w:t>
      </w:r>
      <w:r>
        <w:rPr>
          <w:sz w:val="20"/>
          <w:szCs w:val="20"/>
          <w:color w:val="auto"/>
        </w:rPr>
        <w:tab/>
      </w:r>
      <w:r>
        <w:rPr>
          <w:rFonts w:ascii="Times New Roman" w:cs="Times New Roman" w:eastAsia="Times New Roman" w:hAnsi="Times New Roman"/>
          <w:sz w:val="18"/>
          <w:szCs w:val="18"/>
          <w:b w:val="1"/>
          <w:bCs w:val="1"/>
          <w:i w:val="1"/>
          <w:iCs w:val="1"/>
          <w:color w:val="auto"/>
        </w:rPr>
        <w:t>Non-Binding Expression of Interest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 of Directors: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behalf of The Column Group, LP, The Column Group GP, LP, The Column Group Management, LP, The Column Group II, LP, The Column Group III, LP, The Column Group III-A, LP, The Column Group IV, LP, The Column Group IV-A, LP, The Column Group Opportunity III, LP, Ponoi Capital, LP, Ponoi Capital II, LP and their affiliated investment funds and persons (collectively, “</w:t>
      </w:r>
      <w:r>
        <w:rPr>
          <w:rFonts w:ascii="Times New Roman" w:cs="Times New Roman" w:eastAsia="Times New Roman" w:hAnsi="Times New Roman"/>
          <w:sz w:val="18"/>
          <w:szCs w:val="18"/>
          <w:u w:val="single" w:color="auto"/>
          <w:color w:val="auto"/>
        </w:rPr>
        <w:t>TCG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we are writing to outline our intent to explore and evaluate a potential acquisition of all of the outstanding shares of common stock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NGM Biopharmaceuticals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not already owned by us in a going-private transaction (a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As you know, we currently beneficially own approximately 26% of the issued and outstanding Common Shares.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a Transaction can offer the Company’s shareholders a highly attractive opportunity to de-risk their investment by obtaining immediate liquidity and certainty of value, which can provide superior value to the Company’s shareholders. We wish to emphasize that, in our capacity as stockholders of the Company, we are only interested in acquiring the shares of the Company we do not currently own, and accordingly we have no interest in a sale of our holdings in the Company or in participating in an alternative change of control transaction involving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In our capacity as a stockholder of the Company, we would not vote in favor of any alternative sale, merger or similar transaction involving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engage in communications and discussions with the Company, members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Special Committee (as defined below) and management of the Company, other current or prospective shareholders of the Company, potential co-investors and financing sources (including current or potential investors in funds managed by us or those affiliated with us), investment and financing professionals, industry analysts and other knowledgeable industry or market observers and participants, and other interested parties regarding a potential transaction and/or the matters set forth in this letter (this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and may exchange information with such persons pursuant to appropriate confidentiality or similar agreements.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recognize that the Board will evaluate any proposal independently before it can make its determination whether to endorse such proposal. In addition, we expect that a special committee composed of independent and disinterested directors of the Company appointed by the Board (a “</w:t>
      </w:r>
      <w:r>
        <w:rPr>
          <w:rFonts w:ascii="Times New Roman" w:cs="Times New Roman" w:eastAsia="Times New Roman" w:hAnsi="Times New Roman"/>
          <w:sz w:val="18"/>
          <w:szCs w:val="18"/>
          <w:u w:val="single" w:color="auto"/>
          <w:color w:val="auto"/>
        </w:rPr>
        <w:t>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will consider any and all of our proposals carefully and make a recommendation to the Board; we expect that the Special Committee will retain legal and financial advisors for assistance. Moreover, we will condition the consummation of any Transaction involving us upon the non-waivable condition requiring approval of the stockholders holding at least a majority of all the issued and outstanding Common Shares not held by us or our affiliates. We will not move forward with any Transaction unless it is approved and recommended by such Special Committee (with the assistance of its legal and financial advisors) and a majority of such unaffiliated stockholders. If we determine not to make a binding definitive proposal, the Special Committee does not recommend or the unaffiliated public stockholders of the Company do not approve a proposed transaction with us, such determination would not adversely affect our future relationship with the Company.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Letter constitutes an expression of interest only, and we reserve the right to withdraw or modify it in any manner. This Letter does not include or constitute a binding offer to acquire the Company or any securities or assets of the Company, or a proposal of definitive terms for any transaction. A binding commitment will result only from the execution of definitive agreements, and then will be on the terms and conditions provided in the definitive agreements.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Please be advised that we intend to promptly file a Schedule 13D amendment, including a copy of this Letter, with the Securities and Exchange Commission. We and our advisors are available at your convenience to discuss this Letter. We look forward to hearing from you.</w:t>
      </w:r>
    </w:p>
    <w:p>
      <w:pPr>
        <w:spacing w:after="0" w:line="162"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GP,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Svennilson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COLUMN GROUP GP,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Svennilson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COLUMN GROUP MANAGEMENT, LP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Svennilson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COLUMN GROUP II,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II GP,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Svennilson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THE COLUMN GROUP III,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III GP,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Svennilson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COLUMN GROUP III-A,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III GP,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Svennilson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COLUMN GROUP IV,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IV GP,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TCG IV GP, LLC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Svennilson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THE COLUMN GROUP IV-A,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IV GP,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TCG IV GP, LLC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Svennilson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Opportunity III GP,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TCG Opportunity III GP, LLC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Svennilson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PONOI CAPITAL,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Ponoi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Svennilson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PONOI CAPITAL II,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Ponoi II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Svennilson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9" w:lineRule="exact"/>
        <w:rPr>
          <w:sz w:val="20"/>
          <w:szCs w:val="20"/>
          <w:color w:val="auto"/>
        </w:rPr>
      </w:pPr>
    </w:p>
    <w:p>
      <w:pPr>
        <w:ind w:right="1400"/>
        <w:spacing w:after="0" w:line="498" w:lineRule="auto"/>
        <w:rPr>
          <w:sz w:val="20"/>
          <w:szCs w:val="20"/>
          <w:color w:val="auto"/>
        </w:rPr>
      </w:pPr>
      <w:r>
        <w:rPr>
          <w:rFonts w:ascii="Times New Roman" w:cs="Times New Roman" w:eastAsia="Times New Roman" w:hAnsi="Times New Roman"/>
          <w:sz w:val="18"/>
          <w:szCs w:val="18"/>
          <w:color w:val="auto"/>
        </w:rPr>
        <w:t>We, the undersigned, hereby express our agreement that the attached Amendment No. 6 to Schedule 13D is filed on behalf of each of us. Dated: December 29,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THE COLUMN GROUP GP, LP</w:t>
            </w:r>
          </w:p>
        </w:tc>
        <w:tc>
          <w:tcPr>
            <w:tcW w:w="4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GP, LP</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II,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THE COLUMN GROUP II GP, LP</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II GP, LP</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PONOI CAPITAL,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PONOI MANAGEMENT, LLC</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Ponoi Management, LLC</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PONOI CAPITAL II,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PONOI II MANAGEMENT, LLC</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Ponoi II Management, LLC</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MANAGEMENT,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III,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THE COLUMN GROUP III-A, LP</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440" w:type="dxa"/>
            <w:vAlign w:val="bottom"/>
          </w:tcPr>
          <w:p>
            <w:pPr>
              <w:spacing w:after="0"/>
              <w:rPr>
                <w:sz w:val="24"/>
                <w:szCs w:val="24"/>
                <w:color w:val="auto"/>
              </w:rPr>
            </w:pPr>
          </w:p>
        </w:tc>
      </w:tr>
      <w:tr>
        <w:trPr>
          <w:trHeight w:val="42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Timothy</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Timothy</w:t>
            </w:r>
          </w:p>
        </w:tc>
        <w:tc>
          <w:tcPr>
            <w:tcW w:w="4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Kutzkey</w:t>
            </w: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Kutzkey</w:t>
            </w:r>
          </w:p>
        </w:tc>
        <w:tc>
          <w:tcPr>
            <w:tcW w:w="44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9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Peter</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Peter</w:t>
            </w:r>
          </w:p>
        </w:tc>
        <w:tc>
          <w:tcPr>
            <w:tcW w:w="4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Svennilson</w:t>
            </w: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Svennilson</w:t>
            </w:r>
          </w:p>
        </w:tc>
        <w:tc>
          <w:tcPr>
            <w:tcW w:w="44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9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David V.</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David V.</w:t>
            </w:r>
          </w:p>
        </w:tc>
        <w:tc>
          <w:tcPr>
            <w:tcW w:w="4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Goeddel</w:t>
            </w: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Goeddel</w:t>
            </w:r>
          </w:p>
        </w:tc>
        <w:tc>
          <w:tcPr>
            <w:tcW w:w="440" w:type="dxa"/>
            <w:vAlign w:val="bottom"/>
          </w:tcPr>
          <w:p>
            <w:pPr>
              <w:spacing w:after="0"/>
              <w:rPr>
                <w:sz w:val="20"/>
                <w:szCs w:val="20"/>
                <w:color w:val="auto"/>
              </w:rPr>
            </w:pPr>
          </w:p>
        </w:tc>
      </w:tr>
      <w:tr>
        <w:trPr>
          <w:trHeight w:val="20"/>
        </w:trPr>
        <w:tc>
          <w:tcPr>
            <w:tcW w:w="600" w:type="dxa"/>
            <w:vAlign w:val="bottom"/>
            <w:gridSpan w:val="2"/>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IV, LP</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IV GP, LP</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IV GP, LLC</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973"/>
        </w:trPr>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THE COLUMN GROUP IV-A,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IV GP, LP</w:t>
            </w:r>
          </w:p>
        </w:tc>
        <w:tc>
          <w:tcPr>
            <w:tcW w:w="616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IV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IV GP,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IV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TCG IV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Opportunity III GP,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Opportunity III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OPPORTUNITY III GP,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Opportunity III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TIMOTHY KUTZKEY</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PETER SVENNILSON</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c>
          <w:tcPr>
            <w:tcW w:w="616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DAVID V. GOEDDEL</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c>
          <w:tcPr>
            <w:tcW w:w="6160" w:type="dxa"/>
            <w:vAlign w:val="bottom"/>
          </w:tcPr>
          <w:p>
            <w:pPr>
              <w:spacing w:after="0"/>
              <w:rPr>
                <w:sz w:val="24"/>
                <w:szCs w:val="24"/>
                <w:color w:val="auto"/>
              </w:rPr>
            </w:pPr>
          </w:p>
        </w:tc>
      </w:tr>
      <w:tr>
        <w:trPr>
          <w:trHeight w:val="784"/>
        </w:trPr>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bullet"/>
      <w:start w:val="1"/>
    </w:lvl>
  </w:abstractNum>
  <w:abstractNum w:abstractNumId="24">
    <w:nsid w:val="79838CB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2023-12-29T15:11:24Z</dcterms:created>
  <dcterms:modified xsi:type="dcterms:W3CDTF">2023-12-29T15:11:24Z</dcterms:modified>
</cp:coreProperties>
</file>