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4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17"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On May 18, 2022, NGM Biopharmaceuticals,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2022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The following is a brief description of each matter voted on at the Annual Meeting, as well as the votes cast with respect to each matter, and if applicable, the number of abstentions and broker non-votes with respect to each matter. A more complete description of each matter can be found in the Company’s definitive proxy statement filed with the U.S. Securities and Exchange Commission on April 6, 2022.</w:t>
      </w:r>
    </w:p>
    <w:p>
      <w:pPr>
        <w:spacing w:after="0" w:line="325"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67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600" w:type="dxa"/>
            <w:vAlign w:val="bottom"/>
            <w:vMerge w:val="restart"/>
          </w:tcPr>
          <w:p>
            <w:pPr>
              <w:spacing w:after="0"/>
              <w:rPr>
                <w:sz w:val="24"/>
                <w:szCs w:val="24"/>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Name</w:t>
            </w:r>
          </w:p>
        </w:tc>
        <w:tc>
          <w:tcPr>
            <w:tcW w:w="5260" w:type="dxa"/>
            <w:vAlign w:val="bottom"/>
            <w:vMerge w:val="restart"/>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Withheld</w:t>
            </w:r>
          </w:p>
        </w:tc>
        <w:tc>
          <w:tcPr>
            <w:tcW w:w="8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V. Goeddel, Ph.D.</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53,943,473</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10,333,414</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6,215,944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Sawochka Hooper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55,578,629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8,698,258</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6,215,944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Woodhouse, Ph.D.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54,839,003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9,437,884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6,215,944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The Class III director nominees were elected to hold office until the Company’s 2025 annual meeting of stockholders and until their successors are duly elected and qualified.</w:t>
      </w:r>
    </w:p>
    <w:p>
      <w:pPr>
        <w:spacing w:after="0" w:line="306"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Advisory Vote on Executive Compensation</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24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4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150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48,944,032</w:t>
            </w:r>
          </w:p>
        </w:tc>
        <w:tc>
          <w:tcPr>
            <w:tcW w:w="9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15,300,203</w:t>
            </w:r>
          </w:p>
        </w:tc>
        <w:tc>
          <w:tcPr>
            <w:tcW w:w="9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32,652</w:t>
            </w:r>
          </w:p>
        </w:tc>
        <w:tc>
          <w:tcPr>
            <w:tcW w:w="9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6,215,944</w:t>
            </w:r>
          </w:p>
        </w:tc>
      </w:tr>
    </w:tbl>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stockholders of the Company approved, on an advisory basis, the compensation of the Company’s named executive officers.</w:t>
      </w:r>
    </w:p>
    <w:p>
      <w:pPr>
        <w:spacing w:after="0" w:line="370"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Advisory Vote on the Frequency of Solicitation of Advisory Stockholder Approval of Executive Compensation</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27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3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5"/>
              </w:rPr>
              <w:t>Two Years</w:t>
            </w:r>
          </w:p>
        </w:tc>
        <w:tc>
          <w:tcPr>
            <w:tcW w:w="2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9"/>
        </w:trPr>
        <w:tc>
          <w:tcPr>
            <w:tcW w:w="172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60,967,819</w:t>
            </w:r>
          </w:p>
        </w:tc>
        <w:tc>
          <w:tcPr>
            <w:tcW w:w="10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1,529</w:t>
            </w:r>
          </w:p>
        </w:tc>
        <w:tc>
          <w:tcPr>
            <w:tcW w:w="10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3,302,480</w:t>
            </w:r>
          </w:p>
        </w:tc>
        <w:tc>
          <w:tcPr>
            <w:tcW w:w="10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5,059</w:t>
            </w:r>
          </w:p>
        </w:tc>
      </w:tr>
    </w:tbl>
    <w:p>
      <w:pPr>
        <w:spacing w:after="0" w:line="198" w:lineRule="exact"/>
        <w:rPr>
          <w:sz w:val="20"/>
          <w:szCs w:val="20"/>
          <w:color w:val="auto"/>
        </w:rPr>
      </w:pPr>
    </w:p>
    <w:p>
      <w:pPr>
        <w:ind w:left="444" w:right="62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expressed their preference, on an advisory basis, to have a non-binding vote on the compensation of the Company’s named executive officers every year.</w:t>
      </w:r>
    </w:p>
    <w:p>
      <w:pPr>
        <w:spacing w:after="0" w:line="30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Ratification of Selection of Independent Registered Public Accounting Firm</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9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Firm</w:t>
            </w:r>
          </w:p>
        </w:tc>
        <w:tc>
          <w:tcPr>
            <w:tcW w:w="56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28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16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Ernst &amp; Young LLP</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70,462,410</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29,817</w:t>
            </w: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604</w:t>
            </w:r>
          </w:p>
        </w:tc>
      </w:tr>
    </w:tbl>
    <w:p>
      <w:pPr>
        <w:spacing w:after="0" w:line="198" w:lineRule="exact"/>
        <w:rPr>
          <w:sz w:val="20"/>
          <w:szCs w:val="20"/>
          <w:color w:val="auto"/>
        </w:rPr>
      </w:pPr>
    </w:p>
    <w:p>
      <w:pPr>
        <w:ind w:left="444" w:right="6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Ernst &amp; Young LLP as the Company’s independent registered public accounting firm for the fiscal year ending December 31, 2022.</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180" w:val="left"/>
          <w:tab w:leader="none" w:pos="5600" w:val="left"/>
        </w:tabs>
        <w:rPr>
          <w:sz w:val="20"/>
          <w:szCs w:val="20"/>
          <w:color w:val="auto"/>
        </w:rPr>
      </w:pPr>
      <w:r>
        <w:rPr>
          <w:rFonts w:ascii="Times New Roman" w:cs="Times New Roman" w:eastAsia="Times New Roman" w:hAnsi="Times New Roman"/>
          <w:sz w:val="18"/>
          <w:szCs w:val="18"/>
          <w:color w:val="auto"/>
        </w:rPr>
        <w:t>Dated: May 24,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2863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Valerie Pierce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Secretary, Senior Vice President, General Counsel and Chief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Compliance Officer</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2022-05-24T16:05:36Z</dcterms:created>
  <dcterms:modified xsi:type="dcterms:W3CDTF">2022-05-24T16:05:36Z</dcterms:modified>
</cp:coreProperties>
</file>