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386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386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4"/>
            <w:vMerge w:val="restart"/>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6"/>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9"/>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1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1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10/14/2019</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5"/>
              </w:rPr>
              <w:t>34,900</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10.36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7"/>
              </w:rPr>
              <w:t>88,072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10/15/2019</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5"/>
              </w:rPr>
              <w:t>33,200</w:t>
            </w:r>
            <w:r>
              <w:rPr>
                <w:rFonts w:ascii="Arial" w:cs="Arial" w:eastAsia="Arial" w:hAnsi="Arial"/>
                <w:sz w:val="22"/>
                <w:szCs w:val="22"/>
                <w:color w:val="008000"/>
                <w:w w:val="95"/>
                <w:vertAlign w:val="superscript"/>
              </w:rPr>
              <w:t>(4)</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10.31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121,272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10/16/2019</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5"/>
              </w:rPr>
              <w:t>34,900</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10.26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156,172</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(5)</w:t>
            </w:r>
          </w:p>
        </w:tc>
        <w:tc>
          <w:tcPr>
            <w:tcW w:w="110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(6)(7)(8)(9)(10)(11)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line="324" w:lineRule="exact"/>
              <w:rPr>
                <w:sz w:val="20"/>
                <w:szCs w:val="20"/>
                <w:color w:val="auto"/>
              </w:rPr>
            </w:pPr>
            <w:r>
              <w:rPr>
                <w:rFonts w:ascii="Arial" w:cs="Arial" w:eastAsia="Arial" w:hAnsi="Arial"/>
                <w:sz w:val="35"/>
                <w:szCs w:val="35"/>
                <w:color w:val="0000FF"/>
                <w:w w:val="82"/>
                <w:vertAlign w:val="subscript"/>
              </w:rPr>
              <w:t>D</w:t>
            </w:r>
            <w:r>
              <w:rPr>
                <w:rFonts w:ascii="Arial" w:cs="Arial" w:eastAsia="Arial" w:hAnsi="Arial"/>
                <w:sz w:val="11"/>
                <w:szCs w:val="11"/>
                <w:color w:val="008000"/>
                <w:w w:val="82"/>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3"/>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COLUMN GROUP III-A,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3"/>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16,390 shares of Common Stock held directly by The Column Group III, LP ("TCG III LP") and 18,510 shares of Common Stock held directly by The Column Group III-A, LP ("TCG III-A LP").</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15,592 shares of Common Stock held directly by The Column Group III, LP ("TCG III LP") and 17,608 shares of Common Stock held directly by The Column Group III-A, LP ("TCG III-A LP").</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6"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2019-12-24T04:50:22Z</dcterms:created>
  <dcterms:modified xsi:type="dcterms:W3CDTF">2019-12-24T04:50:22Z</dcterms:modified>
</cp:coreProperties>
</file>