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01/19/2023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2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20" w:type="dxa"/>
            <w:vAlign w:val="bottom"/>
            <w:gridSpan w:val="8"/>
            <w:vMerge w:val="continue"/>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40" w:type="dxa"/>
            <w:vAlign w:val="bottom"/>
            <w:gridSpan w:val="9"/>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2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01/19/2023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37,639</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4.9976</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732,559</w:t>
            </w:r>
          </w:p>
        </w:tc>
        <w:tc>
          <w:tcPr>
            <w:tcW w:w="340" w:type="dxa"/>
            <w:vAlign w:val="bottom"/>
          </w:tcPr>
          <w:p>
            <w:pPr>
              <w:spacing w:after="0"/>
              <w:rPr>
                <w:sz w:val="21"/>
                <w:szCs w:val="21"/>
                <w:color w:val="auto"/>
              </w:rPr>
            </w:pPr>
          </w:p>
        </w:tc>
        <w:tc>
          <w:tcPr>
            <w:tcW w:w="580" w:type="dxa"/>
            <w:vAlign w:val="bottom"/>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520"/>
              <w:spacing w:after="0"/>
              <w:rPr>
                <w:sz w:val="20"/>
                <w:szCs w:val="20"/>
                <w:color w:val="auto"/>
              </w:rPr>
            </w:pPr>
            <w:r>
              <w:rPr>
                <w:rFonts w:ascii="Times New Roman" w:cs="Times New Roman" w:eastAsia="Times New Roman" w:hAnsi="Times New Roman"/>
                <w:sz w:val="17"/>
                <w:szCs w:val="17"/>
                <w:color w:val="0000FF"/>
              </w:rPr>
              <w:t>01/20/2023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right"/>
              <w:ind w:right="129"/>
              <w:spacing w:after="0"/>
              <w:rPr>
                <w:sz w:val="20"/>
                <w:szCs w:val="20"/>
                <w:color w:val="auto"/>
              </w:rPr>
            </w:pPr>
            <w:r>
              <w:rPr>
                <w:rFonts w:ascii="Times New Roman" w:cs="Times New Roman" w:eastAsia="Times New Roman" w:hAnsi="Times New Roman"/>
                <w:sz w:val="17"/>
                <w:szCs w:val="17"/>
                <w:color w:val="0000FF"/>
              </w:rPr>
              <w:t>500</w:t>
            </w:r>
          </w:p>
        </w:tc>
        <w:tc>
          <w:tcPr>
            <w:tcW w:w="38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4.996</w:t>
            </w:r>
            <w:r>
              <w:rPr>
                <w:rFonts w:ascii="Times New Roman" w:cs="Times New Roman" w:eastAsia="Times New Roman" w:hAnsi="Times New Roman"/>
                <w:sz w:val="22"/>
                <w:szCs w:val="22"/>
                <w:color w:val="008000"/>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733,059</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1"/>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190,000</w:t>
            </w:r>
          </w:p>
        </w:tc>
        <w:tc>
          <w:tcPr>
            <w:tcW w:w="340" w:type="dxa"/>
            <w:vAlign w:val="bottom"/>
          </w:tcPr>
          <w:p>
            <w:pPr>
              <w:spacing w:after="0"/>
              <w:rPr>
                <w:sz w:val="21"/>
                <w:szCs w:val="21"/>
                <w:color w:val="auto"/>
              </w:rPr>
            </w:pPr>
          </w:p>
        </w:tc>
        <w:tc>
          <w:tcPr>
            <w:tcW w:w="580" w:type="dxa"/>
            <w:vAlign w:val="bottom"/>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2,650,177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90,442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858,035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968,990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08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0853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acquired in multiple transactions at prices ranging from $4.975 to $5.00, inclusive. The Reporting Persons undertake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or the staff of the Securities and Exchange Commission, upon request, full information regarding the number of shares acquired at each separate price within the ranges set forth in</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26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3"/>
                <w:szCs w:val="13"/>
                <w:color w:val="008000"/>
              </w:rPr>
              <w:t>this footnote 1 to this Form 4.</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The securities are directly held by The Column Group Opportunity III, LP ("TCG Opportunity III LP"). The Column Group Opportunity III GP, LP ("TCG Opportunity III GP LP") is the general</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0"/>
        <w:spacing w:after="0" w:line="196" w:lineRule="auto"/>
        <w:rPr>
          <w:sz w:val="20"/>
          <w:szCs w:val="20"/>
          <w:color w:val="auto"/>
        </w:rPr>
      </w:pPr>
      <w:r>
        <w:rPr>
          <w:rFonts w:ascii="Times New Roman" w:cs="Times New Roman" w:eastAsia="Times New Roman" w:hAnsi="Times New Roman"/>
          <w:sz w:val="11"/>
          <w:szCs w:val="11"/>
          <w:color w:val="008000"/>
        </w:rPr>
        <w:t>partner of TCG Opportunity III LP and may be deemed to have voting, investment and dispositive power with respect to these securities. TCG Opportunity III GP, LLC ("TCG Opportunity III GP LLC")</w:t>
      </w:r>
    </w:p>
    <w:p>
      <w:pPr>
        <w:ind w:left="4680"/>
        <w:spacing w:after="0" w:line="180" w:lineRule="auto"/>
        <w:rPr>
          <w:sz w:val="20"/>
          <w:szCs w:val="20"/>
          <w:color w:val="auto"/>
        </w:rPr>
      </w:pPr>
      <w:r>
        <w:rPr>
          <w:rFonts w:ascii="Arial" w:cs="Arial" w:eastAsia="Arial" w:hAnsi="Arial"/>
          <w:sz w:val="5"/>
          <w:szCs w:val="5"/>
          <w:b w:val="1"/>
          <w:bCs w:val="1"/>
          <w:color w:val="auto"/>
        </w:rPr>
        <w:t>and 5)</w:t>
      </w:r>
    </w:p>
    <w:p>
      <w:pPr>
        <w:ind w:left="40" w:right="440"/>
        <w:spacing w:after="0" w:line="242" w:lineRule="auto"/>
        <w:rPr>
          <w:sz w:val="20"/>
          <w:szCs w:val="20"/>
          <w:color w:val="auto"/>
        </w:rPr>
      </w:pPr>
      <w:r>
        <w:rPr>
          <w:rFonts w:ascii="Times New Roman" w:cs="Times New Roman" w:eastAsia="Times New Roman" w:hAnsi="Times New Roman"/>
          <w:sz w:val="13"/>
          <w:szCs w:val="13"/>
          <w:color w:val="008000"/>
        </w:rPr>
        <w:t>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008000"/>
              </w:rPr>
              <w:t>3.</w:t>
            </w:r>
          </w:p>
        </w:tc>
        <w:tc>
          <w:tcPr>
            <w:tcW w:w="1076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w:t>
            </w:r>
          </w:p>
        </w:tc>
        <w:tc>
          <w:tcPr>
            <w:tcW w:w="0" w:type="dxa"/>
            <w:vAlign w:val="bottom"/>
          </w:tcPr>
          <w:p>
            <w:pPr>
              <w:spacing w:after="0"/>
              <w:rPr>
                <w:sz w:val="1"/>
                <w:szCs w:val="1"/>
                <w:color w:val="auto"/>
              </w:rPr>
            </w:pPr>
          </w:p>
        </w:tc>
      </w:tr>
      <w:tr>
        <w:trPr>
          <w:trHeight w:val="133"/>
        </w:trPr>
        <w:tc>
          <w:tcPr>
            <w:tcW w:w="1088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8000"/>
              </w:rPr>
              <w:t>Opportunity III GP LLC and each of the TCG Managing Members disclaim beneficial ownership of these securities, except to the extent of their respective pecuniary interest in such securities.</w:t>
            </w:r>
          </w:p>
        </w:tc>
        <w:tc>
          <w:tcPr>
            <w:tcW w:w="0" w:type="dxa"/>
            <w:vAlign w:val="bottom"/>
          </w:tcPr>
          <w:p>
            <w:pPr>
              <w:spacing w:after="0"/>
              <w:rPr>
                <w:sz w:val="1"/>
                <w:szCs w:val="1"/>
                <w:color w:val="auto"/>
              </w:rPr>
            </w:pPr>
          </w:p>
        </w:tc>
      </w:tr>
      <w:tr>
        <w:trPr>
          <w:trHeight w:val="66"/>
        </w:trPr>
        <w:tc>
          <w:tcPr>
            <w:tcW w:w="1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40" w:type="dxa"/>
            <w:vAlign w:val="bottom"/>
          </w:tcPr>
          <w:p>
            <w:pPr>
              <w:ind w:left="460"/>
              <w:spacing w:after="0" w:line="66"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134"/>
        </w:trPr>
        <w:tc>
          <w:tcPr>
            <w:tcW w:w="1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008000"/>
              </w:rPr>
              <w:t>4.</w:t>
            </w:r>
          </w:p>
        </w:tc>
        <w:tc>
          <w:tcPr>
            <w:tcW w:w="10760" w:type="dxa"/>
            <w:vAlign w:val="bottom"/>
            <w:gridSpan w:val="5"/>
          </w:tcPr>
          <w:p>
            <w:pPr>
              <w:ind w:left="20"/>
              <w:spacing w:after="0" w:line="134" w:lineRule="exact"/>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$4.98 to $5.00, inclusive. The Reporting Persons undertake to</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4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27"/>
        </w:trPr>
        <w:tc>
          <w:tcPr>
            <w:tcW w:w="10880" w:type="dxa"/>
            <w:vAlign w:val="bottom"/>
            <w:gridSpan w:val="6"/>
          </w:tcPr>
          <w:p>
            <w:pPr>
              <w:spacing w:after="0" w:line="27" w:lineRule="exact"/>
              <w:rPr>
                <w:sz w:val="20"/>
                <w:szCs w:val="20"/>
                <w:color w:val="auto"/>
              </w:rPr>
            </w:pPr>
            <w:r>
              <w:rPr>
                <w:rFonts w:ascii="Times New Roman" w:cs="Times New Roman" w:eastAsia="Times New Roman" w:hAnsi="Times New Roman"/>
                <w:sz w:val="3"/>
                <w:szCs w:val="3"/>
                <w:color w:val="008000"/>
              </w:rPr>
              <w:t>provide to the Issuer or the staff of the Securities and Exchange Commission, upon request, full information regarding the number of shares acquired at each separate price within the ranges set forth in</w:t>
            </w:r>
          </w:p>
        </w:tc>
        <w:tc>
          <w:tcPr>
            <w:tcW w:w="0" w:type="dxa"/>
            <w:vAlign w:val="bottom"/>
          </w:tcPr>
          <w:p>
            <w:pPr>
              <w:spacing w:after="0" w:line="20" w:lineRule="exact"/>
              <w:rPr>
                <w:sz w:val="1"/>
                <w:szCs w:val="1"/>
                <w:color w:val="auto"/>
              </w:rPr>
            </w:pPr>
          </w:p>
        </w:tc>
      </w:tr>
      <w:tr>
        <w:trPr>
          <w:trHeight w:val="147"/>
        </w:trPr>
        <w:tc>
          <w:tcPr>
            <w:tcW w:w="270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008000"/>
              </w:rPr>
              <w:t>this footnote 4 to this Form 4.</w:t>
            </w:r>
          </w:p>
        </w:tc>
        <w:tc>
          <w:tcPr>
            <w:tcW w:w="1780" w:type="dxa"/>
            <w:vAlign w:val="bottom"/>
            <w:vMerge w:val="restart"/>
          </w:tcPr>
          <w:p>
            <w:pPr>
              <w:ind w:left="110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8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4040" w:type="dxa"/>
            <w:vAlign w:val="bottom"/>
          </w:tcPr>
          <w:p>
            <w:pPr>
              <w:ind w:left="460"/>
              <w:spacing w:after="0"/>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93"/>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5.</w:t>
            </w:r>
          </w:p>
        </w:tc>
        <w:tc>
          <w:tcPr>
            <w:tcW w:w="25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620" w:type="dxa"/>
            <w:vAlign w:val="bottom"/>
          </w:tcPr>
          <w:p>
            <w:pPr>
              <w:ind w:left="160"/>
              <w:spacing w:after="0" w:line="93" w:lineRule="exact"/>
              <w:rPr>
                <w:sz w:val="20"/>
                <w:szCs w:val="20"/>
                <w:color w:val="auto"/>
              </w:rPr>
            </w:pPr>
            <w:r>
              <w:rPr>
                <w:rFonts w:ascii="Arial" w:cs="Arial" w:eastAsia="Arial" w:hAnsi="Arial"/>
                <w:sz w:val="10"/>
                <w:szCs w:val="10"/>
                <w:b w:val="1"/>
                <w:bCs w:val="1"/>
                <w:color w:val="auto"/>
              </w:rPr>
              <w:t>(A)   (D)   Exercisable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Date</w:t>
            </w:r>
          </w:p>
        </w:tc>
        <w:tc>
          <w:tcPr>
            <w:tcW w:w="404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Title  Shares</w:t>
            </w:r>
          </w:p>
        </w:tc>
        <w:tc>
          <w:tcPr>
            <w:tcW w:w="0" w:type="dxa"/>
            <w:vAlign w:val="bottom"/>
          </w:tcPr>
          <w:p>
            <w:pPr>
              <w:spacing w:after="0"/>
              <w:rPr>
                <w:sz w:val="1"/>
                <w:szCs w:val="1"/>
                <w:color w:val="auto"/>
              </w:rPr>
            </w:pPr>
          </w:p>
        </w:tc>
      </w:tr>
      <w:tr>
        <w:trPr>
          <w:trHeight w:val="134"/>
        </w:trPr>
        <w:tc>
          <w:tcPr>
            <w:tcW w:w="120" w:type="dxa"/>
            <w:vAlign w:val="bottom"/>
            <w:vMerge w:val="continue"/>
          </w:tcPr>
          <w:p>
            <w:pPr>
              <w:spacing w:after="0"/>
              <w:rPr>
                <w:sz w:val="11"/>
                <w:szCs w:val="11"/>
                <w:color w:val="auto"/>
              </w:rPr>
            </w:pPr>
          </w:p>
        </w:tc>
        <w:tc>
          <w:tcPr>
            <w:tcW w:w="10760" w:type="dxa"/>
            <w:vAlign w:val="bottom"/>
            <w:gridSpan w:val="5"/>
          </w:tcPr>
          <w:p>
            <w:pPr>
              <w:ind w:left="20"/>
              <w:spacing w:after="0" w:line="134" w:lineRule="exact"/>
              <w:rPr>
                <w:sz w:val="20"/>
                <w:szCs w:val="20"/>
                <w:color w:val="auto"/>
              </w:rPr>
            </w:pPr>
            <w:r>
              <w:rPr>
                <w:rFonts w:ascii="Times New Roman" w:cs="Times New Roman" w:eastAsia="Times New Roman" w:hAnsi="Times New Roman"/>
                <w:sz w:val="13"/>
                <w:szCs w:val="13"/>
                <w:color w:val="008000"/>
              </w:rPr>
              <w:t>The securities are directly held by the David V. Goeddel and Alena Z. Goeddel 2004 Trust and the Alena Z. Goeddel Irrevocable Trust for which the Reporting Person and Alena Z. Goeddel serve as co-</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3"/>
          <w:szCs w:val="13"/>
          <w:color w:val="008000"/>
        </w:rPr>
        <w:t>trustee.</w:t>
      </w:r>
    </w:p>
    <w:p>
      <w:pPr>
        <w:spacing w:after="0" w:line="36" w:lineRule="exact"/>
        <w:rPr>
          <w:sz w:val="20"/>
          <w:szCs w:val="20"/>
          <w:color w:val="auto"/>
        </w:rPr>
      </w:pPr>
    </w:p>
    <w:p>
      <w:pPr>
        <w:ind w:left="40" w:right="300"/>
        <w:spacing w:after="0" w:line="244" w:lineRule="auto"/>
        <w:rPr>
          <w:sz w:val="20"/>
          <w:szCs w:val="20"/>
          <w:color w:val="auto"/>
        </w:rPr>
      </w:pPr>
      <w:r>
        <w:rPr>
          <w:rFonts w:ascii="Times New Roman" w:cs="Times New Roman" w:eastAsia="Times New Roman" w:hAnsi="Times New Roman"/>
          <w:sz w:val="13"/>
          <w:szCs w:val="13"/>
          <w:color w:val="008000"/>
        </w:rPr>
        <w:t>6. 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sz w:val="20"/>
          <w:szCs w:val="20"/>
          <w:color w:val="auto"/>
        </w:rPr>
      </w:pPr>
    </w:p>
    <w:p>
      <w:pPr>
        <w:ind w:left="40" w:right="260"/>
        <w:spacing w:after="0" w:line="244" w:lineRule="auto"/>
        <w:rPr>
          <w:sz w:val="20"/>
          <w:szCs w:val="20"/>
          <w:color w:val="auto"/>
        </w:rPr>
      </w:pPr>
      <w:r>
        <w:rPr>
          <w:rFonts w:ascii="Times New Roman" w:cs="Times New Roman" w:eastAsia="Times New Roman" w:hAnsi="Times New Roman"/>
          <w:sz w:val="13"/>
          <w:szCs w:val="13"/>
          <w:color w:val="008000"/>
        </w:rPr>
        <w:t>7. 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sz w:val="20"/>
          <w:szCs w:val="20"/>
          <w:color w:val="auto"/>
        </w:rPr>
      </w:pPr>
    </w:p>
    <w:p>
      <w:pPr>
        <w:jc w:val="both"/>
        <w:ind w:left="40" w:right="360"/>
        <w:spacing w:after="0" w:line="247" w:lineRule="auto"/>
        <w:rPr>
          <w:sz w:val="20"/>
          <w:szCs w:val="20"/>
          <w:color w:val="auto"/>
        </w:rPr>
      </w:pPr>
      <w:r>
        <w:rPr>
          <w:rFonts w:ascii="Times New Roman" w:cs="Times New Roman" w:eastAsia="Times New Roman" w:hAnsi="Times New Roman"/>
          <w:sz w:val="13"/>
          <w:szCs w:val="13"/>
          <w:color w:val="008000"/>
        </w:rPr>
        <w:t>8. The securities are directly held by The Column Group, LP ("TCG LP").The Column Group GP,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sz w:val="20"/>
          <w:szCs w:val="20"/>
          <w:color w:val="auto"/>
        </w:rPr>
      </w:pPr>
    </w:p>
    <w:p>
      <w:pPr>
        <w:ind w:left="40" w:right="260"/>
        <w:spacing w:after="0" w:line="247" w:lineRule="auto"/>
        <w:rPr>
          <w:sz w:val="20"/>
          <w:szCs w:val="20"/>
          <w:color w:val="auto"/>
        </w:rPr>
      </w:pPr>
      <w:r>
        <w:rPr>
          <w:rFonts w:ascii="Times New Roman" w:cs="Times New Roman" w:eastAsia="Times New Roman" w:hAnsi="Times New Roman"/>
          <w:sz w:val="13"/>
          <w:szCs w:val="13"/>
          <w:color w:val="008000"/>
        </w:rPr>
        <w:t>9. 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jc w:val="both"/>
        <w:ind w:left="40" w:right="240"/>
        <w:spacing w:after="0" w:line="247" w:lineRule="auto"/>
        <w:rPr>
          <w:sz w:val="20"/>
          <w:szCs w:val="20"/>
          <w:color w:val="auto"/>
        </w:rPr>
      </w:pPr>
      <w:r>
        <w:rPr>
          <w:rFonts w:ascii="Times New Roman" w:cs="Times New Roman" w:eastAsia="Times New Roman" w:hAnsi="Times New Roman"/>
          <w:sz w:val="13"/>
          <w:szCs w:val="13"/>
          <w:color w:val="008000"/>
        </w:rPr>
        <w:t>10. 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left="40" w:right="160"/>
        <w:spacing w:after="0" w:line="253" w:lineRule="auto"/>
        <w:rPr>
          <w:sz w:val="20"/>
          <w:szCs w:val="20"/>
          <w:color w:val="auto"/>
        </w:rPr>
      </w:pPr>
      <w:r>
        <w:rPr>
          <w:rFonts w:ascii="Times New Roman" w:cs="Times New Roman" w:eastAsia="Times New Roman" w:hAnsi="Times New Roman"/>
          <w:sz w:val="13"/>
          <w:szCs w:val="13"/>
          <w:color w:val="008000"/>
        </w:rPr>
        <w:t>11. 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ind w:left="40" w:right="240"/>
        <w:spacing w:after="0" w:line="247" w:lineRule="auto"/>
        <w:rPr>
          <w:sz w:val="20"/>
          <w:szCs w:val="20"/>
          <w:color w:val="auto"/>
        </w:rPr>
      </w:pPr>
      <w:r>
        <w:rPr>
          <w:rFonts w:ascii="Times New Roman" w:cs="Times New Roman" w:eastAsia="Times New Roman" w:hAnsi="Times New Roman"/>
          <w:sz w:val="13"/>
          <w:szCs w:val="13"/>
          <w:color w:val="008000"/>
        </w:rPr>
        <w:t>12. 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left="40" w:right="300"/>
        <w:spacing w:after="0" w:line="247" w:lineRule="auto"/>
        <w:rPr>
          <w:sz w:val="20"/>
          <w:szCs w:val="20"/>
          <w:color w:val="auto"/>
        </w:rPr>
      </w:pPr>
      <w:r>
        <w:rPr>
          <w:rFonts w:ascii="Times New Roman" w:cs="Times New Roman" w:eastAsia="Times New Roman" w:hAnsi="Times New Roman"/>
          <w:sz w:val="13"/>
          <w:szCs w:val="13"/>
          <w:color w:val="008000"/>
        </w:rPr>
        <w:t>13. 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left="40" w:right="320"/>
        <w:spacing w:after="0" w:line="253" w:lineRule="auto"/>
        <w:rPr>
          <w:sz w:val="20"/>
          <w:szCs w:val="20"/>
          <w:color w:val="auto"/>
        </w:rPr>
      </w:pPr>
      <w:r>
        <w:rPr>
          <w:rFonts w:ascii="Times New Roman" w:cs="Times New Roman" w:eastAsia="Times New Roman" w:hAnsi="Times New Roman"/>
          <w:sz w:val="13"/>
          <w:szCs w:val="13"/>
          <w:color w:val="008000"/>
        </w:rPr>
        <w:t>14. 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13"/>
          <w:szCs w:val="13"/>
          <w:color w:val="008000"/>
        </w:rPr>
        <w:t>15. 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01/23/2023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2023-01-23T15:25:27Z</dcterms:created>
  <dcterms:modified xsi:type="dcterms:W3CDTF">2023-01-23T15:25:27Z</dcterms:modified>
</cp:coreProperties>
</file>