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43"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540" w:right="1780" w:hanging="3532"/>
        <w:spacing w:after="0" w:line="391" w:lineRule="auto"/>
        <w:tabs>
          <w:tab w:leader="none" w:pos="51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252" w:lineRule="exact"/>
        <w:rPr>
          <w:sz w:val="24"/>
          <w:szCs w:val="24"/>
          <w:color w:val="auto"/>
        </w:rPr>
      </w:pPr>
    </w:p>
    <w:p>
      <w:pPr>
        <w:ind w:left="3600" w:right="1780" w:hanging="3592"/>
        <w:spacing w:after="0" w:line="477" w:lineRule="auto"/>
        <w:tabs>
          <w:tab w:leader="none" w:pos="53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 to _______</w:t>
      </w:r>
    </w:p>
    <w:p>
      <w:pPr>
        <w:ind w:left="41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001-38853</w:t>
      </w:r>
    </w:p>
    <w:p>
      <w:pPr>
        <w:spacing w:after="0" w:line="194"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NGM BIOPHARMACEUTICALS, INC.</w:t>
      </w:r>
    </w:p>
    <w:p>
      <w:pPr>
        <w:spacing w:after="0" w:line="5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1"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4360" w:type="dxa"/>
            <w:vAlign w:val="bottom"/>
          </w:tcPr>
          <w:p>
            <w:pPr>
              <w:jc w:val="center"/>
              <w:ind w:right="1924"/>
              <w:spacing w:after="0"/>
              <w:rPr>
                <w:sz w:val="20"/>
                <w:szCs w:val="20"/>
                <w:color w:val="auto"/>
              </w:rPr>
            </w:pPr>
            <w:r>
              <w:rPr>
                <w:rFonts w:ascii="Arial" w:cs="Arial" w:eastAsia="Arial" w:hAnsi="Arial"/>
                <w:sz w:val="18"/>
                <w:szCs w:val="18"/>
                <w:b w:val="1"/>
                <w:bCs w:val="1"/>
                <w:color w:val="auto"/>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26-1679911</w:t>
            </w:r>
          </w:p>
        </w:tc>
      </w:tr>
      <w:tr>
        <w:trPr>
          <w:trHeight w:val="135"/>
        </w:trPr>
        <w:tc>
          <w:tcPr>
            <w:tcW w:w="4360" w:type="dxa"/>
            <w:vAlign w:val="bottom"/>
          </w:tcPr>
          <w:p>
            <w:pPr>
              <w:jc w:val="center"/>
              <w:ind w:right="192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060" w:type="dxa"/>
            <w:vAlign w:val="bottom"/>
          </w:tcPr>
          <w:p>
            <w:pPr>
              <w:jc w:val="center"/>
              <w:ind w:left="190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34"/>
        </w:trPr>
        <w:tc>
          <w:tcPr>
            <w:tcW w:w="4360" w:type="dxa"/>
            <w:vAlign w:val="bottom"/>
          </w:tcPr>
          <w:p>
            <w:pPr>
              <w:jc w:val="center"/>
              <w:ind w:right="1924"/>
              <w:spacing w:after="0" w:line="134" w:lineRule="exact"/>
              <w:rPr>
                <w:sz w:val="20"/>
                <w:szCs w:val="20"/>
                <w:color w:val="auto"/>
              </w:rPr>
            </w:pPr>
            <w:r>
              <w:rPr>
                <w:rFonts w:ascii="Arial" w:cs="Arial" w:eastAsia="Arial" w:hAnsi="Arial"/>
                <w:sz w:val="13"/>
                <w:szCs w:val="13"/>
                <w:b w:val="1"/>
                <w:bCs w:val="1"/>
                <w:color w:val="auto"/>
                <w:w w:val="96"/>
              </w:rPr>
              <w:t>incorporation or organization)</w:t>
            </w:r>
          </w:p>
        </w:tc>
        <w:tc>
          <w:tcPr>
            <w:tcW w:w="3060" w:type="dxa"/>
            <w:vAlign w:val="bottom"/>
          </w:tcPr>
          <w:p>
            <w:pPr>
              <w:jc w:val="center"/>
              <w:ind w:left="1926"/>
              <w:spacing w:after="0" w:line="134" w:lineRule="exact"/>
              <w:rPr>
                <w:sz w:val="20"/>
                <w:szCs w:val="20"/>
                <w:color w:val="auto"/>
              </w:rPr>
            </w:pPr>
            <w:r>
              <w:rPr>
                <w:rFonts w:ascii="Arial" w:cs="Arial" w:eastAsia="Arial" w:hAnsi="Arial"/>
                <w:sz w:val="13"/>
                <w:szCs w:val="13"/>
                <w:b w:val="1"/>
                <w:bCs w:val="1"/>
                <w:color w:val="auto"/>
                <w:w w:val="96"/>
              </w:rPr>
              <w:t>Identification No.)</w:t>
            </w:r>
          </w:p>
        </w:tc>
      </w:tr>
      <w:tr>
        <w:trPr>
          <w:trHeight w:val="202"/>
        </w:trPr>
        <w:tc>
          <w:tcPr>
            <w:tcW w:w="4360" w:type="dxa"/>
            <w:vAlign w:val="bottom"/>
          </w:tcPr>
          <w:p>
            <w:pPr>
              <w:jc w:val="center"/>
              <w:ind w:right="1924"/>
              <w:spacing w:after="0" w:line="202" w:lineRule="exact"/>
              <w:rPr>
                <w:sz w:val="20"/>
                <w:szCs w:val="20"/>
                <w:color w:val="auto"/>
              </w:rPr>
            </w:pPr>
            <w:r>
              <w:rPr>
                <w:rFonts w:ascii="Arial" w:cs="Arial" w:eastAsia="Arial" w:hAnsi="Arial"/>
                <w:sz w:val="18"/>
                <w:szCs w:val="18"/>
                <w:b w:val="1"/>
                <w:bCs w:val="1"/>
                <w:color w:val="auto"/>
              </w:rPr>
              <w:t>333 Oyster Point Boulevard</w:t>
            </w:r>
          </w:p>
        </w:tc>
        <w:tc>
          <w:tcPr>
            <w:tcW w:w="3060" w:type="dxa"/>
            <w:vAlign w:val="bottom"/>
          </w:tcPr>
          <w:p>
            <w:pPr>
              <w:spacing w:after="0"/>
              <w:rPr>
                <w:sz w:val="17"/>
                <w:szCs w:val="17"/>
                <w:color w:val="auto"/>
              </w:rPr>
            </w:pPr>
          </w:p>
        </w:tc>
      </w:tr>
      <w:tr>
        <w:trPr>
          <w:trHeight w:val="203"/>
        </w:trPr>
        <w:tc>
          <w:tcPr>
            <w:tcW w:w="4360" w:type="dxa"/>
            <w:vAlign w:val="bottom"/>
          </w:tcPr>
          <w:p>
            <w:pPr>
              <w:jc w:val="center"/>
              <w:ind w:right="1924"/>
              <w:spacing w:after="0" w:line="203" w:lineRule="exact"/>
              <w:rPr>
                <w:sz w:val="20"/>
                <w:szCs w:val="20"/>
                <w:color w:val="auto"/>
              </w:rPr>
            </w:pPr>
            <w:r>
              <w:rPr>
                <w:rFonts w:ascii="Arial" w:cs="Arial" w:eastAsia="Arial" w:hAnsi="Arial"/>
                <w:sz w:val="18"/>
                <w:szCs w:val="18"/>
                <w:b w:val="1"/>
                <w:bCs w:val="1"/>
                <w:color w:val="auto"/>
              </w:rPr>
              <w:t>South San Francisco, CA</w:t>
            </w:r>
          </w:p>
        </w:tc>
        <w:tc>
          <w:tcPr>
            <w:tcW w:w="30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94080</w:t>
            </w:r>
          </w:p>
        </w:tc>
      </w:tr>
      <w:tr>
        <w:trPr>
          <w:trHeight w:val="168"/>
        </w:trPr>
        <w:tc>
          <w:tcPr>
            <w:tcW w:w="4360" w:type="dxa"/>
            <w:vAlign w:val="bottom"/>
          </w:tcPr>
          <w:p>
            <w:pPr>
              <w:jc w:val="center"/>
              <w:ind w:right="1924"/>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60" w:type="dxa"/>
            <w:vAlign w:val="bottom"/>
          </w:tcPr>
          <w:p>
            <w:pPr>
              <w:jc w:val="center"/>
              <w:ind w:left="1926"/>
              <w:spacing w:after="0"/>
              <w:rPr>
                <w:sz w:val="20"/>
                <w:szCs w:val="20"/>
                <w:color w:val="auto"/>
              </w:rPr>
            </w:pPr>
            <w:r>
              <w:rPr>
                <w:rFonts w:ascii="Arial" w:cs="Arial" w:eastAsia="Arial" w:hAnsi="Arial"/>
                <w:sz w:val="13"/>
                <w:szCs w:val="13"/>
                <w:b w:val="1"/>
                <w:bCs w:val="1"/>
                <w:color w:val="auto"/>
                <w:w w:val="96"/>
              </w:rPr>
              <w:t>(Zip Code)</w:t>
            </w:r>
          </w:p>
        </w:tc>
      </w:tr>
    </w:tbl>
    <w:p>
      <w:pPr>
        <w:spacing w:after="0" w:line="74"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28"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 w:lineRule="exact"/>
        <w:rPr>
          <w:sz w:val="24"/>
          <w:szCs w:val="24"/>
          <w:color w:val="auto"/>
        </w:rPr>
      </w:pPr>
    </w:p>
    <w:tbl>
      <w:tblPr>
        <w:tblLayout w:type="fixed"/>
        <w:tblInd w:w="130" w:type="dxa"/>
        <w:tblCellMar>
          <w:top w:w="0" w:type="dxa"/>
          <w:left w:w="0" w:type="dxa"/>
          <w:bottom w:w="0" w:type="dxa"/>
          <w:right w:w="0" w:type="dxa"/>
        </w:tblCellMar>
      </w:tblPr>
      <w:tr>
        <w:trPr>
          <w:trHeight w:val="272"/>
        </w:trPr>
        <w:tc>
          <w:tcPr>
            <w:tcW w:w="4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5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207"/>
        </w:trPr>
        <w:tc>
          <w:tcPr>
            <w:tcW w:w="478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5480" w:type="dxa"/>
            <w:vAlign w:val="bottom"/>
            <w:tcBorders>
              <w:bottom w:val="single" w:sz="8" w:color="auto"/>
            </w:tcBorders>
          </w:tcPr>
          <w:p>
            <w:pPr>
              <w:spacing w:after="0"/>
              <w:rPr>
                <w:sz w:val="17"/>
                <w:szCs w:val="17"/>
                <w:color w:val="auto"/>
              </w:rPr>
            </w:pPr>
          </w:p>
        </w:tc>
      </w:tr>
      <w:tr>
        <w:trPr>
          <w:trHeight w:val="29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10" w:lineRule="exact"/>
        <w:rPr>
          <w:sz w:val="24"/>
          <w:szCs w:val="24"/>
          <w:color w:val="auto"/>
        </w:rPr>
      </w:pPr>
    </w:p>
    <w:p>
      <w:pPr>
        <w:ind w:right="140" w:firstLine="608"/>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60" w:firstLine="608"/>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84" w:lineRule="exact"/>
        <w:tabs>
          <w:tab w:leader="none" w:pos="560" w:val="left"/>
          <w:tab w:leader="none" w:pos="12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180" w:firstLine="60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spacing w:after="0"/>
              <w:rPr>
                <w:sz w:val="22"/>
                <w:szCs w:val="22"/>
                <w:color w:val="auto"/>
              </w:rPr>
            </w:pPr>
          </w:p>
        </w:tc>
        <w:tc>
          <w:tcPr>
            <w:tcW w:w="300" w:type="dxa"/>
            <w:vAlign w:val="bottom"/>
          </w:tcPr>
          <w:p>
            <w:pPr>
              <w:spacing w:after="0"/>
              <w:rPr>
                <w:sz w:val="22"/>
                <w:szCs w:val="22"/>
                <w:color w:val="auto"/>
              </w:rPr>
            </w:pPr>
          </w:p>
        </w:tc>
      </w:tr>
    </w:tbl>
    <w:p>
      <w:pPr>
        <w:spacing w:after="0" w:line="111" w:lineRule="exact"/>
        <w:rPr>
          <w:sz w:val="24"/>
          <w:szCs w:val="24"/>
          <w:color w:val="auto"/>
        </w:rPr>
      </w:pPr>
    </w:p>
    <w:p>
      <w:pPr>
        <w:ind w:right="340" w:firstLine="608"/>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620" w:right="152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8, 2019, the registrant had 66,654,589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454025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535" w:right="1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r>
      <w:tr>
        <w:trPr>
          <w:trHeight w:val="620"/>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2140" w:type="dxa"/>
            <w:vAlign w:val="bottom"/>
            <w:gridSpan w:val="3"/>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Convertible Preferred Stock and Stockholders’ Equity (Deficit)</w:t>
              </w:r>
            </w:hyperlink>
          </w:p>
        </w:tc>
        <w:tc>
          <w:tcPr>
            <w:tcW w:w="80" w:type="dxa"/>
            <w:vAlign w:val="bottom"/>
          </w:tcPr>
          <w:p>
            <w:pPr>
              <w:spacing w:after="0"/>
              <w:rPr>
                <w:sz w:val="19"/>
                <w:szCs w:val="19"/>
                <w:color w:val="auto"/>
              </w:rPr>
            </w:pPr>
          </w:p>
        </w:tc>
      </w:tr>
      <w:tr>
        <w:trPr>
          <w:trHeight w:val="236"/>
        </w:trPr>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34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Unaudited Condensed Consolidated Financial Statements</w:t>
              </w:r>
            </w:hyperlink>
          </w:p>
        </w:tc>
        <w:tc>
          <w:tcPr>
            <w:tcW w:w="1720" w:type="dxa"/>
            <w:vAlign w:val="bottom"/>
            <w:gridSpan w:val="2"/>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6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Management’s Discussion and Analysis of Financial Condition and Results of Operations</w:t>
              </w:r>
            </w:hyperlink>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r>
      <w:tr>
        <w:trPr>
          <w:trHeight w:val="209"/>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2360" w:type="dxa"/>
            <w:vAlign w:val="bottom"/>
            <w:gridSpan w:val="5"/>
          </w:tcPr>
          <w:p>
            <w:pPr>
              <w:spacing w:after="0"/>
              <w:rPr>
                <w:sz w:val="18"/>
                <w:szCs w:val="18"/>
                <w:color w:val="auto"/>
              </w:rPr>
            </w:pPr>
          </w:p>
        </w:tc>
      </w:tr>
      <w:tr>
        <w:trPr>
          <w:trHeight w:val="23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OTHER INFORMATION</w:t>
              </w:r>
            </w:hyperlink>
          </w:p>
        </w:tc>
        <w:tc>
          <w:tcPr>
            <w:tcW w:w="60" w:type="dxa"/>
            <w:vAlign w:val="bottom"/>
            <w:tcBorders>
              <w:top w:val="single" w:sz="8" w:color="0000EE"/>
            </w:tcBorders>
          </w:tcPr>
          <w:p>
            <w:pPr>
              <w:spacing w:after="0"/>
              <w:rPr>
                <w:sz w:val="20"/>
                <w:szCs w:val="20"/>
                <w:color w:val="auto"/>
              </w:rPr>
            </w:pPr>
          </w:p>
        </w:tc>
        <w:tc>
          <w:tcPr>
            <w:tcW w:w="5080" w:type="dxa"/>
            <w:vAlign w:val="bottom"/>
            <w:gridSpan w:val="12"/>
          </w:tcPr>
          <w:p>
            <w:pPr>
              <w:spacing w:after="0"/>
              <w:rPr>
                <w:sz w:val="20"/>
                <w:szCs w:val="20"/>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9"/>
                <w:szCs w:val="19"/>
                <w:color w:val="auto"/>
              </w:rPr>
            </w:pPr>
          </w:p>
        </w:tc>
        <w:tc>
          <w:tcPr>
            <w:tcW w:w="5580" w:type="dxa"/>
            <w:vAlign w:val="bottom"/>
            <w:gridSpan w:val="14"/>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60" w:type="dxa"/>
            <w:vAlign w:val="bottom"/>
            <w:gridSpan w:val="1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4"/>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Defaults Upon Senior Securities</w:t>
              </w:r>
            </w:hyperlink>
          </w:p>
        </w:tc>
        <w:tc>
          <w:tcPr>
            <w:tcW w:w="2220" w:type="dxa"/>
            <w:vAlign w:val="bottom"/>
            <w:gridSpan w:val="4"/>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Mine Safety Disclosures</w:t>
              </w:r>
            </w:hyperlink>
          </w:p>
        </w:tc>
        <w:tc>
          <w:tcPr>
            <w:tcW w:w="4520" w:type="dxa"/>
            <w:vAlign w:val="bottom"/>
            <w:gridSpan w:val="10"/>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87">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2"/>
          </w:tcPr>
          <w:p>
            <w:pPr>
              <w:spacing w:after="0"/>
              <w:rPr>
                <w:sz w:val="19"/>
                <w:szCs w:val="19"/>
                <w:color w:val="auto"/>
              </w:rPr>
            </w:pPr>
          </w:p>
        </w:tc>
        <w:tc>
          <w:tcPr>
            <w:tcW w:w="5140" w:type="dxa"/>
            <w:vAlign w:val="bottom"/>
            <w:gridSpan w:val="13"/>
          </w:tcPr>
          <w:p>
            <w:pPr>
              <w:spacing w:after="0"/>
              <w:rPr>
                <w:sz w:val="19"/>
                <w:szCs w:val="19"/>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060" w:type="dxa"/>
            <w:vAlign w:val="bottom"/>
            <w:gridSpan w:val="1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Exhibits</w:t>
              </w:r>
            </w:hyperlink>
          </w:p>
        </w:tc>
      </w:tr>
      <w:tr>
        <w:trPr>
          <w:trHeight w:val="223"/>
        </w:trPr>
        <w:tc>
          <w:tcPr>
            <w:tcW w:w="1240" w:type="dxa"/>
            <w:vAlign w:val="bottom"/>
            <w:gridSpan w:val="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8890</wp:posOffset>
            </wp:positionV>
            <wp:extent cx="574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ectPr>
          <w:pgSz w:w="11900" w:h="16838" w:orient="portrait"/>
          <w:cols w:equalWidth="0" w:num="2">
            <w:col w:w="10060" w:space="720"/>
            <w:col w:w="620"/>
          </w:cols>
          <w:pgMar w:left="240" w:top="11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09"/>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303,016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53,557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149,710</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7,747</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Borders>
              <w:bottom w:val="single" w:sz="8" w:color="CFF0FC"/>
            </w:tcBorders>
          </w:tcPr>
          <w:p>
            <w:pPr>
              <w:spacing w:after="0"/>
              <w:rPr>
                <w:sz w:val="18"/>
                <w:szCs w:val="18"/>
                <w:color w:val="auto"/>
              </w:rPr>
            </w:pPr>
          </w:p>
        </w:tc>
      </w:tr>
      <w:tr>
        <w:trPr>
          <w:trHeight w:val="20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364,320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214,557</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Deferred IPO costs</w:t>
            </w: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FF0FC"/>
          </w:tcPr>
          <w:p>
            <w:pPr>
              <w:spacing w:after="0"/>
              <w:rPr>
                <w:sz w:val="18"/>
                <w:szCs w:val="18"/>
                <w:color w:val="auto"/>
              </w:rPr>
            </w:pPr>
          </w:p>
        </w:tc>
      </w:tr>
      <w:tr>
        <w:trPr>
          <w:trHeight w:val="249"/>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390,615</w:t>
            </w:r>
          </w:p>
        </w:tc>
        <w:tc>
          <w:tcPr>
            <w:tcW w:w="2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Borders>
              <w:bottom w:val="single" w:sz="8" w:color="CFF0FC"/>
            </w:tcBorders>
          </w:tcPr>
          <w:p>
            <w:pPr>
              <w:spacing w:after="0"/>
              <w:rPr>
                <w:sz w:val="21"/>
                <w:szCs w:val="21"/>
                <w:color w:val="auto"/>
              </w:rPr>
            </w:pPr>
          </w:p>
        </w:tc>
      </w:tr>
      <w:tr>
        <w:trPr>
          <w:trHeight w:val="196"/>
        </w:trPr>
        <w:tc>
          <w:tcPr>
            <w:tcW w:w="7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current</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14,624</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tcBorders>
              <w:bottom w:val="single" w:sz="8" w:color="CFF0FC"/>
            </w:tcBorders>
          </w:tcPr>
          <w:p>
            <w:pPr>
              <w:spacing w:after="0"/>
              <w:rPr>
                <w:sz w:val="18"/>
                <w:szCs w:val="18"/>
                <w:color w:val="auto"/>
              </w:rPr>
            </w:pPr>
          </w:p>
        </w:tc>
      </w:tr>
      <w:tr>
        <w:trPr>
          <w:trHeight w:val="209"/>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41,486</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12,221</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Early exercise stock option liability</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8"/>
                <w:szCs w:val="18"/>
                <w:color w:val="auto"/>
              </w:rPr>
            </w:pPr>
          </w:p>
        </w:tc>
      </w:tr>
      <w:tr>
        <w:trPr>
          <w:trHeight w:val="209"/>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51,429</w:t>
            </w:r>
          </w:p>
        </w:tc>
        <w:tc>
          <w:tcPr>
            <w:tcW w:w="2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59,406</w:t>
            </w:r>
          </w:p>
        </w:tc>
        <w:tc>
          <w:tcPr>
            <w:tcW w:w="120" w:type="dxa"/>
            <w:vAlign w:val="bottom"/>
            <w:tcBorders>
              <w:bottom w:val="single" w:sz="8" w:color="CFF0FC"/>
            </w:tcBorders>
          </w:tcPr>
          <w:p>
            <w:pPr>
              <w:spacing w:after="0"/>
              <w:rPr>
                <w:sz w:val="18"/>
                <w:szCs w:val="18"/>
                <w:color w:val="auto"/>
              </w:rPr>
            </w:pPr>
          </w:p>
        </w:tc>
      </w:tr>
      <w:tr>
        <w:trPr>
          <w:trHeight w:val="20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Convertible preferred stock, $0.001 par value;</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96,268,206 shares authorized as of September 30, 2019 and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December 31, 2018; zero and 47,267,466 shares issued and outstanding</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as of September 30, 2019 and December 31, 2018, respectively;</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aggregate liquidation preference of $0 and $277,774 at September 30, 2019</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40" w:type="dxa"/>
            <w:vAlign w:val="bottom"/>
          </w:tcPr>
          <w:p>
            <w:pPr>
              <w:ind w:left="160"/>
              <w:spacing w:after="0" w:line="203" w:lineRule="exact"/>
              <w:rPr>
                <w:sz w:val="20"/>
                <w:szCs w:val="20"/>
                <w:color w:val="auto"/>
              </w:rPr>
            </w:pPr>
            <w:r>
              <w:rPr>
                <w:rFonts w:ascii="Arial" w:cs="Arial" w:eastAsia="Arial" w:hAnsi="Arial"/>
                <w:sz w:val="18"/>
                <w:szCs w:val="18"/>
                <w:color w:val="auto"/>
              </w:rPr>
              <w:t>and December 31, 2018, respectively</w:t>
            </w:r>
          </w:p>
        </w:tc>
        <w:tc>
          <w:tcPr>
            <w:tcW w:w="140" w:type="dxa"/>
            <w:vAlign w:val="bottom"/>
          </w:tcPr>
          <w:p>
            <w:pPr>
              <w:spacing w:after="0"/>
              <w:rPr>
                <w:sz w:val="17"/>
                <w:szCs w:val="17"/>
                <w:color w:val="auto"/>
              </w:rPr>
            </w:pPr>
          </w:p>
        </w:tc>
        <w:tc>
          <w:tcPr>
            <w:tcW w:w="17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294,874</w:t>
            </w:r>
          </w:p>
        </w:tc>
        <w:tc>
          <w:tcPr>
            <w:tcW w:w="120" w:type="dxa"/>
            <w:vAlign w:val="bottom"/>
          </w:tcPr>
          <w:p>
            <w:pPr>
              <w:spacing w:after="0"/>
              <w:rPr>
                <w:sz w:val="17"/>
                <w:szCs w:val="17"/>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Common stock, $0.001 par value; 129,000,000 shares authorized as of</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September 30, 2019 and December 31, 2018; 66,155,613 and 6,937,890</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840" w:type="dxa"/>
            <w:vAlign w:val="bottom"/>
          </w:tcPr>
          <w:p>
            <w:pPr>
              <w:ind w:left="160"/>
              <w:spacing w:after="0" w:line="202" w:lineRule="exact"/>
              <w:rPr>
                <w:sz w:val="20"/>
                <w:szCs w:val="20"/>
                <w:color w:val="auto"/>
              </w:rPr>
            </w:pPr>
            <w:r>
              <w:rPr>
                <w:rFonts w:ascii="Arial" w:cs="Arial" w:eastAsia="Arial" w:hAnsi="Arial"/>
                <w:sz w:val="18"/>
                <w:szCs w:val="18"/>
                <w:color w:val="auto"/>
              </w:rPr>
              <w:t>shares issued and outstanding as of September 30, 2019 and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40" w:type="dxa"/>
            <w:vAlign w:val="bottom"/>
          </w:tcPr>
          <w:p>
            <w:pPr>
              <w:ind w:left="160"/>
              <w:spacing w:after="0" w:line="203" w:lineRule="exact"/>
              <w:rPr>
                <w:sz w:val="20"/>
                <w:szCs w:val="20"/>
                <w:color w:val="auto"/>
              </w:rPr>
            </w:pPr>
            <w:r>
              <w:rPr>
                <w:rFonts w:ascii="Arial" w:cs="Arial" w:eastAsia="Arial" w:hAnsi="Arial"/>
                <w:sz w:val="18"/>
                <w:szCs w:val="18"/>
                <w:color w:val="auto"/>
              </w:rPr>
              <w:t>December 31, 2018, respectively</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66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519,224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39,258</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8"/>
                <w:szCs w:val="18"/>
                <w:color w:val="auto"/>
              </w:rPr>
              <w:t>Accumulated other comprehensive gain (loss)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(180,203)</w:t>
            </w: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(147,193)</w:t>
            </w:r>
          </w:p>
        </w:tc>
      </w:tr>
      <w:tr>
        <w:trPr>
          <w:trHeight w:val="20"/>
        </w:trPr>
        <w:tc>
          <w:tcPr>
            <w:tcW w:w="7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40" w:type="dxa"/>
            <w:vAlign w:val="bottom"/>
          </w:tcPr>
          <w:p>
            <w:pPr>
              <w:ind w:left="500"/>
              <w:spacing w:after="0"/>
              <w:rPr>
                <w:sz w:val="20"/>
                <w:szCs w:val="20"/>
                <w:color w:val="auto"/>
              </w:rPr>
            </w:pPr>
            <w:r>
              <w:rPr>
                <w:rFonts w:ascii="Arial" w:cs="Arial" w:eastAsia="Arial" w:hAnsi="Arial"/>
                <w:sz w:val="18"/>
                <w:szCs w:val="18"/>
                <w:color w:val="auto"/>
              </w:rPr>
              <w:t>Total equity (deficit)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339,186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(108,195)</w:t>
            </w:r>
          </w:p>
        </w:tc>
      </w:tr>
      <w:tr>
        <w:trPr>
          <w:trHeight w:val="209"/>
        </w:trPr>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390,615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condensed consolidated balance sheet as of December 31, 2018 has been derived from the audited financial statements as of that date.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Related party revenue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Research and development</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General and administrative</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Total operating expenses</w:t>
      </w:r>
    </w:p>
    <w:p>
      <w:pPr>
        <w:spacing w:after="0" w:line="36" w:lineRule="exact"/>
        <w:rPr>
          <w:sz w:val="20"/>
          <w:szCs w:val="20"/>
          <w:color w:val="auto"/>
        </w:rPr>
      </w:pPr>
    </w:p>
    <w:p>
      <w:pPr>
        <w:ind w:right="820"/>
        <w:spacing w:after="0" w:line="281" w:lineRule="auto"/>
        <w:rPr>
          <w:sz w:val="20"/>
          <w:szCs w:val="20"/>
          <w:color w:val="auto"/>
        </w:rPr>
      </w:pPr>
      <w:r>
        <w:rPr>
          <w:rFonts w:ascii="Arial" w:cs="Arial" w:eastAsia="Arial" w:hAnsi="Arial"/>
          <w:sz w:val="17"/>
          <w:szCs w:val="17"/>
          <w:color w:val="auto"/>
        </w:rPr>
        <w:t>Loss from operations Interest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30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 w:lineRule="exact"/>
        <w:rPr>
          <w:sz w:val="20"/>
          <w:szCs w:val="20"/>
          <w:color w:val="auto"/>
        </w:rPr>
      </w:pPr>
    </w:p>
    <w:p>
      <w:pPr>
        <w:jc w:val="center"/>
        <w:ind w:right="3020"/>
        <w:spacing w:after="0"/>
        <w:rPr>
          <w:sz w:val="20"/>
          <w:szCs w:val="20"/>
          <w:color w:val="auto"/>
        </w:rPr>
      </w:pPr>
      <w:r>
        <w:rPr>
          <w:rFonts w:ascii="Arial" w:cs="Arial" w:eastAsia="Arial" w:hAnsi="Arial"/>
          <w:sz w:val="18"/>
          <w:szCs w:val="18"/>
          <w:b w:val="1"/>
          <w:bCs w:val="1"/>
          <w:color w:val="auto"/>
        </w:rPr>
        <w:t>(Unaudited)</w:t>
      </w:r>
    </w:p>
    <w:p>
      <w:pPr>
        <w:jc w:val="center"/>
        <w:ind w:right="30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5" w:lineRule="exact"/>
        <w:rPr>
          <w:sz w:val="20"/>
          <w:szCs w:val="20"/>
          <w:color w:val="auto"/>
        </w:rPr>
      </w:pPr>
    </w:p>
    <w:tbl>
      <w:tblPr>
        <w:tblLayout w:type="fixed"/>
        <w:tblInd w:w="318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6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1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240" w:type="dxa"/>
            <w:vAlign w:val="bottom"/>
          </w:tcPr>
          <w:p>
            <w:pPr>
              <w:spacing w:after="0"/>
              <w:rPr>
                <w:sz w:val="19"/>
                <w:szCs w:val="19"/>
                <w:color w:val="auto"/>
              </w:rPr>
            </w:pPr>
          </w:p>
        </w:tc>
        <w:tc>
          <w:tcPr>
            <w:tcW w:w="26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r>
      <w:tr>
        <w:trPr>
          <w:trHeight w:val="223"/>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21,568</w:t>
            </w:r>
          </w:p>
        </w:tc>
        <w:tc>
          <w:tcPr>
            <w:tcW w:w="16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20,815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72,461</w:t>
            </w:r>
          </w:p>
        </w:tc>
        <w:tc>
          <w:tcPr>
            <w:tcW w:w="12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61,546</w:t>
            </w:r>
          </w:p>
        </w:tc>
        <w:tc>
          <w:tcPr>
            <w:tcW w:w="60" w:type="dxa"/>
            <w:vAlign w:val="bottom"/>
          </w:tcPr>
          <w:p>
            <w:pPr>
              <w:spacing w:after="0"/>
              <w:rPr>
                <w:sz w:val="19"/>
                <w:szCs w:val="19"/>
                <w:color w:val="auto"/>
              </w:rPr>
            </w:pPr>
          </w:p>
        </w:tc>
      </w:tr>
      <w:tr>
        <w:trPr>
          <w:trHeight w:val="466"/>
        </w:trPr>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24,473</w:t>
            </w: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66,773</w:t>
            </w:r>
          </w:p>
        </w:tc>
        <w:tc>
          <w:tcPr>
            <w:tcW w:w="60" w:type="dxa"/>
            <w:vAlign w:val="bottom"/>
          </w:tcPr>
          <w:p>
            <w:pPr>
              <w:spacing w:after="0"/>
              <w:rPr>
                <w:sz w:val="24"/>
                <w:szCs w:val="24"/>
                <w:color w:val="auto"/>
              </w:rPr>
            </w:pPr>
          </w:p>
        </w:tc>
      </w:tr>
      <w:tr>
        <w:trPr>
          <w:trHeight w:val="216"/>
        </w:trPr>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12,143</w:t>
            </w:r>
          </w:p>
        </w:tc>
        <w:tc>
          <w:tcPr>
            <w:tcW w:w="60" w:type="dxa"/>
            <w:vAlign w:val="bottom"/>
          </w:tcPr>
          <w:p>
            <w:pPr>
              <w:spacing w:after="0"/>
              <w:rPr>
                <w:sz w:val="18"/>
                <w:szCs w:val="18"/>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78,916</w:t>
            </w:r>
          </w:p>
        </w:tc>
        <w:tc>
          <w:tcPr>
            <w:tcW w:w="60" w:type="dxa"/>
            <w:vAlign w:val="bottom"/>
          </w:tcPr>
          <w:p>
            <w:pPr>
              <w:spacing w:after="0"/>
              <w:rPr>
                <w:sz w:val="19"/>
                <w:szCs w:val="19"/>
                <w:color w:val="auto"/>
              </w:rPr>
            </w:pPr>
          </w:p>
        </w:tc>
      </w:tr>
      <w:tr>
        <w:trPr>
          <w:trHeight w:val="236"/>
        </w:trPr>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(12,997)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(8,469)</w:t>
            </w:r>
          </w:p>
        </w:tc>
        <w:tc>
          <w:tcPr>
            <w:tcW w:w="1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(32,046)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(17,370)</w:t>
            </w:r>
          </w:p>
        </w:tc>
      </w:tr>
      <w:tr>
        <w:trPr>
          <w:trHeight w:val="229"/>
        </w:trPr>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2,609</w:t>
            </w:r>
          </w:p>
        </w:tc>
        <w:tc>
          <w:tcPr>
            <w:tcW w:w="60" w:type="dxa"/>
            <w:vAlign w:val="bottom"/>
          </w:tcPr>
          <w:p>
            <w:pPr>
              <w:spacing w:after="0"/>
              <w:rPr>
                <w:sz w:val="19"/>
                <w:szCs w:val="19"/>
                <w:color w:val="auto"/>
              </w:rPr>
            </w:pPr>
          </w:p>
        </w:tc>
      </w:tr>
      <w:tr>
        <w:trPr>
          <w:trHeight w:val="214"/>
        </w:trPr>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-1197610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-889000</wp:posOffset>
            </wp:positionV>
            <wp:extent cx="72466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-597535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-289560</wp:posOffset>
            </wp:positionV>
            <wp:extent cx="72466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00" w:space="520"/>
            <w:col w:w="8400"/>
          </w:cols>
          <w:pgMar w:left="240" w:top="118"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5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00" w:type="dxa"/>
            <w:vAlign w:val="bottom"/>
            <w:vMerge w:val="continue"/>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line="19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line="191" w:lineRule="exact"/>
              <w:rPr>
                <w:sz w:val="20"/>
                <w:szCs w:val="20"/>
                <w:color w:val="auto"/>
              </w:rPr>
            </w:pPr>
            <w:r>
              <w:rPr>
                <w:rFonts w:ascii="Arial" w:cs="Arial" w:eastAsia="Arial" w:hAnsi="Arial"/>
                <w:sz w:val="18"/>
                <w:szCs w:val="18"/>
                <w:color w:val="auto"/>
              </w:rPr>
              <w:t>(10,917)</w:t>
            </w:r>
          </w:p>
        </w:tc>
        <w:tc>
          <w:tcPr>
            <w:tcW w:w="320" w:type="dxa"/>
            <w:vAlign w:val="bottom"/>
            <w:gridSpan w:val="2"/>
            <w:shd w:val="clear" w:color="auto" w:fill="CFF0FC"/>
          </w:tcPr>
          <w:p>
            <w:pPr>
              <w:jc w:val="right"/>
              <w:ind w:right="140"/>
              <w:spacing w:after="0" w:line="19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line="191" w:lineRule="exact"/>
              <w:rPr>
                <w:sz w:val="20"/>
                <w:szCs w:val="20"/>
                <w:color w:val="auto"/>
              </w:rPr>
            </w:pPr>
            <w:r>
              <w:rPr>
                <w:rFonts w:ascii="Arial" w:cs="Arial" w:eastAsia="Arial" w:hAnsi="Arial"/>
                <w:sz w:val="18"/>
                <w:szCs w:val="18"/>
                <w:color w:val="auto"/>
              </w:rPr>
              <w:t>(7,517)</w:t>
            </w:r>
          </w:p>
        </w:tc>
        <w:tc>
          <w:tcPr>
            <w:tcW w:w="120" w:type="dxa"/>
            <w:vAlign w:val="bottom"/>
            <w:shd w:val="clear" w:color="auto" w:fill="CFF0FC"/>
          </w:tcPr>
          <w:p>
            <w:pPr>
              <w:jc w:val="right"/>
              <w:spacing w:after="0" w:line="191"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line="191" w:lineRule="exact"/>
              <w:rPr>
                <w:sz w:val="20"/>
                <w:szCs w:val="20"/>
                <w:color w:val="auto"/>
              </w:rPr>
            </w:pPr>
            <w:r>
              <w:rPr>
                <w:rFonts w:ascii="Arial" w:cs="Arial" w:eastAsia="Arial" w:hAnsi="Arial"/>
                <w:sz w:val="18"/>
                <w:szCs w:val="18"/>
                <w:color w:val="auto"/>
              </w:rPr>
              <w:t>(26,854)</w:t>
            </w:r>
          </w:p>
        </w:tc>
        <w:tc>
          <w:tcPr>
            <w:tcW w:w="200" w:type="dxa"/>
            <w:vAlign w:val="bottom"/>
            <w:gridSpan w:val="2"/>
            <w:shd w:val="clear" w:color="auto" w:fill="CFF0FC"/>
          </w:tcPr>
          <w:p>
            <w:pPr>
              <w:jc w:val="right"/>
              <w:ind w:right="20"/>
              <w:spacing w:after="0" w:line="19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line="191" w:lineRule="exact"/>
              <w:rPr>
                <w:sz w:val="20"/>
                <w:szCs w:val="20"/>
                <w:color w:val="auto"/>
              </w:rPr>
            </w:pPr>
            <w:r>
              <w:rPr>
                <w:rFonts w:ascii="Arial" w:cs="Arial" w:eastAsia="Arial" w:hAnsi="Arial"/>
                <w:sz w:val="18"/>
                <w:szCs w:val="18"/>
                <w:color w:val="auto"/>
              </w:rPr>
              <w:t>(14,658)</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9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vMerge w:val="continue"/>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95"/>
        </w:trPr>
        <w:tc>
          <w:tcPr>
            <w:tcW w:w="53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net loss per</w:t>
            </w:r>
          </w:p>
        </w:tc>
        <w:tc>
          <w:tcPr>
            <w:tcW w:w="9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common share, basic and diluted</w:t>
            </w:r>
          </w:p>
        </w:tc>
        <w:tc>
          <w:tcPr>
            <w:tcW w:w="9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65,948,207</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6,525,660</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44,828,596</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6,285,905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21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5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21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(10,917)</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(26,854)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(14,658)</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Other comprehensive gain (loss), net of tax:</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 marketable</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securities</w:t>
            </w: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366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500"/>
              <w:spacing w:after="0"/>
              <w:rPr>
                <w:sz w:val="20"/>
                <w:szCs w:val="20"/>
                <w:color w:val="auto"/>
              </w:rPr>
            </w:pPr>
            <w:r>
              <w:rPr>
                <w:rFonts w:ascii="Arial" w:cs="Arial" w:eastAsia="Arial" w:hAnsi="Arial"/>
                <w:sz w:val="18"/>
                <w:szCs w:val="18"/>
                <w:color w:val="auto"/>
              </w:rPr>
              <w:t>Total comprehensive loss</w:t>
            </w: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(10,920)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(7,356)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(26,488)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(14,564)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CONVERTIBLE PREFERRED STOCK AND STOCKHOLDERS’ EQUITY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1840" w:type="dxa"/>
            <w:vAlign w:val="bottom"/>
            <w:tcBorders>
              <w:right w:val="single" w:sz="8" w:color="auto"/>
            </w:tcBorders>
            <w:gridSpan w:val="5"/>
          </w:tcPr>
          <w:p>
            <w:pPr>
              <w:jc w:val="right"/>
              <w:ind w:right="620"/>
              <w:spacing w:after="0"/>
              <w:rPr>
                <w:sz w:val="20"/>
                <w:szCs w:val="20"/>
                <w:color w:val="auto"/>
              </w:rPr>
            </w:pPr>
            <w:r>
              <w:rPr>
                <w:rFonts w:ascii="Arial" w:cs="Arial" w:eastAsia="Arial" w:hAnsi="Arial"/>
                <w:sz w:val="15"/>
                <w:szCs w:val="15"/>
                <w:b w:val="1"/>
                <w:bCs w:val="1"/>
                <w:color w:val="auto"/>
              </w:rPr>
              <w:t>Convertible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5"/>
                <w:szCs w:val="15"/>
                <w:b w:val="1"/>
                <w:bCs w:val="1"/>
                <w:color w:val="auto"/>
              </w:rPr>
              <w:t>Additional</w:t>
            </w:r>
          </w:p>
        </w:tc>
        <w:tc>
          <w:tcPr>
            <w:tcW w:w="10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Total</w:t>
            </w:r>
          </w:p>
        </w:tc>
      </w:tr>
      <w:tr>
        <w:trPr>
          <w:trHeight w:val="183"/>
        </w:trPr>
        <w:tc>
          <w:tcPr>
            <w:tcW w:w="3120" w:type="dxa"/>
            <w:vAlign w:val="bottom"/>
          </w:tcPr>
          <w:p>
            <w:pPr>
              <w:spacing w:after="0"/>
              <w:rPr>
                <w:sz w:val="15"/>
                <w:szCs w:val="15"/>
                <w:color w:val="auto"/>
              </w:rPr>
            </w:pPr>
          </w:p>
        </w:tc>
        <w:tc>
          <w:tcPr>
            <w:tcW w:w="184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5"/>
                <w:szCs w:val="15"/>
                <w:b w:val="1"/>
                <w:bCs w:val="1"/>
                <w:color w:val="auto"/>
              </w:rPr>
              <w:t>Preferred Stock</w:t>
            </w:r>
          </w:p>
        </w:tc>
        <w:tc>
          <w:tcPr>
            <w:tcW w:w="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5"/>
                <w:szCs w:val="15"/>
                <w:b w:val="1"/>
                <w:bCs w:val="1"/>
                <w:color w:val="auto"/>
              </w:rPr>
              <w:t>Paid-In</w:t>
            </w:r>
          </w:p>
        </w:tc>
        <w:tc>
          <w:tcPr>
            <w:tcW w:w="1260" w:type="dxa"/>
            <w:vAlign w:val="bottom"/>
            <w:gridSpan w:val="3"/>
          </w:tcPr>
          <w:p>
            <w:pPr>
              <w:spacing w:after="0"/>
              <w:rPr>
                <w:sz w:val="20"/>
                <w:szCs w:val="20"/>
                <w:color w:val="auto"/>
              </w:rPr>
            </w:pPr>
            <w:r>
              <w:rPr>
                <w:rFonts w:ascii="Arial" w:cs="Arial" w:eastAsia="Arial" w:hAnsi="Arial"/>
                <w:sz w:val="15"/>
                <w:szCs w:val="15"/>
                <w:b w:val="1"/>
                <w:bCs w:val="1"/>
                <w:color w:val="auto"/>
              </w:rPr>
              <w:t>Comprehensive</w:t>
            </w:r>
          </w:p>
        </w:tc>
        <w:tc>
          <w:tcPr>
            <w:tcW w:w="1180" w:type="dxa"/>
            <w:vAlign w:val="bottom"/>
            <w:gridSpan w:val="4"/>
          </w:tcPr>
          <w:p>
            <w:pPr>
              <w:ind w:left="80"/>
              <w:spacing w:after="0"/>
              <w:rPr>
                <w:sz w:val="20"/>
                <w:szCs w:val="20"/>
                <w:color w:val="auto"/>
              </w:rPr>
            </w:pPr>
            <w:r>
              <w:rPr>
                <w:rFonts w:ascii="Arial" w:cs="Arial" w:eastAsia="Arial" w:hAnsi="Arial"/>
                <w:sz w:val="15"/>
                <w:szCs w:val="15"/>
                <w:b w:val="1"/>
                <w:bCs w:val="1"/>
                <w:color w:val="auto"/>
              </w:rPr>
              <w:t>Accumulated</w:t>
            </w:r>
          </w:p>
        </w:tc>
        <w:tc>
          <w:tcPr>
            <w:tcW w:w="8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5"/>
                <w:szCs w:val="15"/>
                <w:b w:val="1"/>
                <w:bCs w:val="1"/>
                <w:color w:val="auto"/>
              </w:rPr>
              <w:t>Stockholders'</w:t>
            </w:r>
          </w:p>
        </w:tc>
      </w:tr>
      <w:tr>
        <w:trPr>
          <w:trHeight w:val="169"/>
        </w:trPr>
        <w:tc>
          <w:tcPr>
            <w:tcW w:w="3120" w:type="dxa"/>
            <w:vAlign w:val="bottom"/>
          </w:tcPr>
          <w:p>
            <w:pPr>
              <w:spacing w:after="0"/>
              <w:rPr>
                <w:sz w:val="14"/>
                <w:szCs w:val="14"/>
                <w:color w:val="auto"/>
              </w:rPr>
            </w:pPr>
          </w:p>
        </w:tc>
        <w:tc>
          <w:tcPr>
            <w:tcW w:w="700" w:type="dxa"/>
            <w:vAlign w:val="bottom"/>
            <w:tcBorders>
              <w:top w:val="single" w:sz="8" w:color="auto"/>
            </w:tcBorders>
          </w:tcPr>
          <w:p>
            <w:pPr>
              <w:jc w:val="right"/>
              <w:ind w:right="24"/>
              <w:spacing w:after="0" w:line="169" w:lineRule="exact"/>
              <w:rPr>
                <w:sz w:val="20"/>
                <w:szCs w:val="20"/>
                <w:color w:val="auto"/>
              </w:rPr>
            </w:pPr>
            <w:r>
              <w:rPr>
                <w:rFonts w:ascii="Arial" w:cs="Arial" w:eastAsia="Arial" w:hAnsi="Arial"/>
                <w:sz w:val="15"/>
                <w:szCs w:val="15"/>
                <w:b w:val="1"/>
                <w:bCs w:val="1"/>
                <w:color w:val="auto"/>
              </w:rPr>
              <w:t>Shares</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right"/>
              <w:ind w:right="4"/>
              <w:spacing w:after="0" w:line="169" w:lineRule="exact"/>
              <w:rPr>
                <w:sz w:val="20"/>
                <w:szCs w:val="20"/>
                <w:color w:val="auto"/>
              </w:rPr>
            </w:pPr>
            <w:r>
              <w:rPr>
                <w:rFonts w:ascii="Arial" w:cs="Arial" w:eastAsia="Arial" w:hAnsi="Arial"/>
                <w:sz w:val="15"/>
                <w:szCs w:val="15"/>
                <w:b w:val="1"/>
                <w:bCs w:val="1"/>
                <w:color w:val="auto"/>
              </w:rPr>
              <w:t>Amount</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ind w:right="24"/>
              <w:spacing w:after="0" w:line="169" w:lineRule="exact"/>
              <w:rPr>
                <w:sz w:val="20"/>
                <w:szCs w:val="20"/>
                <w:color w:val="auto"/>
              </w:rPr>
            </w:pPr>
            <w:r>
              <w:rPr>
                <w:rFonts w:ascii="Arial" w:cs="Arial" w:eastAsia="Arial" w:hAnsi="Arial"/>
                <w:sz w:val="15"/>
                <w:szCs w:val="15"/>
                <w:b w:val="1"/>
                <w:bCs w:val="1"/>
                <w:color w:val="auto"/>
              </w:rPr>
              <w:t>Shares</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69" w:lineRule="exact"/>
              <w:rPr>
                <w:sz w:val="20"/>
                <w:szCs w:val="20"/>
                <w:color w:val="auto"/>
              </w:rPr>
            </w:pPr>
            <w:r>
              <w:rPr>
                <w:rFonts w:ascii="Arial" w:cs="Arial" w:eastAsia="Arial" w:hAnsi="Arial"/>
                <w:sz w:val="15"/>
                <w:szCs w:val="15"/>
                <w:b w:val="1"/>
                <w:bCs w:val="1"/>
                <w:color w:val="auto"/>
              </w:rPr>
              <w:t>Capital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84"/>
              <w:spacing w:after="0" w:line="169" w:lineRule="exact"/>
              <w:rPr>
                <w:sz w:val="20"/>
                <w:szCs w:val="20"/>
                <w:color w:val="auto"/>
              </w:rPr>
            </w:pPr>
            <w:r>
              <w:rPr>
                <w:rFonts w:ascii="Arial" w:cs="Arial" w:eastAsia="Arial" w:hAnsi="Arial"/>
                <w:sz w:val="15"/>
                <w:szCs w:val="15"/>
                <w:b w:val="1"/>
                <w:bCs w:val="1"/>
                <w:color w:val="auto"/>
              </w:rPr>
              <w:t>Gain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84"/>
              <w:spacing w:after="0" w:line="169" w:lineRule="exact"/>
              <w:rPr>
                <w:sz w:val="20"/>
                <w:szCs w:val="20"/>
                <w:color w:val="auto"/>
              </w:rPr>
            </w:pPr>
            <w:r>
              <w:rPr>
                <w:rFonts w:ascii="Arial" w:cs="Arial" w:eastAsia="Arial" w:hAnsi="Arial"/>
                <w:sz w:val="15"/>
                <w:szCs w:val="15"/>
                <w:b w:val="1"/>
                <w:bCs w:val="1"/>
                <w:color w:val="auto"/>
              </w:rPr>
              <w:t>Deficit</w:t>
            </w:r>
          </w:p>
        </w:tc>
        <w:tc>
          <w:tcPr>
            <w:tcW w:w="120" w:type="dxa"/>
            <w:vAlign w:val="bottom"/>
          </w:tcPr>
          <w:p>
            <w:pPr>
              <w:spacing w:after="0"/>
              <w:rPr>
                <w:sz w:val="14"/>
                <w:szCs w:val="14"/>
                <w:color w:val="auto"/>
              </w:rPr>
            </w:pPr>
          </w:p>
        </w:tc>
        <w:tc>
          <w:tcPr>
            <w:tcW w:w="1220" w:type="dxa"/>
            <w:vAlign w:val="bottom"/>
            <w:gridSpan w:val="4"/>
          </w:tcPr>
          <w:p>
            <w:pPr>
              <w:ind w:left="80"/>
              <w:spacing w:after="0" w:line="169" w:lineRule="exact"/>
              <w:rPr>
                <w:sz w:val="20"/>
                <w:szCs w:val="20"/>
                <w:color w:val="auto"/>
              </w:rPr>
            </w:pPr>
            <w:r>
              <w:rPr>
                <w:rFonts w:ascii="Arial" w:cs="Arial" w:eastAsia="Arial" w:hAnsi="Arial"/>
                <w:sz w:val="15"/>
                <w:szCs w:val="15"/>
                <w:b w:val="1"/>
                <w:bCs w:val="1"/>
                <w:color w:val="auto"/>
              </w:rPr>
              <w:t>Equity(Deficit)</w:t>
            </w:r>
          </w:p>
        </w:tc>
      </w:tr>
      <w:tr>
        <w:trPr>
          <w:trHeight w:val="20"/>
        </w:trPr>
        <w:tc>
          <w:tcPr>
            <w:tcW w:w="3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December 31, 2018</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47,267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294,874</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6,733</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39,258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(267)</w:t>
            </w:r>
          </w:p>
        </w:tc>
        <w:tc>
          <w:tcPr>
            <w:tcW w:w="24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(147,193)</w:t>
            </w:r>
          </w:p>
        </w:tc>
        <w:tc>
          <w:tcPr>
            <w:tcW w:w="2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(108,195)</w:t>
            </w:r>
          </w:p>
        </w:tc>
      </w:tr>
      <w:tr>
        <w:trPr>
          <w:trHeight w:val="165"/>
        </w:trPr>
        <w:tc>
          <w:tcPr>
            <w:tcW w:w="3120" w:type="dxa"/>
            <w:vAlign w:val="bottom"/>
          </w:tcPr>
          <w:p>
            <w:pPr>
              <w:ind w:left="260"/>
              <w:spacing w:after="0" w:line="166" w:lineRule="exact"/>
              <w:rPr>
                <w:sz w:val="20"/>
                <w:szCs w:val="20"/>
                <w:color w:val="auto"/>
              </w:rPr>
            </w:pPr>
            <w:r>
              <w:rPr>
                <w:rFonts w:ascii="Arial" w:cs="Arial" w:eastAsia="Arial" w:hAnsi="Arial"/>
                <w:sz w:val="15"/>
                <w:szCs w:val="15"/>
                <w:color w:val="auto"/>
              </w:rPr>
              <w:t>Issuance of common stock to</w:t>
            </w: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5" w:lineRule="exact"/>
              <w:rPr>
                <w:sz w:val="20"/>
                <w:szCs w:val="20"/>
                <w:color w:val="auto"/>
              </w:rPr>
            </w:pPr>
            <w:r>
              <w:rPr>
                <w:rFonts w:ascii="Arial" w:cs="Arial" w:eastAsia="Arial" w:hAnsi="Arial"/>
                <w:sz w:val="15"/>
                <w:szCs w:val="15"/>
                <w:color w:val="auto"/>
              </w:rPr>
              <w:t>participants in 401(k) Plan</w:t>
            </w:r>
          </w:p>
        </w:tc>
        <w:tc>
          <w:tcPr>
            <w:tcW w:w="9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5" w:lineRule="exact"/>
              <w:rPr>
                <w:sz w:val="20"/>
                <w:szCs w:val="20"/>
                <w:color w:val="auto"/>
              </w:rPr>
            </w:pPr>
            <w:r>
              <w:rPr>
                <w:rFonts w:ascii="Arial" w:cs="Arial" w:eastAsia="Arial" w:hAnsi="Arial"/>
                <w:sz w:val="15"/>
                <w:szCs w:val="15"/>
                <w:color w:val="auto"/>
              </w:rPr>
              <w:t>8</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spacing w:after="0" w:line="165" w:lineRule="exact"/>
              <w:rPr>
                <w:sz w:val="20"/>
                <w:szCs w:val="20"/>
                <w:color w:val="auto"/>
              </w:rPr>
            </w:pPr>
            <w:r>
              <w:rPr>
                <w:rFonts w:ascii="Arial" w:cs="Arial" w:eastAsia="Arial" w:hAnsi="Arial"/>
                <w:sz w:val="15"/>
                <w:szCs w:val="15"/>
                <w:color w:val="auto"/>
              </w:rPr>
              <w:t>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5"/>
                <w:szCs w:val="15"/>
                <w:color w:val="auto"/>
              </w:rPr>
              <w:t>98</w:t>
            </w:r>
          </w:p>
        </w:tc>
        <w:tc>
          <w:tcPr>
            <w:tcW w:w="100" w:type="dxa"/>
            <w:vAlign w:val="bottom"/>
          </w:tcPr>
          <w:p>
            <w:pPr>
              <w:spacing w:after="0"/>
              <w:rPr>
                <w:sz w:val="14"/>
                <w:szCs w:val="14"/>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common stock upon</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exercise of stock options</w:t>
            </w:r>
          </w:p>
        </w:tc>
        <w:tc>
          <w:tcPr>
            <w:tcW w:w="9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80</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279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279</w:t>
            </w:r>
          </w:p>
        </w:tc>
        <w:tc>
          <w:tcPr>
            <w:tcW w:w="100" w:type="dxa"/>
            <w:vAlign w:val="bottom"/>
            <w:shd w:val="clear" w:color="auto" w:fill="CFF0FC"/>
          </w:tcPr>
          <w:p>
            <w:pPr>
              <w:spacing w:after="0"/>
              <w:rPr>
                <w:sz w:val="14"/>
                <w:szCs w:val="14"/>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Vesting of common stock from early</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6" w:lineRule="exact"/>
              <w:rPr>
                <w:sz w:val="20"/>
                <w:szCs w:val="20"/>
                <w:color w:val="auto"/>
              </w:rPr>
            </w:pPr>
            <w:r>
              <w:rPr>
                <w:rFonts w:ascii="Arial" w:cs="Arial" w:eastAsia="Arial" w:hAnsi="Arial"/>
                <w:sz w:val="15"/>
                <w:szCs w:val="15"/>
                <w:color w:val="auto"/>
              </w:rPr>
              <w:t>exercises</w:t>
            </w:r>
          </w:p>
        </w:tc>
        <w:tc>
          <w:tcPr>
            <w:tcW w:w="9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34</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5"/>
                <w:szCs w:val="15"/>
                <w:color w:val="auto"/>
              </w:rPr>
              <w:t>237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237</w:t>
            </w:r>
          </w:p>
        </w:tc>
        <w:tc>
          <w:tcPr>
            <w:tcW w:w="100" w:type="dxa"/>
            <w:vAlign w:val="bottom"/>
          </w:tcPr>
          <w:p>
            <w:pPr>
              <w:spacing w:after="0"/>
              <w:rPr>
                <w:sz w:val="14"/>
                <w:szCs w:val="14"/>
                <w:color w:val="auto"/>
              </w:rPr>
            </w:pPr>
          </w:p>
        </w:tc>
      </w:tr>
      <w:tr>
        <w:trPr>
          <w:trHeight w:val="175"/>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 expense</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2,605</w:t>
            </w:r>
          </w:p>
        </w:tc>
        <w:tc>
          <w:tcPr>
            <w:tcW w:w="100" w:type="dxa"/>
            <w:vAlign w:val="bottom"/>
            <w:shd w:val="clear" w:color="auto" w:fill="CFF0FC"/>
          </w:tcPr>
          <w:p>
            <w:pPr>
              <w:spacing w:after="0"/>
              <w:rPr>
                <w:sz w:val="15"/>
                <w:szCs w:val="15"/>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Changes in unrealized gain 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5" w:lineRule="exact"/>
              <w:rPr>
                <w:sz w:val="20"/>
                <w:szCs w:val="20"/>
                <w:color w:val="auto"/>
              </w:rPr>
            </w:pPr>
            <w:r>
              <w:rPr>
                <w:rFonts w:ascii="Arial" w:cs="Arial" w:eastAsia="Arial" w:hAnsi="Arial"/>
                <w:sz w:val="15"/>
                <w:szCs w:val="15"/>
                <w:color w:val="auto"/>
              </w:rPr>
              <w:t>available-for-sale securities</w:t>
            </w:r>
          </w:p>
        </w:tc>
        <w:tc>
          <w:tcPr>
            <w:tcW w:w="9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Arial" w:cs="Arial" w:eastAsia="Arial" w:hAnsi="Arial"/>
                <w:sz w:val="15"/>
                <w:szCs w:val="15"/>
                <w:color w:val="auto"/>
              </w:rPr>
              <w:t>222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5"/>
                <w:szCs w:val="15"/>
                <w:color w:val="auto"/>
              </w:rPr>
              <w:t>222</w:t>
            </w:r>
          </w:p>
        </w:tc>
        <w:tc>
          <w:tcPr>
            <w:tcW w:w="100" w:type="dxa"/>
            <w:vAlign w:val="bottom"/>
          </w:tcPr>
          <w:p>
            <w:pPr>
              <w:spacing w:after="0"/>
              <w:rPr>
                <w:sz w:val="14"/>
                <w:szCs w:val="14"/>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exercise of preferred stock</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12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warrant to Series A preferred</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stock</w:t>
            </w:r>
          </w:p>
        </w:tc>
        <w:tc>
          <w:tcPr>
            <w:tcW w:w="70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198</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line="166" w:lineRule="exact"/>
              <w:rPr>
                <w:sz w:val="20"/>
                <w:szCs w:val="20"/>
                <w:color w:val="auto"/>
              </w:rPr>
            </w:pPr>
            <w:r>
              <w:rPr>
                <w:rFonts w:ascii="Arial" w:cs="Arial" w:eastAsia="Arial" w:hAnsi="Arial"/>
                <w:sz w:val="15"/>
                <w:szCs w:val="15"/>
                <w:color w:val="auto"/>
              </w:rPr>
              <w:t>—</w:t>
            </w: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Cumulative effect adjustment upon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5" w:lineRule="exact"/>
              <w:rPr>
                <w:sz w:val="20"/>
                <w:szCs w:val="20"/>
                <w:color w:val="auto"/>
              </w:rPr>
            </w:pPr>
            <w:r>
              <w:rPr>
                <w:rFonts w:ascii="Arial" w:cs="Arial" w:eastAsia="Arial" w:hAnsi="Arial"/>
                <w:sz w:val="15"/>
                <w:szCs w:val="15"/>
                <w:color w:val="auto"/>
              </w:rPr>
              <w:t>adoption of ASU 2014-09</w:t>
            </w:r>
          </w:p>
        </w:tc>
        <w:tc>
          <w:tcPr>
            <w:tcW w:w="9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line="165" w:lineRule="exact"/>
              <w:rPr>
                <w:sz w:val="20"/>
                <w:szCs w:val="20"/>
                <w:color w:val="auto"/>
              </w:rPr>
            </w:pPr>
            <w:r>
              <w:rPr>
                <w:rFonts w:ascii="Arial" w:cs="Arial" w:eastAsia="Arial" w:hAnsi="Arial"/>
                <w:sz w:val="15"/>
                <w:szCs w:val="15"/>
                <w:color w:val="auto"/>
              </w:rPr>
              <w:t>(6,156)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line="165" w:lineRule="exact"/>
              <w:rPr>
                <w:sz w:val="20"/>
                <w:szCs w:val="20"/>
                <w:color w:val="auto"/>
              </w:rPr>
            </w:pPr>
            <w:r>
              <w:rPr>
                <w:rFonts w:ascii="Arial" w:cs="Arial" w:eastAsia="Arial" w:hAnsi="Arial"/>
                <w:sz w:val="15"/>
                <w:szCs w:val="15"/>
                <w:color w:val="auto"/>
              </w:rPr>
              <w:t>(6,156)</w:t>
            </w:r>
          </w:p>
        </w:tc>
      </w:tr>
      <w:tr>
        <w:trPr>
          <w:trHeight w:val="175"/>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(8,268)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(8,268)</w:t>
            </w:r>
          </w:p>
        </w:tc>
      </w:tr>
      <w:tr>
        <w:trPr>
          <w:trHeight w:val="20"/>
        </w:trPr>
        <w:tc>
          <w:tcPr>
            <w:tcW w:w="3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120" w:type="dxa"/>
            <w:vAlign w:val="bottom"/>
          </w:tcPr>
          <w:p>
            <w:pPr>
              <w:spacing w:after="0" w:line="169" w:lineRule="exact"/>
              <w:rPr>
                <w:sz w:val="20"/>
                <w:szCs w:val="20"/>
                <w:color w:val="auto"/>
              </w:rPr>
            </w:pPr>
            <w:r>
              <w:rPr>
                <w:rFonts w:ascii="Arial" w:cs="Arial" w:eastAsia="Arial" w:hAnsi="Arial"/>
                <w:sz w:val="15"/>
                <w:szCs w:val="15"/>
                <w:color w:val="auto"/>
              </w:rPr>
              <w:t>Balance at March 31, 2019</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47,283</w:t>
            </w:r>
          </w:p>
        </w:tc>
        <w:tc>
          <w:tcPr>
            <w:tcW w:w="20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295,072</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6,855</w:t>
            </w:r>
          </w:p>
        </w:tc>
        <w:tc>
          <w:tcPr>
            <w:tcW w:w="200" w:type="dxa"/>
            <w:vAlign w:val="bottom"/>
          </w:tcPr>
          <w:p>
            <w:pPr>
              <w:spacing w:after="0"/>
              <w:rPr>
                <w:sz w:val="14"/>
                <w:szCs w:val="14"/>
                <w:color w:val="auto"/>
              </w:rPr>
            </w:pPr>
          </w:p>
        </w:tc>
        <w:tc>
          <w:tcPr>
            <w:tcW w:w="460" w:type="dxa"/>
            <w:vAlign w:val="bottom"/>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line="169" w:lineRule="exact"/>
              <w:rPr>
                <w:sz w:val="20"/>
                <w:szCs w:val="20"/>
                <w:color w:val="auto"/>
              </w:rPr>
            </w:pPr>
            <w:r>
              <w:rPr>
                <w:rFonts w:ascii="Arial" w:cs="Arial" w:eastAsia="Arial" w:hAnsi="Arial"/>
                <w:sz w:val="15"/>
                <w:szCs w:val="15"/>
                <w:color w:val="auto"/>
              </w:rPr>
              <w:t>7</w:t>
            </w:r>
          </w:p>
        </w:tc>
        <w:tc>
          <w:tcPr>
            <w:tcW w:w="20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42,477</w:t>
            </w:r>
          </w:p>
        </w:tc>
        <w:tc>
          <w:tcPr>
            <w:tcW w:w="22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(45)</w:t>
            </w:r>
          </w:p>
        </w:tc>
        <w:tc>
          <w:tcPr>
            <w:tcW w:w="24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(161,617)</w:t>
            </w:r>
          </w:p>
        </w:tc>
        <w:tc>
          <w:tcPr>
            <w:tcW w:w="28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(119,178)</w:t>
            </w: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Conversion of Series A, B, C, D, E</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12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convertible preferred stock to</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12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common stock concurrent with</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5" w:lineRule="exact"/>
              <w:rPr>
                <w:sz w:val="20"/>
                <w:szCs w:val="20"/>
                <w:color w:val="auto"/>
              </w:rPr>
            </w:pPr>
            <w:r>
              <w:rPr>
                <w:rFonts w:ascii="Arial" w:cs="Arial" w:eastAsia="Arial" w:hAnsi="Arial"/>
                <w:sz w:val="15"/>
                <w:szCs w:val="15"/>
                <w:color w:val="auto"/>
              </w:rPr>
              <w:t>initial public offering</w:t>
            </w:r>
          </w:p>
        </w:tc>
        <w:tc>
          <w:tcPr>
            <w:tcW w:w="900" w:type="dxa"/>
            <w:vAlign w:val="bottom"/>
            <w:gridSpan w:val="2"/>
            <w:shd w:val="clear" w:color="auto" w:fill="CFF0FC"/>
          </w:tcPr>
          <w:p>
            <w:pPr>
              <w:jc w:val="right"/>
              <w:ind w:right="160"/>
              <w:spacing w:after="0" w:line="165" w:lineRule="exact"/>
              <w:rPr>
                <w:sz w:val="20"/>
                <w:szCs w:val="20"/>
                <w:color w:val="auto"/>
              </w:rPr>
            </w:pPr>
            <w:r>
              <w:rPr>
                <w:rFonts w:ascii="Arial" w:cs="Arial" w:eastAsia="Arial" w:hAnsi="Arial"/>
                <w:sz w:val="15"/>
                <w:szCs w:val="15"/>
                <w:color w:val="auto"/>
              </w:rPr>
              <w:t>(47,283)</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160"/>
              <w:spacing w:after="0" w:line="165" w:lineRule="exact"/>
              <w:rPr>
                <w:sz w:val="20"/>
                <w:szCs w:val="20"/>
                <w:color w:val="auto"/>
              </w:rPr>
            </w:pPr>
            <w:r>
              <w:rPr>
                <w:rFonts w:ascii="Arial" w:cs="Arial" w:eastAsia="Arial" w:hAnsi="Arial"/>
                <w:sz w:val="15"/>
                <w:szCs w:val="15"/>
                <w:color w:val="auto"/>
              </w:rPr>
              <w:t>(295,072)</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47,283</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47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295,025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295,072</w:t>
            </w:r>
          </w:p>
        </w:tc>
        <w:tc>
          <w:tcPr>
            <w:tcW w:w="100" w:type="dxa"/>
            <w:vAlign w:val="bottom"/>
            <w:shd w:val="clear" w:color="auto" w:fill="CFF0FC"/>
          </w:tcPr>
          <w:p>
            <w:pPr>
              <w:spacing w:after="0"/>
              <w:rPr>
                <w:sz w:val="14"/>
                <w:szCs w:val="14"/>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Issuance of common stock upon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120" w:type="dxa"/>
            <w:vAlign w:val="bottom"/>
          </w:tcPr>
          <w:p>
            <w:pPr>
              <w:ind w:left="380"/>
              <w:spacing w:after="0" w:line="162" w:lineRule="exact"/>
              <w:rPr>
                <w:sz w:val="20"/>
                <w:szCs w:val="20"/>
                <w:color w:val="auto"/>
              </w:rPr>
            </w:pPr>
            <w:r>
              <w:rPr>
                <w:rFonts w:ascii="Arial" w:cs="Arial" w:eastAsia="Arial" w:hAnsi="Arial"/>
                <w:sz w:val="15"/>
                <w:szCs w:val="15"/>
                <w:color w:val="auto"/>
              </w:rPr>
              <w:t>initial public offering, net of</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5" w:lineRule="exact"/>
              <w:rPr>
                <w:sz w:val="20"/>
                <w:szCs w:val="20"/>
                <w:color w:val="auto"/>
              </w:rPr>
            </w:pPr>
            <w:r>
              <w:rPr>
                <w:rFonts w:ascii="Arial" w:cs="Arial" w:eastAsia="Arial" w:hAnsi="Arial"/>
                <w:sz w:val="15"/>
                <w:szCs w:val="15"/>
                <w:color w:val="auto"/>
              </w:rPr>
              <w:t>issuance cost</w:t>
            </w:r>
          </w:p>
        </w:tc>
        <w:tc>
          <w:tcPr>
            <w:tcW w:w="9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5" w:lineRule="exact"/>
              <w:rPr>
                <w:sz w:val="20"/>
                <w:szCs w:val="20"/>
                <w:color w:val="auto"/>
              </w:rPr>
            </w:pPr>
            <w:r>
              <w:rPr>
                <w:rFonts w:ascii="Arial" w:cs="Arial" w:eastAsia="Arial" w:hAnsi="Arial"/>
                <w:sz w:val="15"/>
                <w:szCs w:val="15"/>
                <w:color w:val="auto"/>
              </w:rPr>
              <w:t>7,521</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jc w:val="right"/>
              <w:spacing w:after="0" w:line="165" w:lineRule="exact"/>
              <w:rPr>
                <w:sz w:val="20"/>
                <w:szCs w:val="20"/>
                <w:color w:val="auto"/>
              </w:rPr>
            </w:pPr>
            <w:r>
              <w:rPr>
                <w:rFonts w:ascii="Arial" w:cs="Arial" w:eastAsia="Arial" w:hAnsi="Arial"/>
                <w:sz w:val="15"/>
                <w:szCs w:val="15"/>
                <w:color w:val="auto"/>
              </w:rPr>
              <w:t>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5" w:lineRule="exact"/>
              <w:rPr>
                <w:sz w:val="20"/>
                <w:szCs w:val="20"/>
                <w:color w:val="auto"/>
              </w:rPr>
            </w:pPr>
            <w:r>
              <w:rPr>
                <w:rFonts w:ascii="Arial" w:cs="Arial" w:eastAsia="Arial" w:hAnsi="Arial"/>
                <w:sz w:val="15"/>
                <w:szCs w:val="15"/>
                <w:color w:val="auto"/>
              </w:rPr>
              <w:t>107,748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5"/>
                <w:szCs w:val="15"/>
                <w:color w:val="auto"/>
              </w:rPr>
              <w:t>107,756</w:t>
            </w:r>
          </w:p>
        </w:tc>
        <w:tc>
          <w:tcPr>
            <w:tcW w:w="100" w:type="dxa"/>
            <w:vAlign w:val="bottom"/>
          </w:tcPr>
          <w:p>
            <w:pPr>
              <w:spacing w:after="0"/>
              <w:rPr>
                <w:sz w:val="14"/>
                <w:szCs w:val="14"/>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common stock upon</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5" w:lineRule="exact"/>
              <w:rPr>
                <w:sz w:val="20"/>
                <w:szCs w:val="20"/>
                <w:color w:val="auto"/>
              </w:rPr>
            </w:pPr>
            <w:r>
              <w:rPr>
                <w:rFonts w:ascii="Arial" w:cs="Arial" w:eastAsia="Arial" w:hAnsi="Arial"/>
                <w:sz w:val="15"/>
                <w:szCs w:val="15"/>
                <w:color w:val="auto"/>
              </w:rPr>
              <w:t>private placement</w:t>
            </w:r>
          </w:p>
        </w:tc>
        <w:tc>
          <w:tcPr>
            <w:tcW w:w="90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4,122</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65,943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65,947</w:t>
            </w:r>
          </w:p>
        </w:tc>
        <w:tc>
          <w:tcPr>
            <w:tcW w:w="100" w:type="dxa"/>
            <w:vAlign w:val="bottom"/>
            <w:shd w:val="clear" w:color="auto" w:fill="CFF0FC"/>
          </w:tcPr>
          <w:p>
            <w:pPr>
              <w:spacing w:after="0"/>
              <w:rPr>
                <w:sz w:val="14"/>
                <w:szCs w:val="14"/>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Issuance of common stock upon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6" w:lineRule="exact"/>
              <w:rPr>
                <w:sz w:val="20"/>
                <w:szCs w:val="20"/>
                <w:color w:val="auto"/>
              </w:rPr>
            </w:pPr>
            <w:r>
              <w:rPr>
                <w:rFonts w:ascii="Arial" w:cs="Arial" w:eastAsia="Arial" w:hAnsi="Arial"/>
                <w:sz w:val="15"/>
                <w:szCs w:val="15"/>
                <w:color w:val="auto"/>
              </w:rPr>
              <w:t>exercise of stock options</w:t>
            </w:r>
          </w:p>
        </w:tc>
        <w:tc>
          <w:tcPr>
            <w:tcW w:w="9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86</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5"/>
                <w:szCs w:val="15"/>
                <w:color w:val="auto"/>
              </w:rPr>
              <w:t>258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258</w:t>
            </w:r>
          </w:p>
        </w:tc>
        <w:tc>
          <w:tcPr>
            <w:tcW w:w="100" w:type="dxa"/>
            <w:vAlign w:val="bottom"/>
          </w:tcPr>
          <w:p>
            <w:pPr>
              <w:spacing w:after="0"/>
              <w:rPr>
                <w:sz w:val="14"/>
                <w:szCs w:val="14"/>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Vesting of common stock from early</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5" w:lineRule="exact"/>
              <w:rPr>
                <w:sz w:val="20"/>
                <w:szCs w:val="20"/>
                <w:color w:val="auto"/>
              </w:rPr>
            </w:pPr>
            <w:r>
              <w:rPr>
                <w:rFonts w:ascii="Arial" w:cs="Arial" w:eastAsia="Arial" w:hAnsi="Arial"/>
                <w:sz w:val="15"/>
                <w:szCs w:val="15"/>
                <w:color w:val="auto"/>
              </w:rPr>
              <w:t>exercises</w:t>
            </w:r>
          </w:p>
        </w:tc>
        <w:tc>
          <w:tcPr>
            <w:tcW w:w="90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32</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245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245</w:t>
            </w:r>
          </w:p>
        </w:tc>
        <w:tc>
          <w:tcPr>
            <w:tcW w:w="100" w:type="dxa"/>
            <w:vAlign w:val="bottom"/>
            <w:shd w:val="clear" w:color="auto" w:fill="CFF0FC"/>
          </w:tcPr>
          <w:p>
            <w:pPr>
              <w:spacing w:after="0"/>
              <w:rPr>
                <w:sz w:val="14"/>
                <w:szCs w:val="14"/>
                <w:color w:val="auto"/>
              </w:rPr>
            </w:pPr>
          </w:p>
        </w:tc>
      </w:tr>
      <w:tr>
        <w:trPr>
          <w:trHeight w:val="175"/>
        </w:trPr>
        <w:tc>
          <w:tcPr>
            <w:tcW w:w="312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3,552</w:t>
            </w:r>
          </w:p>
        </w:tc>
        <w:tc>
          <w:tcPr>
            <w:tcW w:w="100" w:type="dxa"/>
            <w:vAlign w:val="bottom"/>
          </w:tcPr>
          <w:p>
            <w:pPr>
              <w:spacing w:after="0"/>
              <w:rPr>
                <w:sz w:val="15"/>
                <w:szCs w:val="15"/>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unrealized gain on</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available-for-sale securities</w:t>
            </w:r>
          </w:p>
        </w:tc>
        <w:tc>
          <w:tcPr>
            <w:tcW w:w="9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147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147</w:t>
            </w:r>
          </w:p>
        </w:tc>
        <w:tc>
          <w:tcPr>
            <w:tcW w:w="100" w:type="dxa"/>
            <w:vAlign w:val="bottom"/>
            <w:shd w:val="clear" w:color="auto" w:fill="CFF0FC"/>
          </w:tcPr>
          <w:p>
            <w:pPr>
              <w:spacing w:after="0"/>
              <w:rPr>
                <w:sz w:val="14"/>
                <w:szCs w:val="14"/>
                <w:color w:val="auto"/>
              </w:rPr>
            </w:pPr>
          </w:p>
        </w:tc>
      </w:tr>
      <w:tr>
        <w:trPr>
          <w:trHeight w:val="175"/>
        </w:trPr>
        <w:tc>
          <w:tcPr>
            <w:tcW w:w="3120" w:type="dxa"/>
            <w:vAlign w:val="bottom"/>
          </w:tcPr>
          <w:p>
            <w:pPr>
              <w:ind w:left="260"/>
              <w:spacing w:after="0"/>
              <w:rPr>
                <w:sz w:val="20"/>
                <w:szCs w:val="20"/>
                <w:color w:val="auto"/>
              </w:rPr>
            </w:pPr>
            <w:r>
              <w:rPr>
                <w:rFonts w:ascii="Arial" w:cs="Arial" w:eastAsia="Arial" w:hAnsi="Arial"/>
                <w:sz w:val="15"/>
                <w:szCs w:val="15"/>
                <w:color w:val="auto"/>
              </w:rPr>
              <w:t>Net loss</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(7,669)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(7,669)</w:t>
            </w:r>
          </w:p>
        </w:tc>
      </w:tr>
      <w:tr>
        <w:trPr>
          <w:trHeight w:val="20"/>
        </w:trPr>
        <w:tc>
          <w:tcPr>
            <w:tcW w:w="3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June 30, 2019</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65,899</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515,248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102</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(169,286)</w:t>
            </w:r>
          </w:p>
        </w:tc>
        <w:tc>
          <w:tcPr>
            <w:tcW w:w="2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346,130</w:t>
            </w:r>
          </w:p>
        </w:tc>
        <w:tc>
          <w:tcPr>
            <w:tcW w:w="100" w:type="dxa"/>
            <w:vAlign w:val="bottom"/>
            <w:shd w:val="clear" w:color="auto" w:fill="CFF0FC"/>
          </w:tcPr>
          <w:p>
            <w:pPr>
              <w:spacing w:after="0"/>
              <w:rPr>
                <w:sz w:val="14"/>
                <w:szCs w:val="14"/>
                <w:color w:val="auto"/>
              </w:rPr>
            </w:pPr>
          </w:p>
        </w:tc>
      </w:tr>
      <w:tr>
        <w:trPr>
          <w:trHeight w:val="172"/>
        </w:trPr>
        <w:tc>
          <w:tcPr>
            <w:tcW w:w="3120" w:type="dxa"/>
            <w:vAlign w:val="bottom"/>
          </w:tcPr>
          <w:p>
            <w:pPr>
              <w:ind w:left="260"/>
              <w:spacing w:after="0"/>
              <w:rPr>
                <w:sz w:val="20"/>
                <w:szCs w:val="20"/>
                <w:color w:val="auto"/>
              </w:rPr>
            </w:pPr>
            <w:r>
              <w:rPr>
                <w:rFonts w:ascii="Arial" w:cs="Arial" w:eastAsia="Arial" w:hAnsi="Arial"/>
                <w:sz w:val="15"/>
                <w:szCs w:val="15"/>
                <w:color w:val="auto"/>
              </w:rPr>
              <w:t>Issuance of common stock upon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120" w:type="dxa"/>
            <w:vAlign w:val="bottom"/>
          </w:tcPr>
          <w:p>
            <w:pPr>
              <w:ind w:left="380"/>
              <w:spacing w:after="0" w:line="166" w:lineRule="exact"/>
              <w:rPr>
                <w:sz w:val="20"/>
                <w:szCs w:val="20"/>
                <w:color w:val="auto"/>
              </w:rPr>
            </w:pPr>
            <w:r>
              <w:rPr>
                <w:rFonts w:ascii="Arial" w:cs="Arial" w:eastAsia="Arial" w:hAnsi="Arial"/>
                <w:sz w:val="15"/>
                <w:szCs w:val="15"/>
                <w:color w:val="auto"/>
              </w:rPr>
              <w:t>exercise of stock options</w:t>
            </w:r>
          </w:p>
        </w:tc>
        <w:tc>
          <w:tcPr>
            <w:tcW w:w="9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116</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5"/>
                <w:szCs w:val="15"/>
                <w:color w:val="auto"/>
              </w:rPr>
              <w:t>643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643</w:t>
            </w:r>
          </w:p>
        </w:tc>
        <w:tc>
          <w:tcPr>
            <w:tcW w:w="100" w:type="dxa"/>
            <w:vAlign w:val="bottom"/>
          </w:tcPr>
          <w:p>
            <w:pPr>
              <w:spacing w:after="0"/>
              <w:rPr>
                <w:sz w:val="14"/>
                <w:szCs w:val="14"/>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Vesting of common stock from early</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5" w:lineRule="exact"/>
              <w:rPr>
                <w:sz w:val="20"/>
                <w:szCs w:val="20"/>
                <w:color w:val="auto"/>
              </w:rPr>
            </w:pPr>
            <w:r>
              <w:rPr>
                <w:rFonts w:ascii="Arial" w:cs="Arial" w:eastAsia="Arial" w:hAnsi="Arial"/>
                <w:sz w:val="15"/>
                <w:szCs w:val="15"/>
                <w:color w:val="auto"/>
              </w:rPr>
              <w:t>exercises</w:t>
            </w:r>
          </w:p>
        </w:tc>
        <w:tc>
          <w:tcPr>
            <w:tcW w:w="90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32</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244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244</w:t>
            </w:r>
          </w:p>
        </w:tc>
        <w:tc>
          <w:tcPr>
            <w:tcW w:w="100" w:type="dxa"/>
            <w:vAlign w:val="bottom"/>
            <w:shd w:val="clear" w:color="auto" w:fill="CFF0FC"/>
          </w:tcPr>
          <w:p>
            <w:pPr>
              <w:spacing w:after="0"/>
              <w:rPr>
                <w:sz w:val="14"/>
                <w:szCs w:val="14"/>
                <w:color w:val="auto"/>
              </w:rPr>
            </w:pPr>
          </w:p>
        </w:tc>
      </w:tr>
      <w:tr>
        <w:trPr>
          <w:trHeight w:val="175"/>
        </w:trPr>
        <w:tc>
          <w:tcPr>
            <w:tcW w:w="312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3,089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3,089</w:t>
            </w:r>
          </w:p>
        </w:tc>
        <w:tc>
          <w:tcPr>
            <w:tcW w:w="100" w:type="dxa"/>
            <w:vAlign w:val="bottom"/>
          </w:tcPr>
          <w:p>
            <w:pPr>
              <w:spacing w:after="0"/>
              <w:rPr>
                <w:sz w:val="15"/>
                <w:szCs w:val="15"/>
                <w:color w:val="auto"/>
              </w:rPr>
            </w:pPr>
          </w:p>
        </w:tc>
      </w:tr>
      <w:tr>
        <w:trPr>
          <w:trHeight w:val="172"/>
        </w:trPr>
        <w:tc>
          <w:tcPr>
            <w:tcW w:w="31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unrealized loss on</w:t>
            </w: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5"/>
        </w:trPr>
        <w:tc>
          <w:tcPr>
            <w:tcW w:w="3120" w:type="dxa"/>
            <w:vAlign w:val="bottom"/>
            <w:shd w:val="clear" w:color="auto" w:fill="CFF0FC"/>
          </w:tcPr>
          <w:p>
            <w:pPr>
              <w:ind w:left="380"/>
              <w:spacing w:after="0" w:line="165" w:lineRule="exact"/>
              <w:rPr>
                <w:sz w:val="20"/>
                <w:szCs w:val="20"/>
                <w:color w:val="auto"/>
              </w:rPr>
            </w:pPr>
            <w:r>
              <w:rPr>
                <w:rFonts w:ascii="Arial" w:cs="Arial" w:eastAsia="Arial" w:hAnsi="Arial"/>
                <w:sz w:val="15"/>
                <w:szCs w:val="15"/>
                <w:color w:val="auto"/>
              </w:rPr>
              <w:t>available-for-sale securities</w:t>
            </w:r>
          </w:p>
        </w:tc>
        <w:tc>
          <w:tcPr>
            <w:tcW w:w="90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4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line="165" w:lineRule="exact"/>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line="165" w:lineRule="exact"/>
              <w:rPr>
                <w:sz w:val="20"/>
                <w:szCs w:val="20"/>
                <w:color w:val="auto"/>
              </w:rPr>
            </w:pPr>
            <w:r>
              <w:rPr>
                <w:rFonts w:ascii="Arial" w:cs="Arial" w:eastAsia="Arial" w:hAnsi="Arial"/>
                <w:sz w:val="15"/>
                <w:szCs w:val="15"/>
                <w:color w:val="auto"/>
              </w:rPr>
              <w:t>(3)</w:t>
            </w:r>
          </w:p>
        </w:tc>
      </w:tr>
      <w:tr>
        <w:trPr>
          <w:trHeight w:val="175"/>
        </w:trPr>
        <w:tc>
          <w:tcPr>
            <w:tcW w:w="3120" w:type="dxa"/>
            <w:vAlign w:val="bottom"/>
          </w:tcPr>
          <w:p>
            <w:pPr>
              <w:ind w:left="260"/>
              <w:spacing w:after="0"/>
              <w:rPr>
                <w:sz w:val="20"/>
                <w:szCs w:val="20"/>
                <w:color w:val="auto"/>
              </w:rPr>
            </w:pPr>
            <w:r>
              <w:rPr>
                <w:rFonts w:ascii="Arial" w:cs="Arial" w:eastAsia="Arial" w:hAnsi="Arial"/>
                <w:sz w:val="15"/>
                <w:szCs w:val="15"/>
                <w:color w:val="auto"/>
              </w:rPr>
              <w:t>Net loss</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(10,917)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(10,917)</w:t>
            </w:r>
          </w:p>
        </w:tc>
      </w:tr>
      <w:tr>
        <w:trPr>
          <w:trHeight w:val="20"/>
        </w:trPr>
        <w:tc>
          <w:tcPr>
            <w:tcW w:w="3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September 30, 2019</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66,047</w:t>
            </w:r>
          </w:p>
        </w:tc>
        <w:tc>
          <w:tcPr>
            <w:tcW w:w="20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519,224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99</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(180,203)</w:t>
            </w:r>
          </w:p>
        </w:tc>
        <w:tc>
          <w:tcPr>
            <w:tcW w:w="2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339,186</w:t>
            </w:r>
          </w:p>
        </w:tc>
        <w:tc>
          <w:tcPr>
            <w:tcW w:w="100" w:type="dxa"/>
            <w:vAlign w:val="bottom"/>
            <w:shd w:val="clear" w:color="auto" w:fill="CFF0FC"/>
          </w:tcPr>
          <w:p>
            <w:pPr>
              <w:spacing w:after="0"/>
              <w:rPr>
                <w:sz w:val="14"/>
                <w:szCs w:val="14"/>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CONVERTIBLE PREFERRED STOCK AND STOCKHOLDERS’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78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5"/>
                <w:szCs w:val="15"/>
                <w:b w:val="1"/>
                <w:bCs w:val="1"/>
                <w:color w:val="auto"/>
              </w:rPr>
              <w:t>Convertible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5"/>
                <w:szCs w:val="15"/>
                <w:b w:val="1"/>
                <w:bCs w:val="1"/>
                <w:color w:val="auto"/>
              </w:rPr>
              <w:t>Additional</w:t>
            </w:r>
          </w:p>
        </w:tc>
        <w:tc>
          <w:tcPr>
            <w:tcW w:w="12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178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5"/>
                <w:szCs w:val="15"/>
                <w:b w:val="1"/>
                <w:bCs w:val="1"/>
                <w:color w:val="auto"/>
              </w:rPr>
              <w:t>Preferred Stock</w:t>
            </w:r>
          </w:p>
        </w:tc>
        <w:tc>
          <w:tcPr>
            <w:tcW w:w="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9"/>
              </w:rPr>
              <w:t>Paid-In</w:t>
            </w:r>
          </w:p>
        </w:tc>
        <w:tc>
          <w:tcPr>
            <w:tcW w:w="1340" w:type="dxa"/>
            <w:vAlign w:val="bottom"/>
            <w:gridSpan w:val="3"/>
          </w:tcPr>
          <w:p>
            <w:pPr>
              <w:spacing w:after="0"/>
              <w:rPr>
                <w:sz w:val="20"/>
                <w:szCs w:val="20"/>
                <w:color w:val="auto"/>
              </w:rPr>
            </w:pPr>
            <w:r>
              <w:rPr>
                <w:rFonts w:ascii="Arial" w:cs="Arial" w:eastAsia="Arial" w:hAnsi="Arial"/>
                <w:sz w:val="15"/>
                <w:szCs w:val="15"/>
                <w:b w:val="1"/>
                <w:bCs w:val="1"/>
                <w:color w:val="auto"/>
              </w:rPr>
              <w:t>Comprehensive</w:t>
            </w:r>
          </w:p>
        </w:tc>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Accumulated</w:t>
            </w:r>
          </w:p>
        </w:tc>
        <w:tc>
          <w:tcPr>
            <w:tcW w:w="1200" w:type="dxa"/>
            <w:vAlign w:val="bottom"/>
            <w:gridSpan w:val="4"/>
          </w:tcPr>
          <w:p>
            <w:pPr>
              <w:ind w:left="80"/>
              <w:spacing w:after="0"/>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169"/>
        </w:trPr>
        <w:tc>
          <w:tcPr>
            <w:tcW w:w="3220" w:type="dxa"/>
            <w:vAlign w:val="bottom"/>
            <w:tcBorders>
              <w:bottom w:val="single" w:sz="8" w:color="CFF0FC"/>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4"/>
              <w:spacing w:after="0" w:line="169" w:lineRule="exact"/>
              <w:rPr>
                <w:sz w:val="20"/>
                <w:szCs w:val="20"/>
                <w:color w:val="auto"/>
              </w:rPr>
            </w:pPr>
            <w:r>
              <w:rPr>
                <w:rFonts w:ascii="Arial" w:cs="Arial" w:eastAsia="Arial" w:hAnsi="Arial"/>
                <w:sz w:val="15"/>
                <w:szCs w:val="15"/>
                <w:b w:val="1"/>
                <w:bCs w:val="1"/>
                <w:color w:val="auto"/>
              </w:rPr>
              <w:t>Shares</w:t>
            </w:r>
          </w:p>
        </w:tc>
        <w:tc>
          <w:tcPr>
            <w:tcW w:w="200" w:type="dxa"/>
            <w:vAlign w:val="bottom"/>
            <w:tcBorders>
              <w:top w:val="single" w:sz="8" w:color="auto"/>
              <w:bottom w:val="single" w:sz="8" w:color="CFF0FC"/>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20" w:type="dxa"/>
            <w:vAlign w:val="bottom"/>
            <w:tcBorders>
              <w:bottom w:val="single" w:sz="8" w:color="CFF0FC"/>
              <w:right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rPr>
              <w:t>Shares</w:t>
            </w:r>
          </w:p>
        </w:tc>
        <w:tc>
          <w:tcPr>
            <w:tcW w:w="200" w:type="dxa"/>
            <w:vAlign w:val="bottom"/>
            <w:tcBorders>
              <w:top w:val="single" w:sz="8" w:color="auto"/>
              <w:bottom w:val="single" w:sz="8" w:color="CFF0FC"/>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5"/>
                <w:szCs w:val="15"/>
                <w:b w:val="1"/>
                <w:bCs w:val="1"/>
                <w:color w:val="auto"/>
                <w:w w:val="99"/>
              </w:rPr>
              <w:t>Capital</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b w:val="1"/>
                <w:bCs w:val="1"/>
                <w:color w:val="auto"/>
              </w:rPr>
              <w:t>Gain (Loss)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b w:val="1"/>
                <w:bCs w:val="1"/>
                <w:color w:val="auto"/>
              </w:rPr>
              <w:t>Deficit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b w:val="1"/>
                <w:bCs w:val="1"/>
                <w:color w:val="auto"/>
              </w:rPr>
              <w:t>Deficit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December 31, 2017</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47,267</w:t>
            </w:r>
          </w:p>
        </w:tc>
        <w:tc>
          <w:tcPr>
            <w:tcW w:w="8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$ 294,874</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6,105</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24"/>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26,147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right w:val="single" w:sz="8" w:color="CFF0FC"/>
            </w:tcBorders>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(431)</w:t>
            </w:r>
          </w:p>
        </w:tc>
        <w:tc>
          <w:tcPr>
            <w:tcW w:w="1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(146,700)</w:t>
            </w:r>
          </w:p>
        </w:tc>
        <w:tc>
          <w:tcPr>
            <w:tcW w:w="26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(120,978)</w:t>
            </w:r>
          </w:p>
        </w:tc>
        <w:tc>
          <w:tcPr>
            <w:tcW w:w="0" w:type="dxa"/>
            <w:vAlign w:val="bottom"/>
          </w:tcPr>
          <w:p>
            <w:pPr>
              <w:spacing w:after="0"/>
              <w:rPr>
                <w:sz w:val="1"/>
                <w:szCs w:val="1"/>
                <w:color w:val="auto"/>
              </w:rPr>
            </w:pPr>
          </w:p>
        </w:tc>
      </w:tr>
      <w:tr>
        <w:trPr>
          <w:trHeight w:val="165"/>
        </w:trPr>
        <w:tc>
          <w:tcPr>
            <w:tcW w:w="3220" w:type="dxa"/>
            <w:vAlign w:val="bottom"/>
          </w:tcPr>
          <w:p>
            <w:pPr>
              <w:ind w:left="260"/>
              <w:spacing w:after="0" w:line="166" w:lineRule="exact"/>
              <w:rPr>
                <w:sz w:val="20"/>
                <w:szCs w:val="20"/>
                <w:color w:val="auto"/>
              </w:rPr>
            </w:pPr>
            <w:r>
              <w:rPr>
                <w:rFonts w:ascii="Arial" w:cs="Arial" w:eastAsia="Arial" w:hAnsi="Arial"/>
                <w:sz w:val="15"/>
                <w:szCs w:val="15"/>
                <w:color w:val="auto"/>
              </w:rPr>
              <w:t>Issuance of common stock upon</w:t>
            </w: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tcPr>
          <w:p>
            <w:pPr>
              <w:ind w:left="380"/>
              <w:spacing w:after="0" w:line="166" w:lineRule="exact"/>
              <w:rPr>
                <w:sz w:val="20"/>
                <w:szCs w:val="20"/>
                <w:color w:val="auto"/>
              </w:rPr>
            </w:pPr>
            <w:r>
              <w:rPr>
                <w:rFonts w:ascii="Arial" w:cs="Arial" w:eastAsia="Arial" w:hAnsi="Arial"/>
                <w:sz w:val="15"/>
                <w:szCs w:val="15"/>
                <w:color w:val="auto"/>
              </w:rPr>
              <w:t>exercise of stock options</w:t>
            </w: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35</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71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Vesting of common stock from early</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FF0FC"/>
          </w:tcPr>
          <w:p>
            <w:pPr>
              <w:ind w:left="380"/>
              <w:spacing w:after="0" w:line="165" w:lineRule="exact"/>
              <w:rPr>
                <w:sz w:val="20"/>
                <w:szCs w:val="20"/>
                <w:color w:val="auto"/>
              </w:rPr>
            </w:pPr>
            <w:r>
              <w:rPr>
                <w:rFonts w:ascii="Arial" w:cs="Arial" w:eastAsia="Arial" w:hAnsi="Arial"/>
                <w:sz w:val="15"/>
                <w:szCs w:val="15"/>
                <w:color w:val="auto"/>
              </w:rPr>
              <w:t>exercises</w:t>
            </w:r>
          </w:p>
        </w:tc>
        <w:tc>
          <w:tcPr>
            <w:tcW w:w="68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35</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108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tcBorders>
              <w:right w:val="single" w:sz="8" w:color="CFF0FC"/>
            </w:tcBorders>
            <w:gridSpan w:val="2"/>
            <w:shd w:val="clear" w:color="auto" w:fill="CFF0FC"/>
          </w:tcPr>
          <w:p>
            <w:pPr>
              <w:jc w:val="right"/>
              <w:ind w:right="200"/>
              <w:spacing w:after="0" w:line="165"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Repurchase of common stock</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(23)</w:t>
            </w:r>
          </w:p>
        </w:tc>
        <w:tc>
          <w:tcPr>
            <w:tcW w:w="48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(185)</w:t>
            </w: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20" w:type="dxa"/>
            <w:vAlign w:val="bottom"/>
          </w:tcPr>
          <w:p>
            <w:pPr>
              <w:ind w:left="260"/>
              <w:spacing w:after="0"/>
              <w:rPr>
                <w:sz w:val="20"/>
                <w:szCs w:val="20"/>
                <w:color w:val="auto"/>
              </w:rPr>
            </w:pPr>
            <w:r>
              <w:rPr>
                <w:rFonts w:ascii="Arial" w:cs="Arial" w:eastAsia="Arial" w:hAnsi="Arial"/>
                <w:sz w:val="15"/>
                <w:szCs w:val="15"/>
                <w:color w:val="auto"/>
              </w:rPr>
              <w:t>Changes in unrealized loss on</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tcPr>
          <w:p>
            <w:pPr>
              <w:ind w:left="380"/>
              <w:spacing w:after="0" w:line="165" w:lineRule="exact"/>
              <w:rPr>
                <w:sz w:val="20"/>
                <w:szCs w:val="20"/>
                <w:color w:val="auto"/>
              </w:rPr>
            </w:pPr>
            <w:r>
              <w:rPr>
                <w:rFonts w:ascii="Arial" w:cs="Arial" w:eastAsia="Arial" w:hAnsi="Arial"/>
                <w:sz w:val="15"/>
                <w:szCs w:val="15"/>
                <w:color w:val="auto"/>
              </w:rPr>
              <w:t>available-for-sale securities</w:t>
            </w:r>
          </w:p>
        </w:tc>
        <w:tc>
          <w:tcPr>
            <w:tcW w:w="680" w:type="dxa"/>
            <w:vAlign w:val="bottom"/>
          </w:tcPr>
          <w:p>
            <w:pPr>
              <w:jc w:val="right"/>
              <w:spacing w:after="0" w:line="165"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4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(223)</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5" w:lineRule="exact"/>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(3,941)</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(3,941)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tcPr>
          <w:p>
            <w:pPr>
              <w:spacing w:after="0" w:line="169" w:lineRule="exact"/>
              <w:rPr>
                <w:sz w:val="20"/>
                <w:szCs w:val="20"/>
                <w:color w:val="auto"/>
              </w:rPr>
            </w:pPr>
            <w:r>
              <w:rPr>
                <w:rFonts w:ascii="Arial" w:cs="Arial" w:eastAsia="Arial" w:hAnsi="Arial"/>
                <w:sz w:val="15"/>
                <w:szCs w:val="15"/>
                <w:color w:val="auto"/>
              </w:rPr>
              <w:t>Balance at March 31, 2018</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47,267</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$ 294,874</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6,152</w:t>
            </w:r>
          </w:p>
        </w:tc>
        <w:tc>
          <w:tcPr>
            <w:tcW w:w="200" w:type="dxa"/>
            <w:vAlign w:val="bottom"/>
          </w:tcPr>
          <w:p>
            <w:pPr>
              <w:spacing w:after="0"/>
              <w:rPr>
                <w:sz w:val="14"/>
                <w:szCs w:val="14"/>
                <w:color w:val="auto"/>
              </w:rPr>
            </w:pPr>
          </w:p>
        </w:tc>
        <w:tc>
          <w:tcPr>
            <w:tcW w:w="480" w:type="dxa"/>
            <w:vAlign w:val="bottom"/>
          </w:tcPr>
          <w:p>
            <w:pPr>
              <w:jc w:val="right"/>
              <w:ind w:right="324"/>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c>
          <w:tcPr>
            <w:tcW w:w="20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28,320</w:t>
            </w:r>
          </w:p>
        </w:tc>
        <w:tc>
          <w:tcPr>
            <w:tcW w:w="200" w:type="dxa"/>
            <w:vAlign w:val="bottom"/>
          </w:tcPr>
          <w:p>
            <w:pPr>
              <w:spacing w:after="0"/>
              <w:rPr>
                <w:sz w:val="14"/>
                <w:szCs w:val="14"/>
                <w:color w:val="auto"/>
              </w:rPr>
            </w:pP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(654)</w:t>
            </w:r>
          </w:p>
        </w:tc>
        <w:tc>
          <w:tcPr>
            <w:tcW w:w="180" w:type="dxa"/>
            <w:vAlign w:val="bottom"/>
          </w:tcPr>
          <w:p>
            <w:pPr>
              <w:spacing w:after="0"/>
              <w:rPr>
                <w:sz w:val="14"/>
                <w:szCs w:val="14"/>
                <w:color w:val="auto"/>
              </w:rPr>
            </w:pPr>
          </w:p>
        </w:tc>
        <w:tc>
          <w:tcPr>
            <w:tcW w:w="9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(150,641)</w:t>
            </w:r>
          </w:p>
        </w:tc>
        <w:tc>
          <w:tcPr>
            <w:tcW w:w="26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(122,969)</w:t>
            </w:r>
          </w:p>
        </w:tc>
        <w:tc>
          <w:tcPr>
            <w:tcW w:w="0" w:type="dxa"/>
            <w:vAlign w:val="bottom"/>
          </w:tcPr>
          <w:p>
            <w:pPr>
              <w:spacing w:after="0"/>
              <w:rPr>
                <w:sz w:val="1"/>
                <w:szCs w:val="1"/>
                <w:color w:val="auto"/>
              </w:rPr>
            </w:pP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of common stock to</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participants in 401(k) Plan</w:t>
            </w: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11</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1220" w:type="dxa"/>
            <w:vAlign w:val="bottom"/>
            <w:tcBorders>
              <w:right w:val="single" w:sz="8" w:color="CFF0FC"/>
            </w:tcBorders>
            <w:gridSpan w:val="2"/>
            <w:shd w:val="clear" w:color="auto" w:fill="CFF0FC"/>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tcPr>
          <w:p>
            <w:pPr>
              <w:ind w:left="260"/>
              <w:spacing w:after="0"/>
              <w:rPr>
                <w:sz w:val="20"/>
                <w:szCs w:val="20"/>
                <w:color w:val="auto"/>
              </w:rPr>
            </w:pPr>
            <w:r>
              <w:rPr>
                <w:rFonts w:ascii="Arial" w:cs="Arial" w:eastAsia="Arial" w:hAnsi="Arial"/>
                <w:sz w:val="15"/>
                <w:szCs w:val="15"/>
                <w:color w:val="auto"/>
              </w:rPr>
              <w:t>Issuance of common stock upon</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tcPr>
          <w:p>
            <w:pPr>
              <w:ind w:left="380"/>
              <w:spacing w:after="0" w:line="166" w:lineRule="exact"/>
              <w:rPr>
                <w:sz w:val="20"/>
                <w:szCs w:val="20"/>
                <w:color w:val="auto"/>
              </w:rPr>
            </w:pPr>
            <w:r>
              <w:rPr>
                <w:rFonts w:ascii="Arial" w:cs="Arial" w:eastAsia="Arial" w:hAnsi="Arial"/>
                <w:sz w:val="15"/>
                <w:szCs w:val="15"/>
                <w:color w:val="auto"/>
              </w:rPr>
              <w:t>exercise of stock options</w:t>
            </w: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81</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jc w:val="right"/>
              <w:spacing w:after="0" w:line="166" w:lineRule="exact"/>
              <w:rPr>
                <w:sz w:val="20"/>
                <w:szCs w:val="20"/>
                <w:color w:val="auto"/>
              </w:rPr>
            </w:pPr>
            <w:r>
              <w:rPr>
                <w:rFonts w:ascii="Arial" w:cs="Arial" w:eastAsia="Arial" w:hAnsi="Arial"/>
                <w:sz w:val="15"/>
                <w:szCs w:val="15"/>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163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164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Vesting of common stock from early</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exercises</w:t>
            </w: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31</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108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tcBorders>
              <w:right w:val="single" w:sz="8" w:color="CFF0FC"/>
            </w:tcBorders>
            <w:gridSpan w:val="2"/>
            <w:shd w:val="clear" w:color="auto" w:fill="CFF0FC"/>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2,292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unrealized gain on</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available-for-sale securities</w:t>
            </w: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156</w:t>
            </w: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Net loss</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(3,200)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(3,200)</w:t>
            </w: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June 30, 2018</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47,267</w:t>
            </w:r>
          </w:p>
        </w:tc>
        <w:tc>
          <w:tcPr>
            <w:tcW w:w="8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$ 294,874</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6,275</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24"/>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30,883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right w:val="single" w:sz="8" w:color="CFF0FC"/>
            </w:tcBorders>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(498)</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(153,841)</w:t>
            </w:r>
          </w:p>
        </w:tc>
        <w:tc>
          <w:tcPr>
            <w:tcW w:w="26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(123,449)</w:t>
            </w: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Issuance of common stock upon</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20" w:type="dxa"/>
            <w:vAlign w:val="bottom"/>
          </w:tcPr>
          <w:p>
            <w:pPr>
              <w:ind w:left="380"/>
              <w:spacing w:after="0" w:line="165" w:lineRule="exact"/>
              <w:rPr>
                <w:sz w:val="20"/>
                <w:szCs w:val="20"/>
                <w:color w:val="auto"/>
              </w:rPr>
            </w:pPr>
            <w:r>
              <w:rPr>
                <w:rFonts w:ascii="Arial" w:cs="Arial" w:eastAsia="Arial" w:hAnsi="Arial"/>
                <w:sz w:val="15"/>
                <w:szCs w:val="15"/>
                <w:color w:val="auto"/>
              </w:rPr>
              <w:t>exercise of stock options</w:t>
            </w:r>
          </w:p>
        </w:tc>
        <w:tc>
          <w:tcPr>
            <w:tcW w:w="680" w:type="dxa"/>
            <w:vAlign w:val="bottom"/>
          </w:tcPr>
          <w:p>
            <w:pPr>
              <w:jc w:val="right"/>
              <w:spacing w:after="0" w:line="165"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60" w:type="dxa"/>
            <w:vAlign w:val="bottom"/>
          </w:tcPr>
          <w:p>
            <w:pPr>
              <w:jc w:val="right"/>
              <w:spacing w:after="0" w:line="165" w:lineRule="exact"/>
              <w:rPr>
                <w:sz w:val="20"/>
                <w:szCs w:val="20"/>
                <w:color w:val="auto"/>
              </w:rPr>
            </w:pPr>
            <w:r>
              <w:rPr>
                <w:rFonts w:ascii="Arial" w:cs="Arial" w:eastAsia="Arial" w:hAnsi="Arial"/>
                <w:sz w:val="15"/>
                <w:szCs w:val="15"/>
                <w:color w:val="auto"/>
              </w:rPr>
              <w:t>296</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gridSpan w:val="2"/>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spacing w:after="0" w:line="165" w:lineRule="exact"/>
              <w:rPr>
                <w:sz w:val="20"/>
                <w:szCs w:val="20"/>
                <w:color w:val="auto"/>
              </w:rPr>
            </w:pPr>
            <w:r>
              <w:rPr>
                <w:rFonts w:ascii="Arial" w:cs="Arial" w:eastAsia="Arial" w:hAnsi="Arial"/>
                <w:sz w:val="15"/>
                <w:szCs w:val="15"/>
                <w:color w:val="auto"/>
              </w:rPr>
              <w:t>1,986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line="165"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5"/>
                <w:szCs w:val="15"/>
                <w:color w:val="auto"/>
              </w:rPr>
              <w:t>1,986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Vesting of common stock from early</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FF0FC"/>
          </w:tcPr>
          <w:p>
            <w:pPr>
              <w:ind w:left="380"/>
              <w:spacing w:after="0" w:line="165" w:lineRule="exact"/>
              <w:rPr>
                <w:sz w:val="20"/>
                <w:szCs w:val="20"/>
                <w:color w:val="auto"/>
              </w:rPr>
            </w:pPr>
            <w:r>
              <w:rPr>
                <w:rFonts w:ascii="Arial" w:cs="Arial" w:eastAsia="Arial" w:hAnsi="Arial"/>
                <w:sz w:val="15"/>
                <w:szCs w:val="15"/>
                <w:color w:val="auto"/>
              </w:rPr>
              <w:t>exercises</w:t>
            </w:r>
          </w:p>
        </w:tc>
        <w:tc>
          <w:tcPr>
            <w:tcW w:w="68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50</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5"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250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tcBorders>
              <w:right w:val="single" w:sz="8" w:color="CFF0FC"/>
            </w:tcBorders>
            <w:gridSpan w:val="2"/>
            <w:shd w:val="clear" w:color="auto" w:fill="CFF0FC"/>
          </w:tcPr>
          <w:p>
            <w:pPr>
              <w:jc w:val="right"/>
              <w:ind w:right="200"/>
              <w:spacing w:after="0" w:line="165"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5"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5" w:lineRule="exact"/>
              <w:rPr>
                <w:sz w:val="20"/>
                <w:szCs w:val="20"/>
                <w:color w:val="auto"/>
              </w:rPr>
            </w:pPr>
            <w:r>
              <w:rPr>
                <w:rFonts w:ascii="Arial" w:cs="Arial" w:eastAsia="Arial" w:hAnsi="Arial"/>
                <w:sz w:val="15"/>
                <w:szCs w:val="15"/>
                <w:color w:val="auto"/>
              </w:rPr>
              <w:t>250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2,975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unrealized gain on</w:t>
            </w: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available-for-sale securities</w:t>
            </w:r>
          </w:p>
        </w:tc>
        <w:tc>
          <w:tcPr>
            <w:tcW w:w="6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161</w:t>
            </w:r>
          </w:p>
        </w:tc>
        <w:tc>
          <w:tcPr>
            <w:tcW w:w="2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Arial" w:cs="Arial" w:eastAsia="Arial" w:hAnsi="Arial"/>
                <w:sz w:val="15"/>
                <w:szCs w:val="15"/>
                <w:color w:val="auto"/>
              </w:rPr>
              <w:t>Net loss</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(7,517)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(7,517)</w:t>
            </w: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September 30, 2018</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47,267</w:t>
            </w:r>
          </w:p>
        </w:tc>
        <w:tc>
          <w:tcPr>
            <w:tcW w:w="8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$ 294,874</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6,621</w:t>
            </w: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24"/>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36,094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1220" w:type="dxa"/>
            <w:vAlign w:val="bottom"/>
            <w:tcBorders>
              <w:right w:val="single" w:sz="8" w:color="CFF0FC"/>
            </w:tcBorders>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(337)</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(161,358)</w:t>
            </w:r>
          </w:p>
        </w:tc>
        <w:tc>
          <w:tcPr>
            <w:tcW w:w="26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(125,594)</w:t>
            </w: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 September 30,</w:t>
            </w:r>
          </w:p>
        </w:tc>
      </w:tr>
      <w:tr>
        <w:trPr>
          <w:trHeight w:val="209"/>
        </w:trPr>
        <w:tc>
          <w:tcPr>
            <w:tcW w:w="68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09"/>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(26,854)</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(14,658)</w:t>
            </w:r>
          </w:p>
        </w:tc>
      </w:tr>
      <w:tr>
        <w:trPr>
          <w:trHeight w:val="216"/>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marketable securities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(456)</w:t>
            </w: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Stock-based compensation expenses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7,449</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Early exercised stock options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Receivable from related party collaboration</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r>
      <w:tr>
        <w:trPr>
          <w:trHeight w:val="216"/>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(1,305)</w:t>
            </w:r>
          </w:p>
        </w:tc>
      </w:tr>
      <w:tr>
        <w:trPr>
          <w:trHeight w:val="216"/>
        </w:trPr>
        <w:tc>
          <w:tcPr>
            <w:tcW w:w="68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(14,499)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(13,799)</w:t>
            </w:r>
          </w:p>
        </w:tc>
      </w:tr>
      <w:tr>
        <w:trPr>
          <w:trHeight w:val="20"/>
        </w:trPr>
        <w:tc>
          <w:tcPr>
            <w:tcW w:w="68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(26,573)</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(14,605)</w:t>
            </w:r>
          </w:p>
        </w:tc>
      </w:tr>
      <w:tr>
        <w:trPr>
          <w:trHeight w:val="209"/>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(75,224)</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(102,948)</w:t>
            </w: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Proceeds from sales and maturities of marketable securities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172,767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143,932</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(2,430)</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(5,737)</w:t>
            </w:r>
          </w:p>
        </w:tc>
      </w:tr>
      <w:tr>
        <w:trPr>
          <w:trHeight w:val="209"/>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420" w:type="dxa"/>
            <w:vAlign w:val="bottom"/>
            <w:tcBorders>
              <w:bottom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95,113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35,247</w:t>
            </w:r>
          </w:p>
        </w:tc>
        <w:tc>
          <w:tcPr>
            <w:tcW w:w="120" w:type="dxa"/>
            <w:vAlign w:val="bottom"/>
            <w:tcBorders>
              <w:bottom w:val="single" w:sz="8" w:color="CFF0FC"/>
            </w:tcBorders>
          </w:tcPr>
          <w:p>
            <w:pPr>
              <w:spacing w:after="0"/>
              <w:rPr>
                <w:sz w:val="18"/>
                <w:szCs w:val="18"/>
                <w:color w:val="auto"/>
              </w:rPr>
            </w:pPr>
          </w:p>
        </w:tc>
      </w:tr>
      <w:tr>
        <w:trPr>
          <w:trHeight w:val="209"/>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8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upon initial public</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800" w:type="dxa"/>
            <w:vAlign w:val="bottom"/>
          </w:tcPr>
          <w:p>
            <w:pPr>
              <w:ind w:left="400"/>
              <w:spacing w:after="0" w:line="203" w:lineRule="exact"/>
              <w:rPr>
                <w:sz w:val="20"/>
                <w:szCs w:val="20"/>
                <w:color w:val="auto"/>
              </w:rPr>
            </w:pPr>
            <w:r>
              <w:rPr>
                <w:rFonts w:ascii="Arial" w:cs="Arial" w:eastAsia="Arial" w:hAnsi="Arial"/>
                <w:sz w:val="18"/>
                <w:szCs w:val="18"/>
                <w:color w:val="auto"/>
              </w:rPr>
              <w:t>offering, net of issuance costs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110,078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upon completion</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8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 private placement</w:t>
            </w:r>
          </w:p>
        </w:tc>
        <w:tc>
          <w:tcPr>
            <w:tcW w:w="4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65,947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68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upon exercise of</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800" w:type="dxa"/>
            <w:vAlign w:val="bottom"/>
          </w:tcPr>
          <w:p>
            <w:pPr>
              <w:ind w:left="400"/>
              <w:spacing w:after="0" w:line="203" w:lineRule="exact"/>
              <w:rPr>
                <w:sz w:val="20"/>
                <w:szCs w:val="20"/>
                <w:color w:val="auto"/>
              </w:rPr>
            </w:pPr>
            <w:r>
              <w:rPr>
                <w:rFonts w:ascii="Arial" w:cs="Arial" w:eastAsia="Arial" w:hAnsi="Arial"/>
                <w:sz w:val="18"/>
                <w:szCs w:val="18"/>
                <w:color w:val="auto"/>
              </w:rPr>
              <w:t>stock options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1,153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2,220</w:t>
            </w:r>
          </w:p>
        </w:tc>
        <w:tc>
          <w:tcPr>
            <w:tcW w:w="120" w:type="dxa"/>
            <w:vAlign w:val="bottom"/>
          </w:tcPr>
          <w:p>
            <w:pPr>
              <w:spacing w:after="0"/>
              <w:rPr>
                <w:sz w:val="17"/>
                <w:szCs w:val="17"/>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common stock</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w:t>
            </w: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Deferred IPO costs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(779)</w:t>
            </w:r>
          </w:p>
        </w:tc>
      </w:tr>
      <w:tr>
        <w:trPr>
          <w:trHeight w:val="209"/>
        </w:trPr>
        <w:tc>
          <w:tcPr>
            <w:tcW w:w="6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177,178</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21,898</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27,842</w:t>
            </w:r>
          </w:p>
        </w:tc>
        <w:tc>
          <w:tcPr>
            <w:tcW w:w="12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60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304,890</w:t>
            </w:r>
          </w:p>
        </w:tc>
        <w:tc>
          <w:tcPr>
            <w:tcW w:w="16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49,740</w:t>
            </w:r>
          </w:p>
        </w:tc>
        <w:tc>
          <w:tcPr>
            <w:tcW w:w="12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3"/>
        </w:trPr>
        <w:tc>
          <w:tcPr>
            <w:tcW w:w="680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Reconciliation of cash, cash equivalents and restricted cash to condensed</w:t>
            </w:r>
          </w:p>
        </w:tc>
        <w:tc>
          <w:tcPr>
            <w:tcW w:w="4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w:t>
            </w: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68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303,016</w:t>
            </w:r>
          </w:p>
        </w:tc>
        <w:tc>
          <w:tcPr>
            <w:tcW w:w="16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47,491</w:t>
            </w:r>
          </w:p>
        </w:tc>
        <w:tc>
          <w:tcPr>
            <w:tcW w:w="120" w:type="dxa"/>
            <w:vAlign w:val="bottom"/>
          </w:tcPr>
          <w:p>
            <w:pPr>
              <w:spacing w:after="0"/>
              <w:rPr>
                <w:sz w:val="18"/>
                <w:szCs w:val="18"/>
                <w:color w:val="auto"/>
              </w:rPr>
            </w:pP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FF0FC"/>
          </w:tcPr>
          <w:p>
            <w:pPr>
              <w:spacing w:after="0"/>
              <w:rPr>
                <w:sz w:val="18"/>
                <w:szCs w:val="18"/>
                <w:color w:val="auto"/>
              </w:rPr>
            </w:pPr>
          </w:p>
        </w:tc>
      </w:tr>
      <w:tr>
        <w:trPr>
          <w:trHeight w:val="209"/>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cash, cash equivalents and restricted cash</w:t>
            </w:r>
          </w:p>
        </w:tc>
        <w:tc>
          <w:tcPr>
            <w:tcW w:w="42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304,890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49,740</w:t>
            </w:r>
          </w:p>
        </w:tc>
        <w:tc>
          <w:tcPr>
            <w:tcW w:w="120" w:type="dxa"/>
            <w:vAlign w:val="bottom"/>
            <w:tcBorders>
              <w:bottom w:val="single" w:sz="8" w:color="CFF0FC"/>
            </w:tcBorders>
          </w:tcPr>
          <w:p>
            <w:pPr>
              <w:spacing w:after="0"/>
              <w:rPr>
                <w:sz w:val="18"/>
                <w:szCs w:val="18"/>
                <w:color w:val="auto"/>
              </w:rPr>
            </w:pPr>
          </w:p>
        </w:tc>
      </w:tr>
      <w:tr>
        <w:trPr>
          <w:trHeight w:val="209"/>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800" w:type="dxa"/>
            <w:vAlign w:val="bottom"/>
          </w:tcPr>
          <w:p>
            <w:pPr>
              <w:ind w:left="260"/>
              <w:spacing w:after="0"/>
              <w:rPr>
                <w:sz w:val="20"/>
                <w:szCs w:val="20"/>
                <w:color w:val="auto"/>
              </w:rPr>
            </w:pPr>
            <w:r>
              <w:rPr>
                <w:rFonts w:ascii="Arial" w:cs="Arial" w:eastAsia="Arial" w:hAnsi="Arial"/>
                <w:sz w:val="18"/>
                <w:szCs w:val="18"/>
                <w:color w:val="auto"/>
              </w:rPr>
              <w:t>Net exercise of convertible preferred stock warrant to Series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800" w:type="dxa"/>
            <w:vAlign w:val="bottom"/>
          </w:tcPr>
          <w:p>
            <w:pPr>
              <w:ind w:left="400"/>
              <w:spacing w:after="0" w:line="203" w:lineRule="exact"/>
              <w:rPr>
                <w:sz w:val="20"/>
                <w:szCs w:val="20"/>
                <w:color w:val="auto"/>
              </w:rPr>
            </w:pPr>
            <w:r>
              <w:rPr>
                <w:rFonts w:ascii="Arial" w:cs="Arial" w:eastAsia="Arial" w:hAnsi="Arial"/>
                <w:sz w:val="18"/>
                <w:szCs w:val="18"/>
                <w:color w:val="auto"/>
              </w:rPr>
              <w:t>A preferred stock</w:t>
            </w:r>
          </w:p>
        </w:tc>
        <w:tc>
          <w:tcPr>
            <w:tcW w:w="1600" w:type="dxa"/>
            <w:vAlign w:val="bottom"/>
            <w:gridSpan w:val="2"/>
          </w:tcPr>
          <w:p>
            <w:pPr>
              <w:jc w:val="right"/>
              <w:ind w:right="99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198</w:t>
            </w:r>
          </w:p>
        </w:tc>
        <w:tc>
          <w:tcPr>
            <w:tcW w:w="160" w:type="dxa"/>
            <w:vAlign w:val="bottom"/>
          </w:tcPr>
          <w:p>
            <w:pPr>
              <w:spacing w:after="0"/>
              <w:rPr>
                <w:sz w:val="17"/>
                <w:szCs w:val="17"/>
                <w:color w:val="auto"/>
              </w:rPr>
            </w:pPr>
          </w:p>
        </w:tc>
        <w:tc>
          <w:tcPr>
            <w:tcW w:w="5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common stock from early exercises</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FF0FC"/>
          </w:tcPr>
          <w:p>
            <w:pPr>
              <w:spacing w:after="0"/>
              <w:rPr>
                <w:sz w:val="18"/>
                <w:szCs w:val="18"/>
                <w:color w:val="auto"/>
              </w:rPr>
            </w:pPr>
          </w:p>
        </w:tc>
      </w:tr>
      <w:tr>
        <w:trPr>
          <w:trHeight w:val="215"/>
        </w:trPr>
        <w:tc>
          <w:tcPr>
            <w:tcW w:w="6800" w:type="dxa"/>
            <w:vAlign w:val="bottom"/>
          </w:tcPr>
          <w:p>
            <w:pPr>
              <w:ind w:left="260"/>
              <w:spacing w:after="0"/>
              <w:rPr>
                <w:sz w:val="20"/>
                <w:szCs w:val="20"/>
                <w:color w:val="auto"/>
              </w:rPr>
            </w:pPr>
            <w:r>
              <w:rPr>
                <w:rFonts w:ascii="Arial" w:cs="Arial" w:eastAsia="Arial" w:hAnsi="Arial"/>
                <w:sz w:val="18"/>
                <w:szCs w:val="18"/>
                <w:color w:val="auto"/>
              </w:rPr>
              <w:t>Cost of property and equipment in accounts payable and</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6800" w:type="dxa"/>
            <w:vAlign w:val="bottom"/>
          </w:tcPr>
          <w:p>
            <w:pPr>
              <w:ind w:left="40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CONDSENSED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NGM Biopharmaceuticals, Inc. and its wholly-owned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six product candidates (aldafermin (NGM282), NGM313, NGM120, NGM217, NGM621 and NGM395) focused on non-alcoholic steatohepatitis (“NASH”), diabetes, oncology, age-related macular degeneration and metabolic disease.</w:t>
      </w:r>
    </w:p>
    <w:p>
      <w:pPr>
        <w:spacing w:after="0" w:line="206" w:lineRule="exact"/>
        <w:rPr>
          <w:sz w:val="20"/>
          <w:szCs w:val="20"/>
          <w:color w:val="auto"/>
        </w:rPr>
      </w:pPr>
    </w:p>
    <w:p>
      <w:pPr>
        <w:ind w:right="240" w:firstLine="518"/>
        <w:spacing w:after="0" w:line="245" w:lineRule="auto"/>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 South San Francisco, California 94080. The Company operates in one business segment.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On March 22, 2019, the Company filed an amendment to the Company’s amended and restated certificate of incorporation to effect a reverse split of shares of the Company’s common stock on a two-for-one basis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condensed consolidated financial statements have been retrospectively adjusted to reflect the effect of the Reverse Stock Split for all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On April 3, 2019, the Company’s registration statement on Form S-1 was declared effective by the United States Securities and Exchange Commission (“SEC”) for its initial public offering (“IPO”) of its common stock. The Company’s shares of common stock started trading on the Nasdaq Global Select Market on April 4, 2019 and the transaction closed on April 8, 2019. In connection with the IPO, the Company sold an aggregate of 7,521,394 shares of common stock, which included 6,666,667 shares of common stock and 854,727 shares of common stock sold pursuant to the underwriters’ exercise of their option to purchase additional shares, at a public offering price of $16.00 per share. The aggregate net proceeds received by the Company from the offering were $107.8 million, net of underwriting discounts, commissions and offering expenses of $4.1 million, of which $2.3 million were paid in 2018. Upon the closing of the IPO, 47,283,839 shares of the Company’s outstanding convertible preferred stock were automatically converted to common stock on a 1:1 basis and the related carrying amount of $295.1 million was reclassified to common stock and additional paid-in capital within stockholders’ equity (deficit).</w:t>
      </w:r>
    </w:p>
    <w:p>
      <w:pPr>
        <w:spacing w:after="0" w:line="20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Concurrent with the closing of the IPO, the Company also issued 4,121,683 shares of its common stock to Merck Sharp &amp; Dohme Corp. (“Merck”) in a private placement at a price of $16.00 per share for proceeds of $65.9 million, which resulted in Merck owning approximately 19.9% of the Company’s outstanding shares of common stock (Note 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Regulation S-X for interim consolidated financial information. These unaudited condensed consolidated financial statements should be read in conjunction with the audited consolidated financial statements and notes for the year ended December 31, 2018, included in the Company’s final prospectus filed with the SEC pursuant to Rule 424(b) under the Securities Act of 1933, as amended (“Securities Act”), on April 4, 2019 (the “Prospectus”).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or for any subsequent interim period.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 w:name="page10"/>
    <w:bookmarkEnd w:id="9"/>
    <w:p>
      <w:pPr>
        <w:ind w:right="120" w:firstLine="518"/>
        <w:spacing w:after="0" w:line="245" w:lineRule="auto"/>
        <w:rPr>
          <w:sz w:val="20"/>
          <w:szCs w:val="20"/>
          <w:color w:val="auto"/>
        </w:rPr>
      </w:pPr>
      <w:r>
        <w:rPr>
          <w:rFonts w:ascii="Arial" w:cs="Arial" w:eastAsia="Arial" w:hAnsi="Arial"/>
          <w:sz w:val="18"/>
          <w:szCs w:val="18"/>
          <w:color w:val="auto"/>
        </w:rPr>
        <w:t>These unaudited condensed consolidated financial statements include the consolidated accounts of the Company and its wholly-owned foreign subsidiary in Australia. All intercompany balances and transactions have been eliminated upon consolidation.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clinical trial accruals and revenue in accordance with Accounting Standards Codification Topic 606, Revenue from Contracts with Customers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three and nine months ended September 30, 2019, the Company incurred net losses of $10.9 million and $26.9 million, respectively, compared to net losses of $7.5 million and $14.7 million for the three and nine months ended September 30, 2018, respectively. As of September 30, 2019, the Company had an accumulated deficit of $180.2 million and does not expect to experience positive cash flows from operations in the near future. The Company had $356.6 million of cash, cash equivalents and marketable securities as of September 30, 2019, and therefore the Company expects that its cash and cash equivalents and marketable securities will be sufficient to fund its operations for a period of at least one year from the date these unaudited condensed consolidated financial statements are filed with the SEC. To fully implement the Company’s business plan and fund its operations, the Company may raise capital through the issuance of equity securities or debt financings, collaborations, strategic alliances and licensing arrangements, government or other third-party funding or a combination of these.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25"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Costs incurred in connection with the IPO primarily consisted of direct incremental legal, printing and accounting fees. IPO costs were capitalized as incurred and offset against proceeds upon completion of the IPO. As of September 30, 2019 and December 31, 2018, deferred IPO costs included on the accompanying condensed consolidated balance sheets were zero and $2.3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carrying amounts of cash and cash equivalents, the related party receivables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5"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Cash and cash equivalents are stated at fair value. Cash equivalents are related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September 30, 2019 and December 31, 2018, cash and cash equivalents consisted of bank deposits and investments in money market funds.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5"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10" w:name="page11"/>
    <w:bookmarkEnd w:id="10"/>
    <w:p>
      <w:pPr>
        <w:jc w:val="both"/>
        <w:ind w:right="60"/>
        <w:spacing w:after="0" w:line="261" w:lineRule="auto"/>
        <w:rPr>
          <w:sz w:val="20"/>
          <w:szCs w:val="20"/>
          <w:color w:val="auto"/>
        </w:rPr>
      </w:pPr>
      <w:r>
        <w:rPr>
          <w:rFonts w:ascii="Arial" w:cs="Arial" w:eastAsia="Arial" w:hAnsi="Arial"/>
          <w:sz w:val="17"/>
          <w:szCs w:val="17"/>
          <w:color w:val="auto"/>
        </w:rPr>
        <w:t>and reported in accumulated other comprehensive loss as a separate component of stockholders’ equity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185" w:lineRule="exact"/>
        <w:rPr>
          <w:sz w:val="20"/>
          <w:szCs w:val="20"/>
          <w:color w:val="auto"/>
        </w:rPr>
      </w:pPr>
    </w:p>
    <w:p>
      <w:pPr>
        <w:ind w:right="280" w:firstLine="518"/>
        <w:spacing w:after="0" w:line="237"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Company’s restricted cash represents collateral in connection with the lease on the Company’s headquarters entered into in 2015 and is classified as a non-current asset on the condensed consolidated balance sheets as the collateral will not be returned to the Company in less than 12 months (Note 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5"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204" w:lineRule="exact"/>
        <w:rPr>
          <w:sz w:val="20"/>
          <w:szCs w:val="20"/>
          <w:color w:val="auto"/>
        </w:rPr>
      </w:pPr>
    </w:p>
    <w:p>
      <w:pPr>
        <w:jc w:val="both"/>
        <w:ind w:right="300" w:firstLine="518"/>
        <w:spacing w:after="0"/>
        <w:rPr>
          <w:sz w:val="20"/>
          <w:szCs w:val="20"/>
          <w:color w:val="auto"/>
        </w:rPr>
      </w:pPr>
      <w:r>
        <w:rPr>
          <w:rFonts w:ascii="Arial" w:cs="Arial" w:eastAsia="Arial" w:hAnsi="Arial"/>
          <w:sz w:val="18"/>
          <w:szCs w:val="18"/>
          <w:color w:val="auto"/>
        </w:rPr>
        <w:t>Related party receivables from collaborations (Notes 5 and 6) are typically unsecured. Accordingly, the Company may be exposed to credit risk generally associated with its current collaboration agreement with Merck (“Collaboration Agreement”) and any future collaboration agreements with other collaboration partners. To date, the Company has not experienced any losses related to these receivables.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Merck accounted for 100% of the Company’s revenue for the three and nine months ended September 30, 2019 and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5" w:lineRule="exact"/>
        <w:rPr>
          <w:sz w:val="20"/>
          <w:szCs w:val="20"/>
          <w:color w:val="auto"/>
        </w:rPr>
      </w:pPr>
    </w:p>
    <w:p>
      <w:pPr>
        <w:jc w:val="both"/>
        <w:ind w:right="20" w:firstLine="518"/>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charged to expense as incurred. Costs that improve assets or extend their economic lives are capitalized. Depreciation is recognized using the straight-line method based on an estimated useful life of the asset, which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5900" w:type="dxa"/>
            <w:vAlign w:val="bottom"/>
            <w:shd w:val="clear" w:color="auto" w:fill="CFF0FC"/>
          </w:tcPr>
          <w:p>
            <w:pPr>
              <w:ind w:left="2220"/>
              <w:spacing w:after="0"/>
              <w:rPr>
                <w:sz w:val="20"/>
                <w:szCs w:val="20"/>
                <w:color w:val="auto"/>
              </w:rPr>
            </w:pPr>
            <w:r>
              <w:rPr>
                <w:rFonts w:ascii="Arial" w:cs="Arial" w:eastAsia="Arial" w:hAnsi="Arial"/>
                <w:sz w:val="18"/>
                <w:szCs w:val="18"/>
                <w:color w:val="auto"/>
              </w:rPr>
              <w:t>3 years</w:t>
            </w:r>
          </w:p>
        </w:tc>
      </w:tr>
      <w:tr>
        <w:trPr>
          <w:trHeight w:val="202"/>
        </w:trPr>
        <w:tc>
          <w:tcPr>
            <w:tcW w:w="552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900" w:type="dxa"/>
            <w:vAlign w:val="bottom"/>
          </w:tcPr>
          <w:p>
            <w:pPr>
              <w:ind w:left="2220"/>
              <w:spacing w:after="0" w:line="202" w:lineRule="exact"/>
              <w:rPr>
                <w:sz w:val="20"/>
                <w:szCs w:val="20"/>
                <w:color w:val="auto"/>
              </w:rPr>
            </w:pPr>
            <w:r>
              <w:rPr>
                <w:rFonts w:ascii="Arial" w:cs="Arial" w:eastAsia="Arial" w:hAnsi="Arial"/>
                <w:sz w:val="18"/>
                <w:szCs w:val="18"/>
                <w:color w:val="auto"/>
              </w:rPr>
              <w:t>3 years</w:t>
            </w:r>
          </w:p>
        </w:tc>
      </w:tr>
      <w:tr>
        <w:trPr>
          <w:trHeight w:val="202"/>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5900" w:type="dxa"/>
            <w:vAlign w:val="bottom"/>
            <w:shd w:val="clear" w:color="auto" w:fill="CFF0FC"/>
          </w:tcPr>
          <w:p>
            <w:pPr>
              <w:ind w:left="222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5" w:lineRule="exact"/>
        <w:rPr>
          <w:sz w:val="20"/>
          <w:szCs w:val="20"/>
          <w:color w:val="auto"/>
        </w:rPr>
      </w:pPr>
    </w:p>
    <w:p>
      <w:pPr>
        <w:jc w:val="both"/>
        <w:ind w:firstLine="518"/>
        <w:spacing w:after="0" w:line="238" w:lineRule="auto"/>
        <w:rPr>
          <w:sz w:val="20"/>
          <w:szCs w:val="20"/>
          <w:color w:val="auto"/>
        </w:rPr>
      </w:pPr>
      <w:r>
        <w:rPr>
          <w:rFonts w:ascii="Arial" w:cs="Arial" w:eastAsia="Arial" w:hAnsi="Arial"/>
          <w:sz w:val="18"/>
          <w:szCs w:val="18"/>
          <w:color w:val="auto"/>
        </w:rPr>
        <w:t>The Company’s lease agreement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5" w:lineRule="exact"/>
        <w:rPr>
          <w:sz w:val="20"/>
          <w:szCs w:val="20"/>
          <w:color w:val="auto"/>
        </w:rPr>
      </w:pPr>
    </w:p>
    <w:p>
      <w:pPr>
        <w:jc w:val="both"/>
        <w:ind w:right="80" w:firstLine="518"/>
        <w:spacing w:after="0"/>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1" w:name="page12"/>
    <w:bookmarkEnd w:id="11"/>
    <w:p>
      <w:pPr>
        <w:ind w:right="120"/>
        <w:spacing w:after="0"/>
        <w:rPr>
          <w:sz w:val="20"/>
          <w:szCs w:val="20"/>
          <w:color w:val="auto"/>
        </w:rPr>
      </w:pPr>
      <w:r>
        <w:rPr>
          <w:rFonts w:ascii="Arial" w:cs="Arial" w:eastAsia="Arial" w:hAnsi="Arial"/>
          <w:sz w:val="18"/>
          <w:szCs w:val="18"/>
          <w:color w:val="auto"/>
        </w:rPr>
        <w:t>flows expected to be generated by the asset. If the carrying amount of an asset exceeds its estimated undiscounted future cash flows, an impairment charge is recognized as the amount by which the carrying amount of the asset exceeds the estimated fair value of the asset. As of September 30, 2019 and December 31, 2018, no revision to the remaining useful lives or write-down of long-lived assets was required.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w:t>
      </w:r>
    </w:p>
    <w:p>
      <w:pPr>
        <w:spacing w:after="0" w:line="12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Freestanding warrants to purchase the Company’s convertible preferred stock were classified as a liability on the condensed consolidated balance sheet at December 31, 2018 as the underlying shares of convertible preferred stock were contingently redeemable, which could have obligated the Company to transfer assets at some point in the future to settle the warrants. The convertible preferred stock warrants are recorded as a liability and subject to remeasurement at each balance sheet date, with changes in estimated fair value recorded in the Company’s consolidated statements of operations as a component of total other income (expense), net. On February 3, 2019, all convertible preferred stock warrants were automatically exercised on a net basis into 16,380 shares of Series A convertible preferred stock at a fair value of $0.2 million. As of September 30, 2019, there were no convertible preferred stock warrants outstanding.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On January 1, 2019, the Company adopted Accounting Standards Update (“ASU”) 2014-09, Revenue from Contracts with Customers (Topic 606), and subsequent amendments, using the modified retrospective transition method applied to those contracts that were not completed as of January 1, 2019. ASC 606 supersedes all prior revenue recognition guidance. Results for operating periods beginning after January 1, 2019 are presented under ASC 606, while prior period amounts have not been adjusted and continue to be reported in accordance with previous accounting rules under Accounting Standards Codification Topic 605, Revenue Recognition (“ASC 605”).</w:t>
      </w:r>
    </w:p>
    <w:p>
      <w:pPr>
        <w:spacing w:after="0" w:line="206" w:lineRule="exact"/>
        <w:rPr>
          <w:sz w:val="20"/>
          <w:szCs w:val="20"/>
          <w:color w:val="auto"/>
        </w:rPr>
      </w:pPr>
    </w:p>
    <w:p>
      <w:pPr>
        <w:ind w:right="100" w:firstLine="518"/>
        <w:spacing w:after="0" w:line="248" w:lineRule="auto"/>
        <w:rPr>
          <w:sz w:val="20"/>
          <w:szCs w:val="20"/>
          <w:color w:val="auto"/>
        </w:rPr>
      </w:pPr>
      <w:r>
        <w:rPr>
          <w:rFonts w:ascii="Arial" w:cs="Arial" w:eastAsia="Arial" w:hAnsi="Arial"/>
          <w:sz w:val="17"/>
          <w:szCs w:val="17"/>
          <w:color w:val="auto"/>
        </w:rPr>
        <w:t>The core principle in ASC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 principle: (1) identify the contract(s) with a customer;</w:t>
      </w:r>
    </w:p>
    <w:p>
      <w:pPr>
        <w:spacing w:after="0" w:line="1" w:lineRule="exact"/>
        <w:rPr>
          <w:sz w:val="20"/>
          <w:szCs w:val="20"/>
          <w:color w:val="auto"/>
        </w:rPr>
      </w:pPr>
    </w:p>
    <w:p>
      <w:pPr>
        <w:ind w:right="40" w:firstLine="8"/>
        <w:spacing w:after="0" w:line="245"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98"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6"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customer, are considered distinct performance obligations that should be accounted for separately. Judgment is required to determine whether the license to a compound is distinct from research and development services or participation in steering committees, as well as whether options create material rights in the contract.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12" w:name="page13"/>
    <w:bookmarkEnd w:id="12"/>
    <w:p>
      <w:pPr>
        <w:ind w:right="20" w:firstLine="518"/>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variable consideration related to the performance of research and development services. The Company typically submits a budget for the research and development services to the customer in advance of performing the services. The transaction price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205"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 -evaluates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21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Prior to the adoption of ASC 606, the Company’s revenue from collaboration agreements was recognized when the Company determined that persuasive evidence of an arrangement exists, services had been rendered, the price was fixed or determinable and collectability was reasonably assured. The Company would record amounts received prior to satisfying the above revenue recognition criteria as deferred revenue until all applicable revenue recognition criteria were met. Revenue allocated to research activities was generally recognized in the period the services were performed, and revenue allocated to licenses was generally recognized on a straight-line basis over the contractual term. Allocations to non-contingent elements were based on the relative selling price of each element using vendor-specific objective evidence or third-party evidence, where available. In the absence of either of these measures, the Company used the best estimate of selling price for that deliverable.</w:t>
      </w:r>
    </w:p>
    <w:p>
      <w:pPr>
        <w:spacing w:after="0" w:line="206" w:lineRule="exact"/>
        <w:rPr>
          <w:sz w:val="20"/>
          <w:szCs w:val="20"/>
          <w:color w:val="auto"/>
        </w:rPr>
      </w:pPr>
    </w:p>
    <w:p>
      <w:pPr>
        <w:ind w:right="320" w:firstLine="518"/>
        <w:spacing w:after="0" w:line="237" w:lineRule="auto"/>
        <w:rPr>
          <w:sz w:val="20"/>
          <w:szCs w:val="20"/>
          <w:color w:val="auto"/>
        </w:rPr>
      </w:pPr>
      <w:r>
        <w:rPr>
          <w:rFonts w:ascii="Arial" w:cs="Arial" w:eastAsia="Arial" w:hAnsi="Arial"/>
          <w:sz w:val="18"/>
          <w:szCs w:val="18"/>
          <w:color w:val="auto"/>
        </w:rPr>
        <w:t>The most significant change to the Company’s policies upon the adoption of ASC 606 is the estimation of an arrangement’s total transaction price, which would include any variable consideration and the recognition of that transaction price based on a cost-based input method that requires significant estimates to determine, at each reporting period, the percentage of completion based on the estimated total effort required to complete the project and the total transaction price. Given the differences in revenue recognition policies, the revenue recognized in prior years is not strictly comparable to revenue recorded in the quarter ending September 30, 2019 or in future periods (see Recently Adopted Accounting Pronouncements).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5"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6"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(“CROs”)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Company’s stock-based compensation programs include stock options and shares that will be issued under the Company’s 2019 Employee Stock Purchase Plan ("ESPP"). Stock-based compensation to employees is valued on the grant date of each award using the Black-Scholes option-pricing model, and its estimated fair value is recognized over the period during which the employee is required to provide service in exchange for the award, which is generally the vesting period of each award. Subsequent to the adoption of ASU 2018-07, Stock Compensation (Topic 718): Improvements to Nonemployee Share-Based Payment Accounting, stock-based compensation expense for non - employee stock-based awards is also measured based on the fair value on grant date with its estimated fair value recorded over the period for which the non-employee is required to provide service in exchange for the award. As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5" w:lineRule="exact"/>
        <w:rPr>
          <w:sz w:val="20"/>
          <w:szCs w:val="20"/>
          <w:color w:val="auto"/>
        </w:rPr>
      </w:pPr>
    </w:p>
    <w:p>
      <w:pPr>
        <w:ind w:right="200" w:firstLine="518"/>
        <w:spacing w:after="0" w:line="237" w:lineRule="auto"/>
        <w:rPr>
          <w:sz w:val="20"/>
          <w:szCs w:val="20"/>
          <w:color w:val="auto"/>
        </w:rPr>
      </w:pPr>
      <w:r>
        <w:rPr>
          <w:rFonts w:ascii="Arial" w:cs="Arial" w:eastAsia="Arial" w:hAnsi="Arial"/>
          <w:sz w:val="18"/>
          <w:szCs w:val="18"/>
          <w:color w:val="auto"/>
        </w:rPr>
        <w:t>The functional currency of NGM Biopharmaceuticals Australia Pty Ltd., a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condensed consolidated statements of operations.</w:t>
      </w:r>
    </w:p>
    <w:p>
      <w:pPr>
        <w:spacing w:after="0" w:line="206"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5"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three and nine months ended September 30, 2019 and 2018, the difference between comprehensive loss and net loss consisted of changes in net unrealized gain on marketable securities of zero and $0.4 million and $0.2 million and $0.1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three and nine months ended September 30, 2019 and 2018, all potential common shares were determined to be anti-dilutive.</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share and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(10,917)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(7,517)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(26,854)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(14,658)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8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Weighted-average number of common shares used in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tcPr>
          <w:p>
            <w:pPr>
              <w:ind w:left="260"/>
              <w:spacing w:after="0" w:line="203" w:lineRule="exact"/>
              <w:rPr>
                <w:sz w:val="20"/>
                <w:szCs w:val="20"/>
                <w:color w:val="auto"/>
              </w:rPr>
            </w:pPr>
            <w:r>
              <w:rPr>
                <w:rFonts w:ascii="Arial" w:cs="Arial" w:eastAsia="Arial" w:hAnsi="Arial"/>
                <w:sz w:val="18"/>
                <w:szCs w:val="18"/>
                <w:color w:val="auto"/>
              </w:rPr>
              <w:t>calculating net income per share—basic and diluted</w:t>
            </w:r>
          </w:p>
        </w:tc>
        <w:tc>
          <w:tcPr>
            <w:tcW w:w="8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65,948,207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6,525,660</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44,828,596</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6,285,905</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(0.60)</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0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14" w:name="page15"/>
    <w:bookmarkEnd w:id="14"/>
    <w:p>
      <w:pPr>
        <w:ind w:right="80" w:firstLine="518"/>
        <w:spacing w:after="0" w:line="245" w:lineRule="auto"/>
        <w:rPr>
          <w:sz w:val="20"/>
          <w:szCs w:val="20"/>
          <w:color w:val="auto"/>
        </w:rPr>
      </w:pPr>
      <w:r>
        <w:rPr>
          <w:rFonts w:ascii="Arial" w:cs="Arial" w:eastAsia="Arial" w:hAnsi="Arial"/>
          <w:sz w:val="18"/>
          <w:szCs w:val="18"/>
          <w:color w:val="auto"/>
        </w:rPr>
        <w:t>Potential gross dilutive securities that were not included in the diluted per share calculations because they would be anti-dilutive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80" w:type="dxa"/>
            <w:vAlign w:val="bottom"/>
          </w:tcPr>
          <w:p>
            <w:pPr>
              <w:spacing w:after="0"/>
              <w:rPr>
                <w:sz w:val="19"/>
                <w:szCs w:val="19"/>
                <w:color w:val="auto"/>
              </w:rPr>
            </w:pPr>
          </w:p>
        </w:tc>
        <w:tc>
          <w:tcPr>
            <w:tcW w:w="236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78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0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2360" w:type="dxa"/>
            <w:vAlign w:val="bottom"/>
            <w:gridSpan w:val="3"/>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11,328,508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9,915,997</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convertible preferred stock</w:t>
            </w:r>
          </w:p>
        </w:tc>
        <w:tc>
          <w:tcPr>
            <w:tcW w:w="2360" w:type="dxa"/>
            <w:vAlign w:val="bottom"/>
            <w:gridSpan w:val="3"/>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19,637</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Shares committed under ESPP</w:t>
            </w:r>
          </w:p>
        </w:tc>
        <w:tc>
          <w:tcPr>
            <w:tcW w:w="1560" w:type="dxa"/>
            <w:vAlign w:val="bottom"/>
          </w:tcPr>
          <w:p>
            <w:pPr>
              <w:jc w:val="right"/>
              <w:spacing w:after="0"/>
              <w:rPr>
                <w:sz w:val="20"/>
                <w:szCs w:val="20"/>
                <w:color w:val="auto"/>
              </w:rPr>
            </w:pPr>
            <w:r>
              <w:rPr>
                <w:rFonts w:ascii="Arial" w:cs="Arial" w:eastAsia="Arial" w:hAnsi="Arial"/>
                <w:sz w:val="18"/>
                <w:szCs w:val="18"/>
                <w:color w:val="auto"/>
              </w:rPr>
              <w:t>429,369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11,757,877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57,203,100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5" w:lineRule="exact"/>
        <w:rPr>
          <w:sz w:val="20"/>
          <w:szCs w:val="20"/>
          <w:color w:val="auto"/>
        </w:rPr>
      </w:pPr>
    </w:p>
    <w:p>
      <w:pPr>
        <w:ind w:right="440" w:firstLine="518"/>
        <w:spacing w:after="0"/>
        <w:rPr>
          <w:sz w:val="20"/>
          <w:szCs w:val="20"/>
          <w:color w:val="auto"/>
        </w:rPr>
      </w:pPr>
      <w:r>
        <w:rPr>
          <w:rFonts w:ascii="Arial" w:cs="Arial" w:eastAsia="Arial" w:hAnsi="Arial"/>
          <w:sz w:val="18"/>
          <w:szCs w:val="18"/>
          <w:color w:val="auto"/>
        </w:rPr>
        <w:t>The Company operates in one segment. Substantially all of the Company’s long-lived assets, primarily comprised of property and equipment, are based in the United States. For the three and nine months ended September 30, 2019 and 2018, the Company’s revenues were entirely within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5" w:lineRule="exact"/>
        <w:rPr>
          <w:sz w:val="20"/>
          <w:szCs w:val="20"/>
          <w:color w:val="auto"/>
        </w:rPr>
      </w:pPr>
    </w:p>
    <w:p>
      <w:pPr>
        <w:ind w:right="60" w:firstLine="518"/>
        <w:spacing w:after="0" w:line="254"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and adopted by us as of the specified effective date. Unless otherwise discussed, the impact of recently issued standards that are not yet effective will not have a material impact on our condensed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In June 2018, the FASB issued ASU 2018-07, Compensation – Stock Compensation (Topic 718): Improvements to Non-Employee Share-Based Payment Accounting as part of the FASB simplification initiative. The new standard expands the scope of Topic 718, allowing the Company to apply the requirements of Topic 718 to certain non-employee awards issued in exchange for the acquisition of goods and services from non-employees. ASU 2018-07 is intended to supersede Subtopic 505-50, Equity-Based Payments to Non-Employees and is effective for the Company for fiscal years beginning after December 15, 2019. Effective January 1, 2019, the Company early adopted this ASU using the modified retrospective transition method in which all previously issued equity-classified share-based payment awards to non-employees were remeasured at fair value as of the adoption date. Newly issued equity-classified share-based payments awards to non-employees are measured at fair value as of grant date. The adoption of this ASU did not have a material impact on the Company’s condensed consolidated financial statements.</w:t>
      </w:r>
    </w:p>
    <w:p>
      <w:pPr>
        <w:spacing w:after="0" w:line="20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May 2014, the FASB issued ASU 2014-09, Revenue from Contracts with Customers (Topic 606), which requires an entity to recognize the amount of revenue to which it expects to be entitled for the transfer of promised goods or services to customers. ASU 2014-09 replaced existing revenue recognition guidance and permits the use of either the full retrospective or modified retrospective transition method. Additionally,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For the Company, these standards (collectively, ASC 606) have the same effective date and transition date of January 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ind w:right="20" w:firstLine="518"/>
        <w:spacing w:after="0" w:line="236" w:lineRule="auto"/>
        <w:rPr>
          <w:sz w:val="20"/>
          <w:szCs w:val="20"/>
          <w:color w:val="auto"/>
        </w:rPr>
      </w:pPr>
      <w:r>
        <w:rPr>
          <w:rFonts w:ascii="Arial" w:cs="Arial" w:eastAsia="Arial" w:hAnsi="Arial"/>
          <w:sz w:val="18"/>
          <w:szCs w:val="18"/>
          <w:color w:val="auto"/>
        </w:rPr>
        <w:t>The Company adopted ASC 606 on January 1, 2019, using the modified retrospective transition method and, therefore, evaluated its contract with Merck under ASC 606. The Company recorded adjustments upon the adoption of ASC 606 as a result of the Company concluding that licenses and research and development services promised in the agreement are a single combined performance obligation. This determination impacts the timing of recognition of both the non-refundable upfront fee and the payments related to the services. Under previous guidance, the upfront fee was recognized ratably over the contract term, and fees related to the services were recognized in the period the services were performed. Under ASC 606, revenue for the single performance obligation is recognized over time using a cost-based input method to measure progress toward completion of the single combined performance obligation. The adoption of ASC 606 impacted the Company’s contract liabilities and accumulated deficit balance as of January 1, 2019 as follows (in thousands):</w:t>
      </w: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3"/>
          </w:tcPr>
          <w:p>
            <w:pPr>
              <w:jc w:val="center"/>
              <w:ind w:right="180"/>
              <w:spacing w:after="0" w:line="184" w:lineRule="exact"/>
              <w:rPr>
                <w:sz w:val="20"/>
                <w:szCs w:val="20"/>
                <w:color w:val="auto"/>
              </w:rPr>
            </w:pPr>
            <w:r>
              <w:rPr>
                <w:rFonts w:ascii="Arial" w:cs="Arial" w:eastAsia="Arial" w:hAnsi="Arial"/>
                <w:sz w:val="18"/>
                <w:szCs w:val="18"/>
                <w:b w:val="1"/>
                <w:bCs w:val="1"/>
                <w:color w:val="auto"/>
                <w:w w:val="99"/>
              </w:rPr>
              <w:t>Adjustments due to</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December 31,</w:t>
            </w:r>
          </w:p>
        </w:tc>
        <w:tc>
          <w:tcPr>
            <w:tcW w:w="202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the Adoption of ASC</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5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606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January 1, 2019</w:t>
            </w:r>
          </w:p>
        </w:tc>
        <w:tc>
          <w:tcPr>
            <w:tcW w:w="120" w:type="dxa"/>
            <w:vAlign w:val="bottom"/>
            <w:tcBorders>
              <w:bottom w:val="single" w:sz="8" w:color="CFF0FC"/>
            </w:tcBorders>
          </w:tcPr>
          <w:p>
            <w:pPr>
              <w:spacing w:after="0"/>
              <w:rPr>
                <w:sz w:val="19"/>
                <w:szCs w:val="19"/>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24,196</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3,942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(147,193)</w:t>
            </w:r>
          </w:p>
        </w:tc>
        <w:tc>
          <w:tcPr>
            <w:tcW w:w="4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(6,156)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(153,349)</w:t>
            </w:r>
          </w:p>
        </w:tc>
      </w:tr>
    </w:tbl>
    <w:p>
      <w:pPr>
        <w:spacing w:after="0" w:line="215" w:lineRule="exact"/>
        <w:rPr>
          <w:sz w:val="20"/>
          <w:szCs w:val="20"/>
          <w:color w:val="auto"/>
        </w:rPr>
      </w:pPr>
    </w:p>
    <w:p>
      <w:pPr>
        <w:jc w:val="both"/>
        <w:ind w:right="980" w:firstLine="518"/>
        <w:spacing w:after="0" w:line="245" w:lineRule="auto"/>
        <w:rPr>
          <w:sz w:val="20"/>
          <w:szCs w:val="20"/>
          <w:color w:val="auto"/>
        </w:rPr>
      </w:pPr>
      <w:r>
        <w:rPr>
          <w:rFonts w:ascii="Arial" w:cs="Arial" w:eastAsia="Arial" w:hAnsi="Arial"/>
          <w:sz w:val="18"/>
          <w:szCs w:val="18"/>
          <w:color w:val="auto"/>
        </w:rPr>
        <w:t>The impact of the adoption of ASC 606 on the condensed consolidated balance sheet as of September 30, 2019, condensed consolidated statement of operations and cash flows for the nine months ended September 30, 2019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9"/>
              </w:rPr>
              <w:t>September 30, 2019</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center"/>
              <w:ind w:right="520"/>
              <w:spacing w:after="0" w:line="187" w:lineRule="exact"/>
              <w:rPr>
                <w:sz w:val="20"/>
                <w:szCs w:val="20"/>
                <w:color w:val="auto"/>
              </w:rPr>
            </w:pPr>
            <w:r>
              <w:rPr>
                <w:rFonts w:ascii="Arial" w:cs="Arial" w:eastAsia="Arial" w:hAnsi="Arial"/>
                <w:sz w:val="18"/>
                <w:szCs w:val="18"/>
                <w:b w:val="1"/>
                <w:bCs w:val="1"/>
                <w:color w:val="auto"/>
              </w:rPr>
              <w:t>Amount Under</w:t>
            </w: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ind w:right="110"/>
              <w:spacing w:after="0" w:line="187" w:lineRule="exact"/>
              <w:rPr>
                <w:sz w:val="20"/>
                <w:szCs w:val="20"/>
                <w:color w:val="auto"/>
              </w:rPr>
            </w:pPr>
            <w:r>
              <w:rPr>
                <w:rFonts w:ascii="Arial" w:cs="Arial" w:eastAsia="Arial" w:hAnsi="Arial"/>
                <w:sz w:val="18"/>
                <w:szCs w:val="18"/>
                <w:b w:val="1"/>
                <w:bCs w:val="1"/>
                <w:color w:val="auto"/>
                <w:w w:val="99"/>
              </w:rPr>
              <w:t>As Reported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ASC 605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Adjustments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Under ASC 606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(176,791)</w:t>
            </w:r>
          </w:p>
        </w:tc>
        <w:tc>
          <w:tcPr>
            <w:tcW w:w="24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(3,412)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(180,203)</w:t>
            </w:r>
          </w:p>
        </w:tc>
        <w:tc>
          <w:tcPr>
            <w:tcW w:w="20" w:type="dxa"/>
            <w:vAlign w:val="bottom"/>
          </w:tcPr>
          <w:p>
            <w:pPr>
              <w:spacing w:after="0"/>
              <w:rPr>
                <w:sz w:val="19"/>
                <w:szCs w:val="19"/>
                <w:color w:val="auto"/>
              </w:rPr>
            </w:pPr>
          </w:p>
        </w:tc>
      </w:tr>
      <w:tr>
        <w:trPr>
          <w:trHeight w:val="459"/>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rPr>
              <w:t>Three Months Ended September 30, 2019</w:t>
            </w:r>
          </w:p>
        </w:tc>
        <w:tc>
          <w:tcPr>
            <w:tcW w:w="20" w:type="dxa"/>
            <w:vAlign w:val="bottom"/>
          </w:tcPr>
          <w:p>
            <w:pPr>
              <w:spacing w:after="0"/>
              <w:rPr>
                <w:sz w:val="24"/>
                <w:szCs w:val="24"/>
                <w:color w:val="auto"/>
              </w:rPr>
            </w:pPr>
          </w:p>
        </w:tc>
      </w:tr>
      <w:tr>
        <w:trPr>
          <w:trHeight w:val="186"/>
        </w:trPr>
        <w:tc>
          <w:tcPr>
            <w:tcW w:w="5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2"/>
          </w:tcPr>
          <w:p>
            <w:pPr>
              <w:jc w:val="center"/>
              <w:ind w:right="520"/>
              <w:spacing w:after="0" w:line="187" w:lineRule="exact"/>
              <w:rPr>
                <w:sz w:val="20"/>
                <w:szCs w:val="20"/>
                <w:color w:val="auto"/>
              </w:rPr>
            </w:pPr>
            <w:r>
              <w:rPr>
                <w:rFonts w:ascii="Arial" w:cs="Arial" w:eastAsia="Arial" w:hAnsi="Arial"/>
                <w:sz w:val="18"/>
                <w:szCs w:val="18"/>
                <w:b w:val="1"/>
                <w:bCs w:val="1"/>
                <w:color w:val="auto"/>
              </w:rPr>
              <w:t>Amount Under</w:t>
            </w: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10"/>
              <w:spacing w:after="0" w:line="187" w:lineRule="exact"/>
              <w:rPr>
                <w:sz w:val="20"/>
                <w:szCs w:val="20"/>
                <w:color w:val="auto"/>
              </w:rPr>
            </w:pPr>
            <w:r>
              <w:rPr>
                <w:rFonts w:ascii="Arial" w:cs="Arial" w:eastAsia="Arial" w:hAnsi="Arial"/>
                <w:sz w:val="18"/>
                <w:szCs w:val="18"/>
                <w:b w:val="1"/>
                <w:bCs w:val="1"/>
                <w:color w:val="auto"/>
                <w:w w:val="99"/>
              </w:rPr>
              <w:t>As Reported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ASC 605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Adjustments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Under ASC 606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(13,739)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(12,997)</w:t>
            </w:r>
          </w:p>
        </w:tc>
        <w:tc>
          <w:tcPr>
            <w:tcW w:w="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(11,659)</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(10,917)</w:t>
            </w:r>
          </w:p>
        </w:tc>
        <w:tc>
          <w:tcPr>
            <w:tcW w:w="20" w:type="dxa"/>
            <w:vAlign w:val="bottom"/>
          </w:tcPr>
          <w:p>
            <w:pPr>
              <w:spacing w:after="0"/>
              <w:rPr>
                <w:sz w:val="18"/>
                <w:szCs w:val="18"/>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r>
      <w:tr>
        <w:trPr>
          <w:trHeight w:val="418"/>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9"/>
              </w:rPr>
              <w:t>Nine Months Ended September 30, 2019</w:t>
            </w:r>
          </w:p>
        </w:tc>
        <w:tc>
          <w:tcPr>
            <w:tcW w:w="20" w:type="dxa"/>
            <w:vAlign w:val="bottom"/>
          </w:tcPr>
          <w:p>
            <w:pPr>
              <w:spacing w:after="0"/>
              <w:rPr>
                <w:sz w:val="24"/>
                <w:szCs w:val="24"/>
                <w:color w:val="auto"/>
              </w:rPr>
            </w:pPr>
          </w:p>
        </w:tc>
      </w:tr>
      <w:tr>
        <w:trPr>
          <w:trHeight w:val="186"/>
        </w:trPr>
        <w:tc>
          <w:tcPr>
            <w:tcW w:w="5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2"/>
          </w:tcPr>
          <w:p>
            <w:pPr>
              <w:jc w:val="center"/>
              <w:ind w:right="520"/>
              <w:spacing w:after="0" w:line="187" w:lineRule="exact"/>
              <w:rPr>
                <w:sz w:val="20"/>
                <w:szCs w:val="20"/>
                <w:color w:val="auto"/>
              </w:rPr>
            </w:pPr>
            <w:r>
              <w:rPr>
                <w:rFonts w:ascii="Arial" w:cs="Arial" w:eastAsia="Arial" w:hAnsi="Arial"/>
                <w:sz w:val="18"/>
                <w:szCs w:val="18"/>
                <w:b w:val="1"/>
                <w:bCs w:val="1"/>
                <w:color w:val="auto"/>
              </w:rPr>
              <w:t>Amount Under</w:t>
            </w: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10"/>
              <w:spacing w:after="0" w:line="187" w:lineRule="exact"/>
              <w:rPr>
                <w:sz w:val="20"/>
                <w:szCs w:val="20"/>
                <w:color w:val="auto"/>
              </w:rPr>
            </w:pPr>
            <w:r>
              <w:rPr>
                <w:rFonts w:ascii="Arial" w:cs="Arial" w:eastAsia="Arial" w:hAnsi="Arial"/>
                <w:sz w:val="18"/>
                <w:szCs w:val="18"/>
                <w:b w:val="1"/>
                <w:bCs w:val="1"/>
                <w:color w:val="auto"/>
                <w:w w:val="99"/>
              </w:rPr>
              <w:t>As Reported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ASC 605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Adjustments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Under ASC 606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69,717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(34,790)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(32,046)</w:t>
            </w:r>
          </w:p>
        </w:tc>
        <w:tc>
          <w:tcPr>
            <w:tcW w:w="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(29,598)</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(26,854)</w:t>
            </w:r>
          </w:p>
        </w:tc>
        <w:tc>
          <w:tcPr>
            <w:tcW w:w="20" w:type="dxa"/>
            <w:vAlign w:val="bottom"/>
          </w:tcPr>
          <w:p>
            <w:pPr>
              <w:spacing w:after="0"/>
              <w:rPr>
                <w:sz w:val="18"/>
                <w:szCs w:val="18"/>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9"/>
                <w:szCs w:val="19"/>
                <w:color w:val="auto"/>
              </w:rPr>
            </w:pPr>
          </w:p>
        </w:tc>
      </w:tr>
      <w:tr>
        <w:trPr>
          <w:trHeight w:val="445"/>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9"/>
              </w:rPr>
              <w:t>Nine Months Ended September 30, 2019</w:t>
            </w:r>
          </w:p>
        </w:tc>
        <w:tc>
          <w:tcPr>
            <w:tcW w:w="20" w:type="dxa"/>
            <w:vAlign w:val="bottom"/>
          </w:tcPr>
          <w:p>
            <w:pPr>
              <w:spacing w:after="0"/>
              <w:rPr>
                <w:sz w:val="24"/>
                <w:szCs w:val="24"/>
                <w:color w:val="auto"/>
              </w:rPr>
            </w:pPr>
          </w:p>
        </w:tc>
      </w:tr>
      <w:tr>
        <w:trPr>
          <w:trHeight w:val="186"/>
        </w:trPr>
        <w:tc>
          <w:tcPr>
            <w:tcW w:w="5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2"/>
          </w:tcPr>
          <w:p>
            <w:pPr>
              <w:jc w:val="center"/>
              <w:ind w:right="520"/>
              <w:spacing w:after="0" w:line="187" w:lineRule="exact"/>
              <w:rPr>
                <w:sz w:val="20"/>
                <w:szCs w:val="20"/>
                <w:color w:val="auto"/>
              </w:rPr>
            </w:pPr>
            <w:r>
              <w:rPr>
                <w:rFonts w:ascii="Arial" w:cs="Arial" w:eastAsia="Arial" w:hAnsi="Arial"/>
                <w:sz w:val="18"/>
                <w:szCs w:val="18"/>
                <w:b w:val="1"/>
                <w:bCs w:val="1"/>
                <w:color w:val="auto"/>
              </w:rPr>
              <w:t>Amount Under</w:t>
            </w: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10"/>
              <w:spacing w:after="0" w:line="187" w:lineRule="exact"/>
              <w:rPr>
                <w:sz w:val="20"/>
                <w:szCs w:val="20"/>
                <w:color w:val="auto"/>
              </w:rPr>
            </w:pPr>
            <w:r>
              <w:rPr>
                <w:rFonts w:ascii="Arial" w:cs="Arial" w:eastAsia="Arial" w:hAnsi="Arial"/>
                <w:sz w:val="18"/>
                <w:szCs w:val="18"/>
                <w:b w:val="1"/>
                <w:bCs w:val="1"/>
                <w:color w:val="auto"/>
                <w:w w:val="99"/>
              </w:rPr>
              <w:t>As Reported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ASC 605</w:t>
            </w:r>
          </w:p>
        </w:tc>
        <w:tc>
          <w:tcPr>
            <w:tcW w:w="240" w:type="dxa"/>
            <w:vAlign w:val="bottom"/>
          </w:tcPr>
          <w:p>
            <w:pPr>
              <w:spacing w:after="0"/>
              <w:rPr>
                <w:sz w:val="19"/>
                <w:szCs w:val="19"/>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Adjustments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Under ASC 606</w:t>
            </w:r>
          </w:p>
        </w:tc>
        <w:tc>
          <w:tcPr>
            <w:tcW w:w="20" w:type="dxa"/>
            <w:vAlign w:val="bottom"/>
          </w:tcPr>
          <w:p>
            <w:pPr>
              <w:spacing w:after="0"/>
              <w:rPr>
                <w:sz w:val="19"/>
                <w:szCs w:val="19"/>
                <w:color w:val="auto"/>
              </w:rPr>
            </w:pPr>
          </w:p>
        </w:tc>
      </w:tr>
      <w:tr>
        <w:trPr>
          <w:trHeight w:val="209"/>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(29,598)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2,744</w:t>
            </w:r>
          </w:p>
        </w:tc>
        <w:tc>
          <w:tcPr>
            <w:tcW w:w="1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(26,854)</w:t>
            </w:r>
          </w:p>
        </w:tc>
        <w:tc>
          <w:tcPr>
            <w:tcW w:w="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(11,755)</w:t>
            </w:r>
          </w:p>
        </w:tc>
        <w:tc>
          <w:tcPr>
            <w:tcW w:w="24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(2,744)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(14,499)</w:t>
            </w:r>
          </w:p>
        </w:tc>
        <w:tc>
          <w:tcPr>
            <w:tcW w:w="20" w:type="dxa"/>
            <w:vAlign w:val="bottom"/>
          </w:tcPr>
          <w:p>
            <w:pPr>
              <w:spacing w:after="0"/>
              <w:rPr>
                <w:sz w:val="19"/>
                <w:szCs w:val="19"/>
                <w:color w:val="auto"/>
              </w:rPr>
            </w:pPr>
          </w:p>
        </w:tc>
      </w:tr>
      <w:tr>
        <w:trPr>
          <w:trHeight w:val="418"/>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109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In February 2016, the FASB issued ASU 2016-02, Leases (Topic 842), which increases lease transparency and comparability among organizations. Under the new standard, lessees will be required to recognize all assets and liabilities arising from leases on the balance sheet, with the exception of leases with a term of 12 months or less, which permits a lessee to make an accounting policy election by class of underlying asset not to recognize lease assets and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The Company is currently assessing the timing of adoption and the impact that the adoption of ASU 2016-02 will have on its condensed consolidated financial statements and related disclosures.</w:t>
      </w:r>
    </w:p>
    <w:p>
      <w:pPr>
        <w:spacing w:after="0" w:line="20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August 2018, the FASB issued ASU 2018-13, Fair Value Measurements (Topic 820): Disclosure Framework – Changes to the Disclosure Requirements for Fair Value Measurement as part of the FASB’s disclosure framework project. This ASU modifies the disclosure requirements on fair value measurements in Topic 820, Fair Value Measurement by removing the requirement to disclose amounts of and reasons for transfers between Level 1 and Level 2 of the fair value hierarchy, the policy for timing of transfers between levels and the valuation process for Level 3 fair value measurements. This ASU also modifies existing disclosure requirements by clarifying that the measurement uncertainty disclosure is to communicate information about the uncertainty in measurement as of the reporting date, and it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This ASU will be effective for the Company for fiscal years and interim periods within those fiscal years, beginning after December 15, 2019. The Company is currently assessing the impact of this ASU on its condensed consolidated financial statements.</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then collaborative arrangement participant is a customer in the context of a unit of account. In those situations, all the guidance in ASC 606 should be applied, including recognition, measurement, presentation and disclosure requirements. This ASU adds unit-of-account guidance in ASC 808 to align with the guidance in ASC 606 (that is, a distinct good or service) when an entity is assessing whether the collaborative arrangement or a part of the arrangement is within the scope of ASC 606, and requires that in a transaction with a collaborative arrangement participant that is not directly related to sales to third parties, presenting the transaction together with revenue recognized under ASC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condensed consolidated financial statements.</w:t>
      </w:r>
    </w:p>
    <w:p>
      <w:pPr>
        <w:spacing w:after="0" w:line="20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new guidance amended guidance on reporting credit losses for assets held at amortized cost basis and available-for-sale debt securities. For available-for-sale debt securities, credit losses will be presented as an allowance rather than as a write-down. This standard is effective for the Company’s fiscal year beginning after December 31, 2020. Early adoption is permitted for all entities. The Company is currently assessing the timing of adoption and the impact that the adoption of ASU 2016-13 will have on its condensed consolidated financial statements and related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5"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condensed consolidated financial statements.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0" w:right="259" w:bottom="1440" w:gutter="0" w:footer="0" w:header="0"/>
        </w:sectPr>
      </w:pPr>
    </w:p>
    <w:bookmarkStart w:id="17" w:name="page18"/>
    <w:bookmarkEnd w:id="17"/>
    <w:p>
      <w:pPr>
        <w:ind w:right="20" w:firstLine="518"/>
        <w:spacing w:after="0" w:line="237" w:lineRule="auto"/>
        <w:rPr>
          <w:sz w:val="20"/>
          <w:szCs w:val="20"/>
          <w:color w:val="auto"/>
        </w:rPr>
      </w:pPr>
      <w:r>
        <w:rPr>
          <w:rFonts w:ascii="Arial" w:cs="Arial" w:eastAsia="Arial" w:hAnsi="Arial"/>
          <w:sz w:val="18"/>
          <w:szCs w:val="18"/>
          <w:color w:val="auto"/>
        </w:rPr>
        <w:t>The FASB has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80"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03" w:lineRule="exact"/>
        <w:rPr>
          <w:sz w:val="20"/>
          <w:szCs w:val="20"/>
          <w:color w:val="auto"/>
        </w:rPr>
      </w:pPr>
    </w:p>
    <w:p>
      <w:pPr>
        <w:ind w:left="780" w:right="60" w:hanging="24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4" w:lineRule="exact"/>
        <w:rPr>
          <w:sz w:val="20"/>
          <w:szCs w:val="20"/>
          <w:color w:val="auto"/>
        </w:rPr>
      </w:pPr>
    </w:p>
    <w:p>
      <w:pPr>
        <w:ind w:left="780" w:right="240" w:hanging="240"/>
        <w:spacing w:after="0" w:line="24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16" w:lineRule="exact"/>
        <w:rPr>
          <w:sz w:val="20"/>
          <w:szCs w:val="20"/>
          <w:color w:val="auto"/>
        </w:rPr>
      </w:pPr>
    </w:p>
    <w:p>
      <w:pPr>
        <w:jc w:val="both"/>
        <w:ind w:right="240" w:firstLine="518"/>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2"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To date, the Company has not recorded any impairment charges on marketable securities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4"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6" w:lineRule="exact"/>
        <w:rPr>
          <w:sz w:val="20"/>
          <w:szCs w:val="20"/>
          <w:color w:val="auto"/>
        </w:rPr>
      </w:pPr>
    </w:p>
    <w:p>
      <w:pPr>
        <w:ind w:right="40" w:firstLine="518"/>
        <w:spacing w:after="0" w:line="242" w:lineRule="auto"/>
        <w:rPr>
          <w:sz w:val="20"/>
          <w:szCs w:val="20"/>
          <w:color w:val="auto"/>
        </w:rPr>
      </w:pPr>
      <w:r>
        <w:rPr>
          <w:rFonts w:ascii="Arial" w:cs="Arial" w:eastAsia="Arial" w:hAnsi="Arial"/>
          <w:sz w:val="18"/>
          <w:szCs w:val="18"/>
          <w:color w:val="auto"/>
        </w:rPr>
        <w:t>Cash and cash equivalents and marketable securities, all of which are classified as available-for-sale securities consisted of the following (in thousands):</w:t>
      </w: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5"/>
                <w:szCs w:val="15"/>
                <w:color w:val="auto"/>
              </w:rPr>
            </w:pPr>
          </w:p>
        </w:tc>
        <w:tc>
          <w:tcPr>
            <w:tcW w:w="1300" w:type="dxa"/>
            <w:vAlign w:val="bottom"/>
            <w:gridSpan w:val="2"/>
          </w:tcPr>
          <w:p>
            <w:pPr>
              <w:jc w:val="center"/>
              <w:ind w:right="380"/>
              <w:spacing w:after="0" w:line="181" w:lineRule="exact"/>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7"/>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7"/>
                <w:szCs w:val="17"/>
                <w:color w:val="auto"/>
              </w:rPr>
            </w:pPr>
          </w:p>
        </w:tc>
        <w:tc>
          <w:tcPr>
            <w:tcW w:w="13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6"/>
              </w:rPr>
              <w:t>Fair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2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September 30, 2019</w:t>
            </w:r>
          </w:p>
        </w:tc>
        <w:tc>
          <w:tcPr>
            <w:tcW w:w="1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298,057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298,057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39,750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paper</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7,962</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Pr>
          <w:p>
            <w:pPr>
              <w:ind w:left="74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351,515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351,614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298,057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$53,458)</w:t>
            </w: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53,557</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00" w:type="dxa"/>
            <w:vAlign w:val="bottom"/>
          </w:tcPr>
          <w:p>
            <w:pPr>
              <w:ind w:left="740"/>
              <w:spacing w:after="0" w:line="195" w:lineRule="exact"/>
              <w:rPr>
                <w:sz w:val="20"/>
                <w:szCs w:val="20"/>
                <w:color w:val="auto"/>
              </w:rPr>
            </w:pPr>
            <w:r>
              <w:rPr>
                <w:rFonts w:ascii="Arial" w:cs="Arial" w:eastAsia="Arial" w:hAnsi="Arial"/>
                <w:sz w:val="18"/>
                <w:szCs w:val="18"/>
                <w:color w:val="auto"/>
              </w:rPr>
              <w:t>Total cash equivalents and marketable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900"/>
              <w:spacing w:after="0" w:line="203" w:lineRule="exact"/>
              <w:rPr>
                <w:sz w:val="20"/>
                <w:szCs w:val="20"/>
                <w:color w:val="auto"/>
              </w:rPr>
            </w:pPr>
            <w:r>
              <w:rPr>
                <w:rFonts w:ascii="Arial" w:cs="Arial" w:eastAsia="Arial" w:hAnsi="Arial"/>
                <w:sz w:val="18"/>
                <w:szCs w:val="18"/>
                <w:color w:val="auto"/>
              </w:rPr>
              <w:t>securities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351,614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7"/>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7"/>
                <w:szCs w:val="17"/>
                <w:color w:val="auto"/>
              </w:rPr>
            </w:pPr>
          </w:p>
        </w:tc>
        <w:tc>
          <w:tcPr>
            <w:tcW w:w="130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10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6"/>
              </w:rPr>
              <w:t>Fair</w:t>
            </w:r>
          </w:p>
        </w:tc>
      </w:tr>
      <w:tr>
        <w:trPr>
          <w:trHeight w:val="225"/>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2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Value</w:t>
            </w:r>
          </w:p>
        </w:tc>
      </w:tr>
      <w:tr>
        <w:trPr>
          <w:trHeight w:val="209"/>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34,983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68,323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20" w:type="dxa"/>
            <w:vAlign w:val="bottom"/>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184,961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184,694</w:t>
            </w:r>
          </w:p>
        </w:tc>
        <w:tc>
          <w:tcPr>
            <w:tcW w:w="100" w:type="dxa"/>
            <w:vAlign w:val="bottom"/>
          </w:tcPr>
          <w:p>
            <w:pPr>
              <w:spacing w:after="0"/>
              <w:rPr>
                <w:sz w:val="21"/>
                <w:szCs w:val="21"/>
                <w:color w:val="auto"/>
              </w:rPr>
            </w:pPr>
          </w:p>
        </w:tc>
      </w:tr>
      <w:tr>
        <w:trPr>
          <w:trHeight w:val="196"/>
        </w:trPr>
        <w:tc>
          <w:tcPr>
            <w:tcW w:w="59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34,984</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9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$149,978)</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149,710</w:t>
            </w:r>
          </w:p>
        </w:tc>
        <w:tc>
          <w:tcPr>
            <w:tcW w:w="100" w:type="dxa"/>
            <w:vAlign w:val="bottom"/>
            <w:shd w:val="clear" w:color="auto" w:fill="CFF0FC"/>
          </w:tcPr>
          <w:p>
            <w:pPr>
              <w:spacing w:after="0"/>
              <w:rPr>
                <w:sz w:val="17"/>
                <w:szCs w:val="17"/>
                <w:color w:val="auto"/>
              </w:rPr>
            </w:pPr>
          </w:p>
        </w:tc>
      </w:tr>
      <w:tr>
        <w:trPr>
          <w:trHeight w:val="195"/>
        </w:trPr>
        <w:tc>
          <w:tcPr>
            <w:tcW w:w="5920" w:type="dxa"/>
            <w:vAlign w:val="bottom"/>
          </w:tcPr>
          <w:p>
            <w:pPr>
              <w:ind w:left="740"/>
              <w:spacing w:after="0" w:line="195" w:lineRule="exact"/>
              <w:rPr>
                <w:sz w:val="20"/>
                <w:szCs w:val="20"/>
                <w:color w:val="auto"/>
              </w:rPr>
            </w:pPr>
            <w:r>
              <w:rPr>
                <w:rFonts w:ascii="Arial" w:cs="Arial" w:eastAsia="Arial" w:hAnsi="Arial"/>
                <w:sz w:val="18"/>
                <w:szCs w:val="18"/>
                <w:color w:val="auto"/>
              </w:rPr>
              <w:t>Total cash equivalents and marketable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920" w:type="dxa"/>
            <w:vAlign w:val="bottom"/>
          </w:tcPr>
          <w:p>
            <w:pPr>
              <w:ind w:left="900"/>
              <w:spacing w:after="0" w:line="203" w:lineRule="exact"/>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184,694</w:t>
            </w:r>
          </w:p>
        </w:tc>
        <w:tc>
          <w:tcPr>
            <w:tcW w:w="10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45" w:lineRule="auto"/>
        <w:rPr>
          <w:sz w:val="20"/>
          <w:szCs w:val="20"/>
          <w:color w:val="auto"/>
        </w:rPr>
      </w:pPr>
      <w:r>
        <w:rPr>
          <w:rFonts w:ascii="Arial" w:cs="Arial" w:eastAsia="Arial" w:hAnsi="Arial"/>
          <w:sz w:val="18"/>
          <w:szCs w:val="18"/>
          <w:color w:val="auto"/>
        </w:rPr>
        <w:t>Cash and cash equivalents in the table above excludes cash on deposit with banks of $5.0 million and $21.9 million as of September 30, 2019 and December 31, 2018, respectively.</w:t>
      </w:r>
    </w:p>
    <w:p>
      <w:pPr>
        <w:spacing w:after="0" w:line="198" w:lineRule="exact"/>
        <w:rPr>
          <w:sz w:val="20"/>
          <w:szCs w:val="20"/>
          <w:color w:val="auto"/>
        </w:rPr>
      </w:pPr>
    </w:p>
    <w:p>
      <w:pPr>
        <w:ind w:right="60" w:firstLine="518"/>
        <w:spacing w:after="0" w:line="245" w:lineRule="auto"/>
        <w:rPr>
          <w:sz w:val="20"/>
          <w:szCs w:val="20"/>
          <w:color w:val="auto"/>
        </w:rPr>
      </w:pPr>
      <w:r>
        <w:rPr>
          <w:rFonts w:ascii="Arial" w:cs="Arial" w:eastAsia="Arial" w:hAnsi="Arial"/>
          <w:sz w:val="18"/>
          <w:szCs w:val="18"/>
          <w:color w:val="auto"/>
        </w:rPr>
        <w:t>As of September 30, 2019 and December 31, 2018, the Company’s marketable securities had remaining contractual maturities less than one year.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25" w:lineRule="exact"/>
        <w:rPr>
          <w:sz w:val="20"/>
          <w:szCs w:val="20"/>
          <w:color w:val="auto"/>
        </w:rPr>
      </w:pPr>
    </w:p>
    <w:p>
      <w:pPr>
        <w:ind w:right="20" w:firstLine="518"/>
        <w:spacing w:after="0" w:line="245"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September 30, 2019 and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As of September 30, 2019</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298,057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298,057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39,829</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5,746</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7,982</w:t>
            </w:r>
          </w:p>
        </w:tc>
        <w:tc>
          <w:tcPr>
            <w:tcW w:w="24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298,057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53,557</w:t>
            </w:r>
          </w:p>
        </w:tc>
        <w:tc>
          <w:tcPr>
            <w:tcW w:w="24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2018</w:t>
            </w: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CFF0FC"/>
            </w:tcBorders>
            <w:vMerge w:val="continue"/>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34,983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1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34,983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149,711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184,694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1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60"/>
              <w:spacing w:after="0"/>
              <w:rPr>
                <w:sz w:val="20"/>
                <w:szCs w:val="20"/>
                <w:color w:val="auto"/>
              </w:rPr>
            </w:pPr>
            <w:r>
              <w:rPr>
                <w:rFonts w:ascii="Arial" w:cs="Arial" w:eastAsia="Arial" w:hAnsi="Arial"/>
                <w:sz w:val="18"/>
                <w:szCs w:val="18"/>
                <w:color w:val="auto"/>
              </w:rPr>
              <w:t>Convertible preferred stock warrant liability</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60" w:firstLine="518"/>
        <w:spacing w:after="0" w:line="245"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nine months ended September 30, 2019 and year ended December 31,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right="440" w:firstLine="518"/>
        <w:spacing w:after="0" w:line="245"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Fair Value Using Level 3 Inputs</w:t>
            </w:r>
          </w:p>
        </w:tc>
        <w:tc>
          <w:tcPr>
            <w:tcW w:w="320" w:type="dxa"/>
            <w:vAlign w:val="bottom"/>
          </w:tcPr>
          <w:p>
            <w:pPr>
              <w:spacing w:after="0"/>
              <w:rPr>
                <w:sz w:val="17"/>
                <w:szCs w:val="17"/>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Amounts</w:t>
            </w:r>
          </w:p>
        </w:tc>
      </w:tr>
      <w:tr>
        <w:trPr>
          <w:trHeight w:val="20"/>
        </w:trPr>
        <w:tc>
          <w:tcPr>
            <w:tcW w:w="2660" w:type="dxa"/>
            <w:vAlign w:val="bottom"/>
            <w:tcBorders>
              <w:top w:val="single" w:sz="8" w:color="auto"/>
              <w:bottom w:val="single" w:sz="8" w:color="CFF0FC"/>
            </w:tcBorders>
          </w:tcPr>
          <w:p>
            <w:pPr>
              <w:spacing w:after="0" w:line="20" w:lineRule="exact"/>
              <w:rPr>
                <w:sz w:val="1"/>
                <w:szCs w:val="1"/>
                <w:color w:val="auto"/>
              </w:rPr>
            </w:pPr>
          </w:p>
        </w:tc>
        <w:tc>
          <w:tcPr>
            <w:tcW w:w="67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96"/>
        </w:trPr>
        <w:tc>
          <w:tcPr>
            <w:tcW w:w="94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2017</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7"/>
                <w:szCs w:val="17"/>
                <w:color w:val="auto"/>
              </w:rPr>
            </w:pPr>
          </w:p>
        </w:tc>
      </w:tr>
      <w:tr>
        <w:trPr>
          <w:trHeight w:val="216"/>
        </w:trPr>
        <w:tc>
          <w:tcPr>
            <w:tcW w:w="9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Change in fair value of warrant liability included in other income (expense), net</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tcPr>
          <w:p>
            <w:pPr>
              <w:spacing w:after="0"/>
              <w:rPr>
                <w:sz w:val="18"/>
                <w:szCs w:val="18"/>
                <w:color w:val="auto"/>
              </w:rPr>
            </w:pPr>
          </w:p>
        </w:tc>
      </w:tr>
      <w:tr>
        <w:trPr>
          <w:trHeight w:val="209"/>
        </w:trPr>
        <w:tc>
          <w:tcPr>
            <w:tcW w:w="9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40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2018</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r>
      <w:tr>
        <w:trPr>
          <w:trHeight w:val="215"/>
        </w:trPr>
        <w:tc>
          <w:tcPr>
            <w:tcW w:w="9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exercise of preferred stock warrant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940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to Series A preferred stock</w:t>
            </w:r>
          </w:p>
        </w:tc>
        <w:tc>
          <w:tcPr>
            <w:tcW w:w="3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(198)</w:t>
            </w:r>
          </w:p>
        </w:tc>
      </w:tr>
      <w:tr>
        <w:trPr>
          <w:trHeight w:val="209"/>
        </w:trPr>
        <w:tc>
          <w:tcPr>
            <w:tcW w:w="9400" w:type="dxa"/>
            <w:vAlign w:val="bottom"/>
            <w:gridSpan w:val="2"/>
          </w:tcPr>
          <w:p>
            <w:pPr>
              <w:spacing w:after="0"/>
              <w:rPr>
                <w:sz w:val="20"/>
                <w:szCs w:val="20"/>
                <w:color w:val="auto"/>
              </w:rPr>
            </w:pPr>
            <w:r>
              <w:rPr>
                <w:rFonts w:ascii="Arial" w:cs="Arial" w:eastAsia="Arial" w:hAnsi="Arial"/>
                <w:sz w:val="18"/>
                <w:szCs w:val="18"/>
                <w:color w:val="auto"/>
              </w:rPr>
              <w:t>Balance at September 30, 2019</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45" w:lineRule="auto"/>
        <w:rPr>
          <w:sz w:val="20"/>
          <w:szCs w:val="20"/>
          <w:color w:val="auto"/>
        </w:rPr>
      </w:pPr>
      <w:r>
        <w:rPr>
          <w:rFonts w:ascii="Arial" w:cs="Arial" w:eastAsia="Arial" w:hAnsi="Arial"/>
          <w:sz w:val="18"/>
          <w:szCs w:val="18"/>
          <w:color w:val="auto"/>
        </w:rPr>
        <w:t>On February 3, 2019, all of the warrants were automatically exercised on a net basis into shares of Series A preferred stock. There were no convertible preferred stock warrants outstanding as of September 30, 2019.</w:t>
      </w:r>
    </w:p>
    <w:p>
      <w:pPr>
        <w:spacing w:after="0" w:line="284" w:lineRule="exact"/>
        <w:rPr>
          <w:sz w:val="20"/>
          <w:szCs w:val="20"/>
          <w:color w:val="auto"/>
        </w:rPr>
      </w:pPr>
    </w:p>
    <w:p>
      <w:pPr>
        <w:ind w:right="8860" w:firstLine="8"/>
        <w:spacing w:after="0" w:line="394" w:lineRule="auto"/>
        <w:tabs>
          <w:tab w:leader="none" w:pos="2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w:t>
      </w:r>
    </w:p>
    <w:p>
      <w:pPr>
        <w:ind w:left="52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0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Laboratory equipment and office furniture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21,471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18,977</w:t>
            </w:r>
          </w:p>
        </w:tc>
        <w:tc>
          <w:tcPr>
            <w:tcW w:w="120" w:type="dxa"/>
            <w:vAlign w:val="bottom"/>
          </w:tcPr>
          <w:p>
            <w:pPr>
              <w:spacing w:after="0"/>
              <w:rPr>
                <w:sz w:val="18"/>
                <w:szCs w:val="18"/>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25,314</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FF0FC"/>
            </w:tcBorders>
          </w:tcPr>
          <w:p>
            <w:pPr>
              <w:spacing w:after="0"/>
              <w:rPr>
                <w:sz w:val="18"/>
                <w:szCs w:val="18"/>
                <w:color w:val="auto"/>
              </w:rPr>
            </w:pPr>
          </w:p>
        </w:tc>
      </w:tr>
      <w:tr>
        <w:trPr>
          <w:trHeight w:val="20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gross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46,093</w:t>
            </w:r>
          </w:p>
        </w:tc>
        <w:tc>
          <w:tcPr>
            <w:tcW w:w="120" w:type="dxa"/>
            <w:vAlign w:val="bottom"/>
            <w:shd w:val="clear" w:color="auto" w:fill="CFF0FC"/>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(27,989)</w:t>
            </w: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(22,200)</w:t>
            </w:r>
          </w:p>
        </w:tc>
      </w:tr>
      <w:tr>
        <w:trPr>
          <w:trHeight w:val="209"/>
        </w:trPr>
        <w:tc>
          <w:tcPr>
            <w:tcW w:w="7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2" w:lineRule="exact"/>
        <w:rPr>
          <w:sz w:val="20"/>
          <w:szCs w:val="20"/>
          <w:color w:val="auto"/>
        </w:rPr>
      </w:pPr>
    </w:p>
    <w:p>
      <w:pPr>
        <w:ind w:right="220" w:firstLine="518"/>
        <w:spacing w:after="0" w:line="274" w:lineRule="auto"/>
        <w:rPr>
          <w:sz w:val="20"/>
          <w:szCs w:val="20"/>
          <w:color w:val="auto"/>
        </w:rPr>
      </w:pPr>
      <w:r>
        <w:rPr>
          <w:rFonts w:ascii="Arial" w:cs="Arial" w:eastAsia="Arial" w:hAnsi="Arial"/>
          <w:sz w:val="17"/>
          <w:szCs w:val="17"/>
          <w:color w:val="auto"/>
        </w:rPr>
        <w:t>Depreciation expense for the three and nine months ended September 30, 2019 was approximately $1.9 million and $5.8 million, respectively. For the three and nine months ended September 30, 2018, depreciation expense was $1.9 million and $5.3 million,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ind w:left="520"/>
              <w:spacing w:after="0"/>
              <w:rPr>
                <w:sz w:val="20"/>
                <w:szCs w:val="20"/>
                <w:color w:val="auto"/>
              </w:rPr>
            </w:pPr>
            <w:r>
              <w:rPr>
                <w:rFonts w:ascii="Arial" w:cs="Arial" w:eastAsia="Arial" w:hAnsi="Arial"/>
                <w:sz w:val="18"/>
                <w:szCs w:val="18"/>
                <w:color w:val="auto"/>
              </w:rPr>
              <w:t>Accrued liabilities consist of the following (in thousands):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5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CFF0FC"/>
            </w:tcBorders>
          </w:tcPr>
          <w:p>
            <w:pPr>
              <w:spacing w:after="0"/>
              <w:rPr>
                <w:sz w:val="19"/>
                <w:szCs w:val="19"/>
                <w:color w:val="auto"/>
              </w:rPr>
            </w:pPr>
          </w:p>
        </w:tc>
        <w:tc>
          <w:tcPr>
            <w:tcW w:w="25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Clinical trials and research and development costs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costs</w:t>
            </w:r>
          </w:p>
        </w:tc>
        <w:tc>
          <w:tcPr>
            <w:tcW w:w="2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 costs</w:t>
            </w:r>
          </w:p>
        </w:tc>
        <w:tc>
          <w:tcPr>
            <w:tcW w:w="25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accrued liabilities</w:t>
            </w:r>
          </w:p>
        </w:tc>
        <w:tc>
          <w:tcPr>
            <w:tcW w:w="2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bottom w:val="single" w:sz="8" w:color="CFF0FC"/>
            </w:tcBorders>
            <w:vMerge w:val="restart"/>
          </w:tcPr>
          <w:p>
            <w:pPr>
              <w:jc w:val="right"/>
              <w:ind w:right="193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5. Research Collaboration and License Agreements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w:t>
      </w:r>
    </w:p>
    <w:p>
      <w:pPr>
        <w:spacing w:after="0" w:line="12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In February 2015, the Company entered into the Collaboration Agreement with Merck, covering the discovery, development and commercialization of novel therapies across a range of therapeutic areas. Pursuant to this agreement, the Company received an upfront payment of $94.0 million in April 2015. Concurrent with entry into the Collaboration Agreement, the parties entered into a Stock Purchase Agreement in which Merck agreed to purchase 8,833,333 shares of Series E convertible preferred stock at a price of $12.00 per share, resulting in net proceeds of approximately $106.0 million. The Company considered the ASC 606 criteria for combining contracts and determined that the Collaboration Agreement and Stock Purchase Agreement should be combined into a single contract. The Company accounted for the overall agreement based on the fair values of the assets and services exchanged, resulting in $106.0 million allocated to the equity component and $94.0 million allocated to the revenue components.</w:t>
      </w:r>
    </w:p>
    <w:p>
      <w:pPr>
        <w:spacing w:after="0" w:line="206"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Collaboration Agreement became effective in March 2015 and has a non-cancellable five-year term running through March 16, 2020. The agreement included an exclusive worldwide license to our GDF15 receptor agonist program. On March 15, 2019, Merck exercised its option to extend the research phase of the collaboration through March 16, 2022. Merck terminated its license to the GDF15 receptor agonist program effective May 31, 2019. The collaboration also includes a broad, multiyear drug discovery and early development program financially supported by Merck but scientifically directed by the Company with input from Merck. The Company determines the scientific 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trials,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Merck will fund both the internal and external costs of the Company’s research and early development activities up to $75.0 million each year of the initial five-year term and during the extended two-year research period.</w:t>
      </w:r>
    </w:p>
    <w:p>
      <w:pPr>
        <w:spacing w:after="0" w:line="202"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Upon completion of a human proof-of-concept study for a particular compound, regardless of the results of such study, Merck has the one-time option, at a cost of $20.0 million, to obtain an exclusive, worldwide license, on specified terms, to that compound, as well as to other molecules that are directed against the same target in the same manner (“Optioned Program”). If Merck exercises its option, Merck will be responsible, at its own cost, for any further development and commercialization activities for compounds within that Optioned Program. Upon such exercise by Merck,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Merck’s further development and commercialization of the compound. If the Company elects to participate in the cost and profit share, subject to certain limitations, Merck will provide the Company with financial assistance in the form of interest bearing advances of the Company’s share of the overall development costs, which Merck will recoup from the Company’s share of any profit ultimately resulting from sales of the compound and other compounds that reach commercialization. If the Company does not opt in to the cost and profit sharing option, then the Company is eligible to receive development and regulatory milestone payments upon the achievement of specific clinical development or regulatory events with respect to the licensed compound indications in the United States, the European Union and Japan of up to an aggregate of $449.0 million. The Company may also receive commercial milestone payments up to $125.0 million and royalty payments of varying percentages based on the achievement of certain levels of net sales.</w:t>
      </w:r>
    </w:p>
    <w:p>
      <w:pPr>
        <w:spacing w:after="0" w:line="21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Under the Collaboration Agreement, the Company also granted Merck a 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21" w:name="page22"/>
    <w:bookmarkEnd w:id="21"/>
    <w:p>
      <w:pPr>
        <w:ind w:right="320"/>
        <w:spacing w:after="0" w:line="245" w:lineRule="auto"/>
        <w:rPr>
          <w:sz w:val="20"/>
          <w:szCs w:val="20"/>
          <w:color w:val="auto"/>
        </w:rPr>
      </w:pPr>
      <w:r>
        <w:rPr>
          <w:rFonts w:ascii="Arial" w:cs="Arial" w:eastAsia="Arial" w:hAnsi="Arial"/>
          <w:sz w:val="18"/>
          <w:szCs w:val="18"/>
          <w:color w:val="auto"/>
        </w:rPr>
        <w:t>information, Merck would not have discovered such small molecule compounds. However, the Company will not have the option to cost and profit share or the option to co-detail those small molecule products.</w:t>
      </w:r>
    </w:p>
    <w:p>
      <w:pPr>
        <w:spacing w:after="0" w:line="19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research and early development program has an initial term of five years, until March 16, 2020. On March 15, 2019, Merck exercised its option to extend the research phase of the collaboration through March 16, 2022. In connection with this extension, Merck agreed to continue to fund the Company’s research and development efforts during the two-year extension period at the same levels as during the initial term and, in lieu of a $20.0 million extension fee that would have otherwise been payable to the Company, Merck will make additional payments totaling up to $20.0 million in support of the Company’s research and development program activities across 2021 and the first quarter of 2022. Under the terms of the agreement, Merck is required to pay a $20.0 million extension fee if it elects to exercise its second option to extend the research phase of the collaboration through March 16, 2024.</w:t>
      </w:r>
    </w:p>
    <w:p>
      <w:pPr>
        <w:spacing w:after="0" w:line="201" w:lineRule="exact"/>
        <w:rPr>
          <w:sz w:val="20"/>
          <w:szCs w:val="20"/>
          <w:color w:val="auto"/>
        </w:rPr>
      </w:pPr>
    </w:p>
    <w:p>
      <w:pPr>
        <w:ind w:right="240" w:firstLine="518"/>
        <w:spacing w:after="0" w:line="238" w:lineRule="auto"/>
        <w:rPr>
          <w:sz w:val="20"/>
          <w:szCs w:val="20"/>
          <w:color w:val="auto"/>
        </w:rPr>
      </w:pPr>
      <w:r>
        <w:rPr>
          <w:rFonts w:ascii="Arial" w:cs="Arial" w:eastAsia="Arial" w:hAnsi="Arial"/>
          <w:sz w:val="18"/>
          <w:szCs w:val="18"/>
          <w:color w:val="auto"/>
        </w:rPr>
        <w:t>At the end of the research phase, Merck has the right to either require the Company to continue to conduct research and development activities with respect to certain of the then-existing programs for up to three years, which we call the tail period, by agreeing to pay all its internal and external costs for related work, or to take over such selected programs and conduct such research and development activities itself, at its own cost.</w:t>
      </w:r>
    </w:p>
    <w:p>
      <w:pPr>
        <w:spacing w:after="0" w:line="204"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Company evaluated the Collaboration Agreement with Merck under ASC 606. The Company identified the following promised goods or services at the inception of the Collaboration Arrangement: (i) license to GDF15 receptor agonist program; (ii) license to pursue research and development (“R&amp;D”) and commercialization of small molecule compounds; (iii) performance of R&amp;D services for five years; (iv) two options to extend performance of the R&amp;D services, each for two additional years; and (v) options to obtain licenses to additional compounds after proof of concept trials. The Company determined the GDF15 receptor agonist program license and small molecule program license are not distinct from the R&amp;D services, resulting in these items being combined into a single performance obligation.</w:t>
      </w:r>
    </w:p>
    <w:p>
      <w:pPr>
        <w:spacing w:after="0" w:line="20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The Company considered whether the options created material rights in the contract and concluded that the fee attached to the exercise of such options approximated the standalone selling price of the promised goods or services included in the options. Therefore, the options do not give rise to material rights, are not performance obligations in the Collaboration Agreement and, if and when exercised, will be accounted for as separate arrangements under ASC 606.</w:t>
      </w:r>
    </w:p>
    <w:p>
      <w:pPr>
        <w:spacing w:after="0" w:line="204"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The transaction price consists of the $94.0 million upfront fee and the potential funding amounts of up to $ 75.0 million per year for each of the first five years of the Collaboration Agreement. No milestones or other forms of consideration are included in the transaction price as those amounts are contingent upon Merck exercising an option for licenses on additional compounds and would, therefore, be pursuant to separate arrangements and are not part of the Collaboration Agreement estimated transaction price.</w:t>
      </w:r>
    </w:p>
    <w:p>
      <w:pPr>
        <w:spacing w:after="0" w:line="204"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Additionally, if a separate arrangement is created by the exercise of an option, such amounts would then be contingent on events outside of either party’s control, such as products proving to be commercially viable and governmental agencies granting regulatory approval. Such contingencies and uncertainties result in the amounts being constrained and withheld from inclusion in the estimated transaction price of a separate arrangement. Consequently, the estimated transaction price related to the Collaboration Agreement is comprised of the up-front payment and the ongoing R&amp;D reimbursements.</w:t>
      </w:r>
    </w:p>
    <w:p>
      <w:pPr>
        <w:spacing w:after="0" w:line="20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Any fees associated with options, including upfront fees, funding fees, milestones, etc., are not included in the transaction price as they are associated with options that are not material rights and, thus, are not performance obligations within the Collaboration Agreement. This includes the $ 20.0 million license fee associated with Merck’s exercise of its option on NGM313. That amount was recognized in the period of exercise (i.e., fourth quarter of 2018) as the Company has no further obligations related to that license. Merck exercised its option on the NGM313 compound and paid the Company the $20.0 million option exercise fee in November 2018. The Phase 3 clinical study for NGM313 has not begun, and the Company has not made an election as to whether it will participate in the cost and profit share or receive milestone and royalty payments. The amounts do not impact the estimated transaction price associated with the single performance obligation identified in the Collaboration Agreement.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2" w:name="page23"/>
    <w:bookmarkEnd w:id="22"/>
    <w:p>
      <w:pPr>
        <w:ind w:right="60" w:firstLine="518"/>
        <w:spacing w:after="0" w:line="236" w:lineRule="auto"/>
        <w:rPr>
          <w:sz w:val="20"/>
          <w:szCs w:val="20"/>
          <w:color w:val="auto"/>
        </w:rPr>
      </w:pPr>
      <w:r>
        <w:rPr>
          <w:rFonts w:ascii="Arial" w:cs="Arial" w:eastAsia="Arial" w:hAnsi="Arial"/>
          <w:sz w:val="18"/>
          <w:szCs w:val="18"/>
          <w:color w:val="auto"/>
        </w:rPr>
        <w:t>As there is only one performance obligation in the Collaboration Agreement, the transaction price was allocated entirely to that performance obligation. The Company uses a cost-based input method to measure proportional performance and calculate the corresponding amount of revenue to recognize. The Company believes this is the best measure of progress given that other measures do not reflect how the Company transfers its performance obligation to Merck. In applying the cost-based input measure of revenue recognition, the Company measures actual costs incurred relative to budgeted costs to fulfill the combined performance obligation. These costs consist of full-time equivalent (“FTE”) hours plus allowable external (third-party) costs incurred. Revenue is recognized based on actual costs incurred as a percentage of total budgeted costs as the Company completes its performance obligation. The Company re-evaluates the estimate of expected costs to satisfy the performance obligation each reporting period and makes adjustments for any significant changes.</w:t>
      </w:r>
    </w:p>
    <w:p>
      <w:pPr>
        <w:spacing w:after="0" w:line="206"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On May 31, 2019, Merck terminated its license to the GDF15 receptor agonist program. The Collaboration Agreement R&amp;D services are not affected by the GDF15 receptor agonist program license termination and are expected to continue through the remainder of the research program term.</w:t>
      </w:r>
    </w:p>
    <w:p>
      <w:pPr>
        <w:spacing w:after="0" w:line="202"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As of September 30, 2019 and December 31, 2018, deferred revenue related to the single performance obligation in the Collaboration Agreement was $14.6 million and $23.0 million, respectively. Of the amount recognized for the adoption of ASC 606 in the reporting period ended September 30, 2019, $6.2 million was in deferred revenue at the end of the prior reporting period. As of December 31, 2018, $3.7 million was due from Merck under the Collaboration Agreement. To date, the Company has recognized revenue of approximately $337.0 million related to the single performance obligation in the Collaboration Agreement.</w:t>
      </w:r>
    </w:p>
    <w:p>
      <w:pPr>
        <w:spacing w:after="0" w:line="20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and Merck entered into an agreement whereby Merck agreed to purchase 4,121,683 shares of our common stock in a separate private placement concurrent with the completion of the Company’s IPO at a price per share equal to the public offering price of $16.00, resulting in Merck owning approximately 19.9% of the Company’s outstanding shares of common stock following the completion of the IPO. In addition, during the period that ends on the earlier of the end of the initial five-year research term, termination of the Collaboration Agreement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of the Company’s board of directors. Merck has also agreed, during the period of the initial five-year research phase, not to sell any of its shares of the Company’s capital stock (subject to certain limited exceptions).</w:t>
      </w:r>
    </w:p>
    <w:p>
      <w:pPr>
        <w:spacing w:after="0" w:line="205" w:lineRule="exact"/>
        <w:rPr>
          <w:sz w:val="20"/>
          <w:szCs w:val="20"/>
          <w:color w:val="auto"/>
        </w:rPr>
      </w:pPr>
    </w:p>
    <w:p>
      <w:pPr>
        <w:ind w:right="80" w:firstLine="518"/>
        <w:spacing w:after="0" w:line="253" w:lineRule="auto"/>
        <w:rPr>
          <w:sz w:val="20"/>
          <w:szCs w:val="20"/>
          <w:color w:val="auto"/>
        </w:rPr>
      </w:pPr>
      <w:r>
        <w:rPr>
          <w:rFonts w:ascii="Arial" w:cs="Arial" w:eastAsia="Arial" w:hAnsi="Arial"/>
          <w:sz w:val="17"/>
          <w:szCs w:val="17"/>
          <w:color w:val="auto"/>
        </w:rPr>
        <w:t>The Company is also eligible to receive additional payments specific to Merck opting into an Optioned Program. Each Optioned Program is eligible to receive a one-time payment of $20.0 million upon Merck’s exercise of its one-time option to obtain an exclusive, worldwide license to a compound following its completion of a human proof-of-concept study. In addition, if the Company does not opt into the cost and profit sharing option, then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194" w:lineRule="exact"/>
        <w:rPr>
          <w:sz w:val="20"/>
          <w:szCs w:val="20"/>
          <w:color w:val="auto"/>
        </w:rPr>
      </w:pPr>
    </w:p>
    <w:p>
      <w:pPr>
        <w:ind w:right="260" w:firstLine="518"/>
        <w:spacing w:after="0" w:line="245"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Second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20" w:type="dxa"/>
            <w:vAlign w:val="bottom"/>
          </w:tcPr>
          <w:p>
            <w:pPr>
              <w:spacing w:after="0"/>
              <w:rPr>
                <w:sz w:val="18"/>
                <w:szCs w:val="18"/>
                <w:color w:val="auto"/>
              </w:rPr>
            </w:pPr>
          </w:p>
        </w:tc>
      </w:tr>
      <w:tr>
        <w:trPr>
          <w:trHeight w:val="225"/>
        </w:trPr>
        <w:tc>
          <w:tcPr>
            <w:tcW w:w="5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Indication</w:t>
            </w:r>
          </w:p>
        </w:tc>
        <w:tc>
          <w:tcPr>
            <w:tcW w:w="16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Indication</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 w:type="dxa"/>
            <w:vAlign w:val="bottom"/>
          </w:tcPr>
          <w:p>
            <w:pPr>
              <w:spacing w:after="0"/>
              <w:rPr>
                <w:sz w:val="19"/>
                <w:szCs w:val="19"/>
                <w:color w:val="auto"/>
              </w:rPr>
            </w:pPr>
          </w:p>
        </w:tc>
      </w:tr>
      <w:tr>
        <w:trPr>
          <w:trHeight w:val="208"/>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 the</w:t>
            </w:r>
          </w:p>
        </w:tc>
        <w:tc>
          <w:tcPr>
            <w:tcW w:w="1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5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first Phase 3 clinical trial for such product for the given indication</w:t>
            </w:r>
          </w:p>
        </w:tc>
        <w:tc>
          <w:tcPr>
            <w:tcW w:w="13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4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675"/>
        </w:trPr>
        <w:tc>
          <w:tcPr>
            <w:tcW w:w="5540" w:type="dxa"/>
            <w:vAlign w:val="bottom"/>
          </w:tcPr>
          <w:p>
            <w:pPr>
              <w:spacing w:after="0"/>
              <w:rPr>
                <w:sz w:val="24"/>
                <w:szCs w:val="24"/>
                <w:color w:val="auto"/>
              </w:rPr>
            </w:pPr>
          </w:p>
        </w:tc>
        <w:tc>
          <w:tcPr>
            <w:tcW w:w="1180" w:type="dxa"/>
            <w:vAlign w:val="bottom"/>
          </w:tcPr>
          <w:p>
            <w:pPr>
              <w:jc w:val="right"/>
              <w:ind w:right="81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23" w:name="page24"/>
    <w:bookmarkEnd w:id="23"/>
    <w:p>
      <w:pPr>
        <w:ind w:right="420" w:firstLine="518"/>
        <w:spacing w:after="0" w:line="245" w:lineRule="auto"/>
        <w:rPr>
          <w:sz w:val="20"/>
          <w:szCs w:val="20"/>
          <w:color w:val="auto"/>
        </w:rPr>
      </w:pPr>
      <w:r>
        <w:rPr>
          <w:rFonts w:ascii="Arial" w:cs="Arial" w:eastAsia="Arial" w:hAnsi="Arial"/>
          <w:sz w:val="18"/>
          <w:szCs w:val="18"/>
          <w:color w:val="auto"/>
        </w:rPr>
        <w:t>A breakout of the milestone payments in connection with the potential achievement of certain regulatory events for each of the three indications, for each of the three geographic areas,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Second</w:t>
            </w:r>
          </w:p>
        </w:tc>
        <w:tc>
          <w:tcPr>
            <w:tcW w:w="200" w:type="dxa"/>
            <w:vAlign w:val="bottom"/>
          </w:tcPr>
          <w:p>
            <w:pPr>
              <w:spacing w:after="0"/>
              <w:rPr>
                <w:sz w:val="17"/>
                <w:szCs w:val="17"/>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Third</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4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0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European Union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FF0FC"/>
          </w:tcPr>
          <w:p>
            <w:pPr>
              <w:spacing w:after="0"/>
              <w:rPr>
                <w:sz w:val="18"/>
                <w:szCs w:val="18"/>
                <w:color w:val="auto"/>
              </w:rPr>
            </w:pPr>
          </w:p>
        </w:tc>
      </w:tr>
      <w:tr>
        <w:trPr>
          <w:trHeight w:val="209"/>
        </w:trPr>
        <w:tc>
          <w:tcPr>
            <w:tcW w:w="44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165,000</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371,250</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Collaboration Revenue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8"/>
              </w:rPr>
              <w:t>Nine Months Ended</w:t>
            </w:r>
          </w:p>
        </w:tc>
      </w:tr>
      <w:tr>
        <w:trPr>
          <w:trHeight w:val="225"/>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r>
      <w:tr>
        <w:trPr>
          <w:trHeight w:val="209"/>
        </w:trPr>
        <w:tc>
          <w:tcPr>
            <w:tcW w:w="59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5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Company recognized collaboration and license revenue under the Collaboration Agreement of $21.6 million and $ 72.5 million for the three and nine months ended September 30, 2019, respectively, of which $5.4 million and $16.8 million was recognized from the upfront license fee by applying the cost-based input measure of revenue recognition in those periods, respectively. The Company recognized collaboration and license revenue under the Collaboration Agreement of $20.8 million and $61.5 million for the three and nine months ended September 30, 2018, respectively, of which $4.7 million and $ 14.1 million was the amortization of upfront license fee, respectively, with the remaining balance related to research and development services reimbursed by Merck provided under the Collaboration Agreement.</w:t>
      </w:r>
    </w:p>
    <w:p>
      <w:pPr>
        <w:spacing w:after="0" w:line="96"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20" w:type="dxa"/>
            <w:vAlign w:val="bottom"/>
          </w:tcPr>
          <w:p>
            <w:pPr>
              <w:spacing w:after="0"/>
              <w:rPr>
                <w:sz w:val="20"/>
                <w:szCs w:val="20"/>
                <w:color w:val="auto"/>
              </w:rPr>
            </w:pPr>
            <w:r>
              <w:rPr>
                <w:rFonts w:ascii="Arial" w:cs="Arial" w:eastAsia="Arial" w:hAnsi="Arial"/>
                <w:sz w:val="18"/>
                <w:szCs w:val="18"/>
                <w:b w:val="1"/>
                <w:bCs w:val="1"/>
                <w:i w:val="1"/>
                <w:iCs w:val="1"/>
                <w:color w:val="auto"/>
              </w:rPr>
              <w:t>Contract Assets and Liabilities</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20" w:type="dxa"/>
            <w:vAlign w:val="bottom"/>
          </w:tcPr>
          <w:p>
            <w:pPr>
              <w:ind w:left="520"/>
              <w:spacing w:after="0"/>
              <w:rPr>
                <w:sz w:val="20"/>
                <w:szCs w:val="20"/>
                <w:color w:val="auto"/>
              </w:rPr>
            </w:pPr>
            <w:r>
              <w:rPr>
                <w:rFonts w:ascii="Arial" w:cs="Arial" w:eastAsia="Arial" w:hAnsi="Arial"/>
                <w:sz w:val="18"/>
                <w:szCs w:val="18"/>
                <w:color w:val="auto"/>
              </w:rPr>
              <w:t>Changes in contract liabilities under ASC 606 were as follows (in thousands):</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Amounts</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22,967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Adoption of ASC 606</w:t>
            </w:r>
          </w:p>
        </w:tc>
        <w:tc>
          <w:tcPr>
            <w:tcW w:w="5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included in the contract liability balance at the beginning of the period</w:t>
            </w:r>
          </w:p>
        </w:tc>
        <w:tc>
          <w:tcPr>
            <w:tcW w:w="5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Increases as a result of research and development expenses to be earned under the Collaboration</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8420" w:type="dxa"/>
            <w:vAlign w:val="bottom"/>
            <w:vMerge w:val="restart"/>
          </w:tcPr>
          <w:p>
            <w:pPr>
              <w:spacing w:after="0" w:line="203" w:lineRule="exact"/>
              <w:rPr>
                <w:sz w:val="20"/>
                <w:szCs w:val="20"/>
                <w:color w:val="auto"/>
              </w:rPr>
            </w:pPr>
            <w:r>
              <w:rPr>
                <w:rFonts w:ascii="Arial" w:cs="Arial" w:eastAsia="Arial" w:hAnsi="Arial"/>
                <w:sz w:val="18"/>
                <w:szCs w:val="18"/>
                <w:color w:val="auto"/>
              </w:rPr>
              <w:t>Agreement</w:t>
            </w: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8420" w:type="dxa"/>
            <w:vAlign w:val="bottom"/>
            <w:tcBorders>
              <w:bottom w:val="single" w:sz="8" w:color="CFF0FC"/>
            </w:tcBorders>
            <w:vMerge w:val="continue"/>
          </w:tcPr>
          <w:p>
            <w:pPr>
              <w:spacing w:after="0"/>
              <w:rPr>
                <w:sz w:val="8"/>
                <w:szCs w:val="8"/>
                <w:color w:val="auto"/>
              </w:rPr>
            </w:pPr>
          </w:p>
        </w:tc>
        <w:tc>
          <w:tcPr>
            <w:tcW w:w="58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contract assets for all the periods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25" w:lineRule="exact"/>
        <w:rPr>
          <w:sz w:val="20"/>
          <w:szCs w:val="20"/>
          <w:color w:val="auto"/>
        </w:rPr>
      </w:pPr>
    </w:p>
    <w:p>
      <w:pPr>
        <w:ind w:right="340" w:firstLine="518"/>
        <w:spacing w:after="0" w:line="238" w:lineRule="auto"/>
        <w:rPr>
          <w:sz w:val="20"/>
          <w:szCs w:val="20"/>
          <w:color w:val="auto"/>
        </w:rPr>
      </w:pPr>
      <w:r>
        <w:rPr>
          <w:rFonts w:ascii="Arial" w:cs="Arial" w:eastAsia="Arial" w:hAnsi="Arial"/>
          <w:sz w:val="18"/>
          <w:szCs w:val="18"/>
          <w:color w:val="auto"/>
        </w:rPr>
        <w:t>Revenues from related parties refer to the Collaboration Agreement with Merck. For the three and nine months ended September 30, 2019 and 2018, the Company recognized related party revenues of $ 21.6 million and $72.5 million and $20.8 million and $61.5 million, respectively. As of September 30, 2019 and December 31, 2018, the Company had deferred revenue from the Collaboration Agreement of $14.6 million and $23.0 million, respectively.</w:t>
      </w:r>
    </w:p>
    <w:p>
      <w:pPr>
        <w:spacing w:after="0" w:line="96" w:lineRule="exact"/>
        <w:rPr>
          <w:sz w:val="20"/>
          <w:szCs w:val="20"/>
          <w:color w:val="auto"/>
        </w:rPr>
      </w:pPr>
    </w:p>
    <w:p>
      <w:pPr>
        <w:ind w:right="440" w:firstLine="518"/>
        <w:spacing w:after="0" w:line="245" w:lineRule="auto"/>
        <w:rPr>
          <w:sz w:val="20"/>
          <w:szCs w:val="20"/>
          <w:color w:val="auto"/>
        </w:rPr>
      </w:pPr>
      <w:r>
        <w:rPr>
          <w:rFonts w:ascii="Arial" w:cs="Arial" w:eastAsia="Arial" w:hAnsi="Arial"/>
          <w:sz w:val="18"/>
          <w:szCs w:val="18"/>
          <w:color w:val="auto"/>
        </w:rPr>
        <w:t>Other related party transactions include the Company’s assignment of its operating lease of 630 Gateway to Merck (Note 7) and the Company’s private placement with Merck that occurred concurrently with the Company’s IPO (Note 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4" w:name="page25"/>
    <w:bookmarkEnd w:id="24"/>
    <w:p>
      <w:pPr>
        <w:jc w:val="center"/>
        <w:ind w:right="8160" w:firstLine="8"/>
        <w:spacing w:after="0" w:line="394" w:lineRule="auto"/>
        <w:tabs>
          <w:tab w:leader="none" w:pos="2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(“630 Gateway”) for approximately 50,000 square feet, as amended in June 2014 (“2014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6" w:lineRule="exact"/>
        <w:rPr>
          <w:sz w:val="20"/>
          <w:szCs w:val="20"/>
          <w:color w:val="auto"/>
        </w:rPr>
      </w:pPr>
    </w:p>
    <w:p>
      <w:pPr>
        <w:ind w:right="280" w:firstLine="518"/>
        <w:spacing w:after="0" w:line="238"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provided a tenant improvement allowance of $15.2 million that the Company used in 2016 towards $22.3 million in total leasehold improvements that are amortized over the lease term of seven years.</w:t>
      </w:r>
    </w:p>
    <w:p>
      <w:pPr>
        <w:spacing w:after="0" w:line="204"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The 333 Oyster Point lease agreement required a letter of credit in the amount of $2.3 million as a security deposit to the lease, which the Company has recorded as non-current restricted cash on the condensed consolidated balance sheets. The Company has the right to reduce the letter of credit amount by $0.4 million on each of the third anniversary and fourth anniversary of the rent commencement date. For the three months ended September 30, 2019, the Company reduced its letter of credit by $0.4 million and reclassified that amount from restricted cash to cash and cash equivalents on the condensed consolidated balance sheets.</w:t>
      </w:r>
    </w:p>
    <w:p>
      <w:pPr>
        <w:spacing w:after="0" w:line="206"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September 30, 2019 due to the short duration of the remaining lease term through November 2020, and Merck’s credit rating of AA/A1 and subsequent investment in tenant improvements to the facility. As of September 30, 2019 and 2018, the remaining lease payment obligations that are due for 630 Gateway were approximately $2.4 million and $4.2 million, respectively, which are to be paid directly from Merck to the lessor.</w:t>
      </w:r>
    </w:p>
    <w:p>
      <w:pPr>
        <w:spacing w:after="0" w:line="206" w:lineRule="exact"/>
        <w:rPr>
          <w:sz w:val="20"/>
          <w:szCs w:val="20"/>
          <w:color w:val="auto"/>
        </w:rPr>
      </w:pPr>
    </w:p>
    <w:p>
      <w:pPr>
        <w:jc w:val="both"/>
        <w:ind w:right="260" w:firstLine="518"/>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$0.5 million for the quarters ended September 30, 2019 and 2018 and $1.6 million for the nine months ended September 30, 2019 and 2018.</w:t>
      </w:r>
    </w:p>
    <w:p>
      <w:pPr>
        <w:spacing w:after="0" w:line="204" w:lineRule="exact"/>
        <w:rPr>
          <w:sz w:val="20"/>
          <w:szCs w:val="20"/>
          <w:color w:val="auto"/>
        </w:rPr>
      </w:pPr>
    </w:p>
    <w:p>
      <w:pPr>
        <w:ind w:right="720" w:firstLine="518"/>
        <w:spacing w:after="0" w:line="245"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September 30,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5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1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2020</w:t>
            </w:r>
          </w:p>
        </w:tc>
        <w:tc>
          <w:tcPr>
            <w:tcW w:w="5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2022</w:t>
            </w:r>
          </w:p>
        </w:tc>
        <w:tc>
          <w:tcPr>
            <w:tcW w:w="5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46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6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22,115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460" w:type="dxa"/>
            <w:vAlign w:val="bottom"/>
            <w:vMerge w:val="restart"/>
          </w:tcPr>
          <w:p>
            <w:pPr>
              <w:jc w:val="right"/>
              <w:ind w:right="3490"/>
              <w:spacing w:after="0"/>
              <w:rPr>
                <w:sz w:val="20"/>
                <w:szCs w:val="20"/>
                <w:color w:val="auto"/>
              </w:rPr>
            </w:pPr>
            <w:r>
              <w:rPr>
                <w:rFonts w:ascii="Arial" w:cs="Arial" w:eastAsia="Arial" w:hAnsi="Arial"/>
                <w:sz w:val="18"/>
                <w:szCs w:val="18"/>
                <w:color w:val="auto"/>
              </w:rPr>
              <w:t>23</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94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54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5"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2"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6" w:lineRule="exact"/>
        <w:rPr>
          <w:sz w:val="20"/>
          <w:szCs w:val="20"/>
          <w:color w:val="auto"/>
        </w:rPr>
      </w:pPr>
    </w:p>
    <w:p>
      <w:pPr>
        <w:jc w:val="both"/>
        <w:ind w:right="160" w:firstLine="518"/>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12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Upon the closing of the Company’s IPO, each then outstanding share of convertible preferred stock was converted into a share of common stock at a ratio of 1:1. With respect to the Company’s convertible preferred stock outstanding prior to the IPO, the Company has elected to follow the SEC staff’s guidance (included in ASC 480-10-S99, SEC Materials) when evaluating the classification of its shares within the condensed consolidated balance sheets. A liquidation, winding up, change in control, or sale of substantially all assets of the Company could constitute a redemption event. Although the majority of the Company’s preferred stock was not mandatorily or currently redeemable, a liquidation or winding up of the Company could have constituted an event outside its control. Therefore, all shares of convertible preferred stock have been presented outside the permanent equity for all periods presented due to being contingently redeemable.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Convertible preferred stock at December 31, 2018,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Issuance</w:t>
            </w:r>
          </w:p>
        </w:tc>
        <w:tc>
          <w:tcPr>
            <w:tcW w:w="24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8"/>
              </w:rPr>
              <w:t>Aggregate</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Aggregate</w:t>
            </w:r>
          </w:p>
        </w:tc>
      </w:tr>
      <w:tr>
        <w:trPr>
          <w:trHeight w:val="225"/>
        </w:trPr>
        <w:tc>
          <w:tcPr>
            <w:tcW w:w="5240" w:type="dxa"/>
            <w:vAlign w:val="bottom"/>
          </w:tcPr>
          <w:p>
            <w:pPr>
              <w:spacing w:after="0"/>
              <w:rPr>
                <w:sz w:val="19"/>
                <w:szCs w:val="19"/>
                <w:color w:val="auto"/>
              </w:rPr>
            </w:pPr>
          </w:p>
        </w:tc>
        <w:tc>
          <w:tcPr>
            <w:tcW w:w="23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Price per</w:t>
            </w:r>
          </w:p>
        </w:tc>
        <w:tc>
          <w:tcPr>
            <w:tcW w:w="24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8"/>
              </w:rPr>
              <w:t>Liquidation</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Carrying</w:t>
            </w:r>
          </w:p>
        </w:tc>
      </w:tr>
      <w:tr>
        <w:trPr>
          <w:trHeight w:val="209"/>
        </w:trPr>
        <w:tc>
          <w:tcPr>
            <w:tcW w:w="52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Authorized</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Outstanding</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Share</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Value</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Borders>
              <w:bottom w:val="single" w:sz="8" w:color="CFF0FC"/>
            </w:tcBorders>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13,295</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26,462</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B</w:t>
            </w:r>
          </w:p>
        </w:tc>
        <w:tc>
          <w:tcPr>
            <w:tcW w:w="1020" w:type="dxa"/>
            <w:vAlign w:val="bottom"/>
          </w:tcPr>
          <w:p>
            <w:pPr>
              <w:jc w:val="right"/>
              <w:spacing w:after="0"/>
              <w:rPr>
                <w:sz w:val="20"/>
                <w:szCs w:val="20"/>
                <w:color w:val="auto"/>
              </w:rPr>
            </w:pPr>
            <w:r>
              <w:rPr>
                <w:rFonts w:ascii="Arial" w:cs="Arial" w:eastAsia="Arial" w:hAnsi="Arial"/>
                <w:sz w:val="18"/>
                <w:szCs w:val="18"/>
                <w:color w:val="auto"/>
              </w:rPr>
              <w:t>11,078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55,148</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49,887</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D</w:t>
            </w:r>
          </w:p>
        </w:tc>
        <w:tc>
          <w:tcPr>
            <w:tcW w:w="1020" w:type="dxa"/>
            <w:vAlign w:val="bottom"/>
          </w:tcPr>
          <w:p>
            <w:pPr>
              <w:jc w:val="right"/>
              <w:spacing w:after="0"/>
              <w:rPr>
                <w:sz w:val="20"/>
                <w:szCs w:val="20"/>
                <w:color w:val="auto"/>
              </w:rPr>
            </w:pPr>
            <w:r>
              <w:rPr>
                <w:rFonts w:ascii="Arial" w:cs="Arial" w:eastAsia="Arial" w:hAnsi="Arial"/>
                <w:sz w:val="18"/>
                <w:szCs w:val="18"/>
                <w:color w:val="auto"/>
              </w:rPr>
              <w:t>6,600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57,461</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105,916</w:t>
            </w:r>
          </w:p>
        </w:tc>
        <w:tc>
          <w:tcPr>
            <w:tcW w:w="100" w:type="dxa"/>
            <w:vAlign w:val="bottom"/>
            <w:shd w:val="clear" w:color="auto" w:fill="CFF0FC"/>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48,134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277,774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294,874</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In March 2015, the Company amended and restated its certificate of incorporation in conjunction with the Series E convertible preferred stock offering. Prior to the conversion of the convertible preferred stock upon closing of the IPO, the significant rights and obligations of the Company’s convertible preferred stock were as follows:</w:t>
      </w:r>
    </w:p>
    <w:p>
      <w:pPr>
        <w:spacing w:after="0" w:line="184" w:lineRule="exact"/>
        <w:rPr>
          <w:sz w:val="20"/>
          <w:szCs w:val="20"/>
          <w:color w:val="auto"/>
        </w:rPr>
      </w:pPr>
    </w:p>
    <w:p>
      <w:pPr>
        <w:jc w:val="both"/>
        <w:ind w:right="40" w:firstLine="518"/>
        <w:spacing w:after="0" w:line="245"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holder of convertible preferred stock was entitled to the number of votes equal to the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into which such shares of convertible preferred stock were convertible. In the event the preferred stockholders controlled a majority of the board of directors through direct representation on the board of directors or through other rights, the stockholders could approve redemption of the preferred stock.</w:t>
      </w:r>
    </w:p>
    <w:p>
      <w:pPr>
        <w:spacing w:after="0" w:line="180" w:lineRule="exact"/>
        <w:rPr>
          <w:sz w:val="20"/>
          <w:szCs w:val="20"/>
          <w:color w:val="auto"/>
        </w:rPr>
      </w:pPr>
    </w:p>
    <w:p>
      <w:pPr>
        <w:ind w:right="80" w:firstLine="518"/>
        <w:spacing w:after="0" w:line="250"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Each holder of convertible preferred stock was entitled to receive non-cumulative dividends at the rate of 8% per annum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share of convertible preferred stock outstanding, when, as and if declared by the board of directors. These dividends were payable in preference to common stock dividends. The Company did not declare or pay any dividends.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26" w:name="page27"/>
    <w:bookmarkEnd w:id="26"/>
    <w:p>
      <w:pPr>
        <w:ind w:right="20" w:firstLine="518"/>
        <w:spacing w:after="0" w:line="238"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any liquidation, dissolution or winding-up of the Company, each holder of convertible preferred stock was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was only eligible to receive an amount equal to $10.00 per share plus all declared and unpaid dividends on the convertible preferred stock. In the event that the available funds and assets were insufficient for full payment to the holders of convertible preferred stock on a per-share basis as outlined above, the entire assets and funds of the Company legally available for distribution would have been distributed ratably among the holders of convertible preferred stock in proportion to the full amount to which they would otherwise have been respectively entitled. Upon completion of the distribution of assets as set forth above, all of the remaining assets, if any, would have been distributed ratably among the holders of common stock.</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September 30, 2019, the Company does not have any convertible preferred stock issued or outstanding.</w:t>
      </w:r>
    </w:p>
    <w:p>
      <w:pPr>
        <w:spacing w:after="0" w:line="311" w:lineRule="exact"/>
        <w:rPr>
          <w:sz w:val="20"/>
          <w:szCs w:val="20"/>
          <w:color w:val="auto"/>
        </w:rPr>
      </w:pPr>
    </w:p>
    <w:p>
      <w:pPr>
        <w:ind w:right="8700" w:firstLine="8"/>
        <w:spacing w:after="0" w:line="372"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(Deficit)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As of September 30, 2019 and December 31, 2018, the Company had 66,155,613 and 6,937,890 shares of common stock outstanding, respectively, which included shares subject to repurchase of 108,177 and 205,108, respectively, as a result of early exercise of stock options not yet vested. As of September 30, 2019 and December 31, 2018, the Company reserved shares of common stock for issuance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w:t>
            </w:r>
          </w:p>
        </w:tc>
        <w:tc>
          <w:tcPr>
            <w:tcW w:w="17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8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0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preferred stock</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Common 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11,328,508</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9,806,689</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available for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5,515,036</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2,125,875</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Warrant to purchase convertible preferred stock</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19,637</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401(k) Matching Plan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28,274</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36,751</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ESPP shares available for purchase</w:t>
            </w:r>
          </w:p>
        </w:tc>
        <w:tc>
          <w:tcPr>
            <w:tcW w:w="1560" w:type="dxa"/>
            <w:vAlign w:val="bottom"/>
          </w:tcPr>
          <w:p>
            <w:pPr>
              <w:jc w:val="right"/>
              <w:spacing w:after="0"/>
              <w:rPr>
                <w:sz w:val="20"/>
                <w:szCs w:val="20"/>
                <w:color w:val="auto"/>
              </w:rPr>
            </w:pPr>
            <w:r>
              <w:rPr>
                <w:rFonts w:ascii="Arial" w:cs="Arial" w:eastAsia="Arial" w:hAnsi="Arial"/>
                <w:sz w:val="18"/>
                <w:szCs w:val="18"/>
                <w:color w:val="auto"/>
              </w:rPr>
              <w:t>1,000,000</w:t>
            </w:r>
          </w:p>
        </w:tc>
        <w:tc>
          <w:tcPr>
            <w:tcW w:w="2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17,871,818</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59,256,418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2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2018, the Company adopted the 2018 Equity Incentive Plan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 September 30, 2019, 17,874,624 shares of common stock had been authorized for issuance under the 2018 Plan. The Company’s 2008 Equity Incentive Plan (the “2008 Plan”) expired at the beginning of 2018.</w:t>
      </w:r>
    </w:p>
    <w:p>
      <w:pPr>
        <w:spacing w:after="0" w:line="20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Prior to the closing of the Company’s IPO, the board of directors exercised reasonable judgment and considered a number of objective and subjective factors to determine the best estimate of the fair value of our common stock, including the Company’s stage of development; progress of its research and development efforts; the rights, preferences and privileges of its convertible preferred stock relative to those of its common stock; equity market conditions affecting comparable companies; and the lack of marketability of our common stock. Subsequent to the IPO,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gridSpan w:val="2"/>
          </w:tcPr>
          <w:p>
            <w:pPr>
              <w:ind w:left="520"/>
              <w:spacing w:after="0"/>
              <w:rPr>
                <w:sz w:val="20"/>
                <w:szCs w:val="20"/>
                <w:color w:val="auto"/>
              </w:rPr>
            </w:pPr>
            <w:r>
              <w:rPr>
                <w:rFonts w:ascii="Arial" w:cs="Arial" w:eastAsia="Arial" w:hAnsi="Arial"/>
                <w:sz w:val="18"/>
                <w:szCs w:val="18"/>
                <w:color w:val="auto"/>
                <w:w w:val="99"/>
              </w:rPr>
              <w:t>A summary of the outstanding stock options is as follows: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ind w:left="240"/>
              <w:spacing w:after="0"/>
              <w:rPr>
                <w:sz w:val="20"/>
                <w:szCs w:val="20"/>
                <w:color w:val="auto"/>
              </w:rPr>
            </w:pPr>
            <w:r>
              <w:rPr>
                <w:rFonts w:ascii="Arial" w:cs="Arial" w:eastAsia="Arial" w:hAnsi="Arial"/>
                <w:sz w:val="18"/>
                <w:szCs w:val="18"/>
                <w:b w:val="1"/>
                <w:bCs w:val="1"/>
                <w:color w:val="auto"/>
              </w:rPr>
              <w:t>Outstanding Options</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Weighted</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Weighted</w:t>
            </w: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Remaining</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Options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Average</w:t>
            </w: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40" w:type="dxa"/>
            <w:vAlign w:val="bottom"/>
          </w:tcPr>
          <w:p>
            <w:pPr>
              <w:spacing w:after="0"/>
              <w:rPr>
                <w:sz w:val="17"/>
                <w:szCs w:val="17"/>
                <w:color w:val="auto"/>
              </w:rPr>
            </w:pPr>
          </w:p>
        </w:tc>
        <w:tc>
          <w:tcPr>
            <w:tcW w:w="12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02"/>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Available</w:t>
            </w: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Exercise</w:t>
            </w: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for Grant</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Options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Price</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2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Balances at December 31, 2018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2,125,875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9,806,689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Additional shares reserved</w:t>
            </w:r>
          </w:p>
        </w:tc>
        <w:tc>
          <w:tcPr>
            <w:tcW w:w="940" w:type="dxa"/>
            <w:vAlign w:val="bottom"/>
          </w:tcPr>
          <w:p>
            <w:pPr>
              <w:jc w:val="right"/>
              <w:spacing w:after="0"/>
              <w:rPr>
                <w:sz w:val="20"/>
                <w:szCs w:val="20"/>
                <w:color w:val="auto"/>
              </w:rPr>
            </w:pPr>
            <w:r>
              <w:rPr>
                <w:rFonts w:ascii="Arial" w:cs="Arial" w:eastAsia="Arial" w:hAnsi="Arial"/>
                <w:sz w:val="18"/>
                <w:szCs w:val="18"/>
                <w:color w:val="auto"/>
              </w:rPr>
              <w:t>5,193,322</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(2,007,751)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2,007,751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(282,342)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cancelled</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203,590</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(203,590)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Balances at September 30, 2019</w:t>
            </w:r>
          </w:p>
        </w:tc>
        <w:tc>
          <w:tcPr>
            <w:tcW w:w="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5,515,036</w:t>
            </w:r>
          </w:p>
        </w:tc>
        <w:tc>
          <w:tcPr>
            <w:tcW w:w="220" w:type="dxa"/>
            <w:vAlign w:val="bottom"/>
            <w:tcBorders>
              <w:bottom w:val="single" w:sz="8" w:color="CFF0FC"/>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11,328,508</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Vested and expected to vest at September 30, 2019</w:t>
            </w:r>
          </w:p>
        </w:tc>
        <w:tc>
          <w:tcPr>
            <w:tcW w:w="9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11,214,990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7.00</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6.33</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77,196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Outstanding and exercisable at September 30, 2019</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11,328,508</w:t>
            </w:r>
          </w:p>
        </w:tc>
        <w:tc>
          <w:tcPr>
            <w:tcW w:w="14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7.04</w:t>
            </w:r>
          </w:p>
        </w:tc>
        <w:tc>
          <w:tcPr>
            <w:tcW w:w="2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6.35</w:t>
            </w:r>
          </w:p>
        </w:tc>
        <w:tc>
          <w:tcPr>
            <w:tcW w:w="24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77,527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both"/>
        <w:ind w:right="660" w:firstLine="518"/>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2"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weighted-average grant date fair value of stock options granted during the nine months ended September 30, 2019 and 2018 was $7.93 and $5.63 per share, respectively. The intrinsic value of stock options exercised was $3.0 million and $1.5 million for the nine months ended September 30, 2019 and 2018, respectively. Because of the Company’s net operating losses, the Company did not realize any tax benefits from stock-based payment arrangements for the three and nine months ended September 30, 2019 and 2018.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21"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4"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As of September 30, 2019, there were 108,177 shares of common stock outstanding subject to the Company’s right of repurchase at prices ranging from $7.64 to $8.14 per share. At December 31, 2018, there were 205,108 shares of common stock outstanding subject to the Company’s right of repurchase at prices ranging from $4.00 to $8.14 per share. As of September 30, 2019 and December 31, 2018, the Company recorded $0.8 million and $1.6 million, respectively, as early exercise stock option liabilities associated with shares issued with repurchase rights.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1"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Employee and director stock-based compensation expense for the three and nine months ended September 30, 2019 and 2018 was calculated based on awards ultimately expected to vest and has been reduced for estimated forfeitures. The following table summarizes stock-based compensation expense related to stock-based payment awards to employees and directors for the three and nine months ended September 30, 2019 and 2018, which was allocated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8"/>
              </w:rPr>
              <w:t>Nine Months Ended</w:t>
            </w:r>
          </w:p>
        </w:tc>
      </w:tr>
      <w:tr>
        <w:trPr>
          <w:trHeight w:val="225"/>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19"/>
                <w:szCs w:val="19"/>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r>
      <w:tr>
        <w:trPr>
          <w:trHeight w:val="209"/>
        </w:trPr>
        <w:tc>
          <w:tcPr>
            <w:tcW w:w="59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w:t>
      </w:r>
    </w:p>
    <w:p>
      <w:pPr>
        <w:spacing w:after="0" w:line="121"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204" w:lineRule="exact"/>
        <w:rPr>
          <w:sz w:val="20"/>
          <w:szCs w:val="20"/>
          <w:color w:val="auto"/>
        </w:rPr>
      </w:pPr>
    </w:p>
    <w:p>
      <w:pPr>
        <w:ind w:right="480" w:firstLine="518"/>
        <w:spacing w:after="0" w:line="245"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valuation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9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7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740" w:type="dxa"/>
            <w:vAlign w:val="bottom"/>
          </w:tcPr>
          <w:p>
            <w:pPr>
              <w:spacing w:after="0"/>
              <w:rPr>
                <w:sz w:val="19"/>
                <w:szCs w:val="19"/>
                <w:color w:val="auto"/>
              </w:rPr>
            </w:pPr>
          </w:p>
        </w:tc>
        <w:tc>
          <w:tcPr>
            <w:tcW w:w="290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September 30,</w:t>
            </w:r>
          </w:p>
        </w:tc>
        <w:tc>
          <w:tcPr>
            <w:tcW w:w="278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74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18"/>
                <w:szCs w:val="18"/>
                <w:color w:val="auto"/>
              </w:rPr>
            </w:pPr>
          </w:p>
        </w:tc>
      </w:tr>
      <w:tr>
        <w:trPr>
          <w:trHeight w:val="20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1.56%</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2.86%</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2.42%</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65.03%</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62.83%</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64.86%</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67.80%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Forfeiture rate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5.12%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211" w:lineRule="exact"/>
        <w:rPr>
          <w:sz w:val="20"/>
          <w:szCs w:val="20"/>
          <w:color w:val="auto"/>
        </w:rPr>
      </w:pPr>
    </w:p>
    <w:p>
      <w:pPr>
        <w:ind w:right="560" w:firstLine="518"/>
        <w:spacing w:after="0" w:line="245" w:lineRule="auto"/>
        <w:rPr>
          <w:sz w:val="20"/>
          <w:szCs w:val="20"/>
          <w:color w:val="auto"/>
        </w:rPr>
      </w:pPr>
      <w:r>
        <w:rPr>
          <w:rFonts w:ascii="Arial" w:cs="Arial" w:eastAsia="Arial" w:hAnsi="Arial"/>
          <w:sz w:val="18"/>
          <w:szCs w:val="18"/>
          <w:color w:val="auto"/>
        </w:rPr>
        <w:t>Expected Stock Price Volatility: The expected volatility is based on the historical volatility of the stock of similar entities within the Company’s industry over periods commensurate with the Company’s expected term assumption.</w:t>
      </w:r>
    </w:p>
    <w:p>
      <w:pPr>
        <w:spacing w:after="0" w:line="198"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Expected Term of Options: The expected term of options represents the period of time options are expected to be outstanding. The expected term of the options granted is derived using the “simplified” method (that is, estimating the expected term as the midpoint between the vesting date and the end of the contractual term for each option).</w:t>
      </w:r>
    </w:p>
    <w:p>
      <w:pPr>
        <w:spacing w:after="0" w:line="202" w:lineRule="exact"/>
        <w:rPr>
          <w:sz w:val="20"/>
          <w:szCs w:val="20"/>
          <w:color w:val="auto"/>
        </w:rPr>
      </w:pPr>
    </w:p>
    <w:p>
      <w:pPr>
        <w:ind w:right="20" w:firstLine="518"/>
        <w:spacing w:after="0" w:line="245" w:lineRule="auto"/>
        <w:rPr>
          <w:sz w:val="20"/>
          <w:szCs w:val="20"/>
          <w:color w:val="auto"/>
        </w:rPr>
      </w:pPr>
      <w:r>
        <w:rPr>
          <w:rFonts w:ascii="Arial" w:cs="Arial" w:eastAsia="Arial" w:hAnsi="Arial"/>
          <w:sz w:val="18"/>
          <w:szCs w:val="18"/>
          <w:color w:val="auto"/>
        </w:rPr>
        <w:t>Risk-Free Interest Rate: The Company bases the risk-free interest rate on the interest rate payable on U.S. Treasury securities in effect at the time of grant for a period that is commensurate with the assumed expected option term.</w:t>
      </w:r>
    </w:p>
    <w:p>
      <w:pPr>
        <w:spacing w:after="0" w:line="198" w:lineRule="exact"/>
        <w:rPr>
          <w:sz w:val="20"/>
          <w:szCs w:val="20"/>
          <w:color w:val="auto"/>
        </w:rPr>
      </w:pPr>
    </w:p>
    <w:p>
      <w:pPr>
        <w:ind w:left="520"/>
        <w:spacing w:after="0"/>
        <w:tabs>
          <w:tab w:leader="none" w:pos="2960" w:val="left"/>
        </w:tabs>
        <w:rPr>
          <w:sz w:val="20"/>
          <w:szCs w:val="20"/>
          <w:color w:val="auto"/>
        </w:rPr>
      </w:pPr>
      <w:r>
        <w:rPr>
          <w:rFonts w:ascii="Arial" w:cs="Arial" w:eastAsia="Arial" w:hAnsi="Arial"/>
          <w:sz w:val="18"/>
          <w:szCs w:val="18"/>
          <w:color w:val="auto"/>
        </w:rPr>
        <w:t>Expected Annual Dividends:</w:t>
      </w:r>
      <w:r>
        <w:rPr>
          <w:sz w:val="20"/>
          <w:szCs w:val="20"/>
          <w:color w:val="auto"/>
        </w:rPr>
        <w:tab/>
      </w:r>
      <w:r>
        <w:rPr>
          <w:rFonts w:ascii="Arial" w:cs="Arial" w:eastAsia="Arial" w:hAnsi="Arial"/>
          <w:sz w:val="17"/>
          <w:szCs w:val="17"/>
          <w:color w:val="auto"/>
        </w:rPr>
        <w:t>The Company has not historically paid, and does not expect for the foreseeable future to pay, a dividend.</w:t>
      </w:r>
    </w:p>
    <w:p>
      <w:pPr>
        <w:spacing w:after="0" w:line="211" w:lineRule="exact"/>
        <w:rPr>
          <w:sz w:val="20"/>
          <w:szCs w:val="20"/>
          <w:color w:val="auto"/>
        </w:rPr>
      </w:pPr>
    </w:p>
    <w:p>
      <w:pPr>
        <w:ind w:right="580" w:firstLine="518"/>
        <w:spacing w:after="0" w:line="245" w:lineRule="auto"/>
        <w:rPr>
          <w:sz w:val="20"/>
          <w:szCs w:val="20"/>
          <w:color w:val="auto"/>
        </w:rPr>
      </w:pPr>
      <w:r>
        <w:rPr>
          <w:rFonts w:ascii="Arial" w:cs="Arial" w:eastAsia="Arial" w:hAnsi="Arial"/>
          <w:sz w:val="18"/>
          <w:szCs w:val="18"/>
          <w:color w:val="auto"/>
        </w:rPr>
        <w:t>Forfeiture Rate: The forfeiture rate represents the percentage of unvested stock options the Company expects will not vest, and, therefore, should not be expensed. The Company estimates forfeiture rates based on historical stock option grants and cancellations.</w:t>
      </w:r>
    </w:p>
    <w:p>
      <w:pPr>
        <w:spacing w:after="0" w:line="198" w:lineRule="exact"/>
        <w:rPr>
          <w:sz w:val="20"/>
          <w:szCs w:val="20"/>
          <w:color w:val="auto"/>
        </w:rPr>
      </w:pPr>
    </w:p>
    <w:p>
      <w:pPr>
        <w:ind w:right="380" w:firstLine="518"/>
        <w:spacing w:after="0"/>
        <w:rPr>
          <w:sz w:val="20"/>
          <w:szCs w:val="20"/>
          <w:color w:val="auto"/>
        </w:rPr>
      </w:pPr>
      <w:r>
        <w:rPr>
          <w:rFonts w:ascii="Arial" w:cs="Arial" w:eastAsia="Arial" w:hAnsi="Arial"/>
          <w:sz w:val="18"/>
          <w:szCs w:val="18"/>
          <w:color w:val="auto"/>
        </w:rPr>
        <w:t>As of September 30, 2019, there was approximately $23.9 million in total unrecognized compensation expense, net of estimated forfeitures, related to unvested options granted to employees and directors under the 2008 and 2018 Plans. The expense is expected to be recognized over a weighted-average period of 2.70 years.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Stock Options Granted to Non-employees</w:t>
      </w:r>
    </w:p>
    <w:p>
      <w:pPr>
        <w:spacing w:after="0" w:line="121"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The Company did not grant options to non-employees for the three months ended September 30, 2019 and granted 22,500 options to non-employees for the nine months ended September 30, 2019. The Company did not grant any options during the three and nine months ended September 30, 2018. Stock-based compensation expense related to stock-based payment awards to non-employees for the three and nine months ended September 30, 2019 was $32,000 and $102,000, respectively. Stock-based compensation expense related to stock-based payment awards to non-employees for the three and nine months ended September 30, 2018 was $23,000 and $71,000, respectively. As of September 30, 2019 and December 31, 2018, non-employee stock options to purchase 25,939 and 16,042 shares, respectively, remained unvested.</w:t>
      </w:r>
    </w:p>
    <w:p>
      <w:pPr>
        <w:spacing w:after="0" w:line="201" w:lineRule="exact"/>
        <w:rPr>
          <w:sz w:val="20"/>
          <w:szCs w:val="20"/>
          <w:color w:val="auto"/>
        </w:rPr>
      </w:pPr>
    </w:p>
    <w:p>
      <w:pPr>
        <w:ind w:right="120" w:firstLine="518"/>
        <w:spacing w:after="0" w:line="245" w:lineRule="auto"/>
        <w:rPr>
          <w:sz w:val="20"/>
          <w:szCs w:val="20"/>
          <w:color w:val="auto"/>
        </w:rPr>
      </w:pPr>
      <w:r>
        <w:rPr>
          <w:rFonts w:ascii="Arial" w:cs="Arial" w:eastAsia="Arial" w:hAnsi="Arial"/>
          <w:sz w:val="18"/>
          <w:szCs w:val="18"/>
          <w:color w:val="auto"/>
        </w:rPr>
        <w:t>The fair value of stock option awards granted to non-employees was estimated at the date of grant using a Black-Scholes option-pricing model with the following weighted-average valuation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24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5920" w:type="dxa"/>
            <w:vAlign w:val="bottom"/>
          </w:tcPr>
          <w:p>
            <w:pPr>
              <w:spacing w:after="0"/>
              <w:rPr>
                <w:sz w:val="19"/>
                <w:szCs w:val="19"/>
                <w:color w:val="auto"/>
              </w:rPr>
            </w:pPr>
          </w:p>
        </w:tc>
        <w:tc>
          <w:tcPr>
            <w:tcW w:w="2240" w:type="dxa"/>
            <w:vAlign w:val="bottom"/>
            <w:gridSpan w:val="4"/>
          </w:tcPr>
          <w:p>
            <w:pPr>
              <w:ind w:left="6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20" w:type="dxa"/>
            <w:vAlign w:val="bottom"/>
            <w:tcBorders>
              <w:bottom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2.22%</w:t>
            </w: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Expected term of options (in years)</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5.53</w:t>
            </w:r>
          </w:p>
        </w:tc>
        <w:tc>
          <w:tcPr>
            <w:tcW w:w="32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3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65.47%</w:t>
            </w: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gridSpan w:val="2"/>
          </w:tcPr>
          <w:p>
            <w:pPr>
              <w:spacing w:after="0"/>
              <w:rPr>
                <w:sz w:val="20"/>
                <w:szCs w:val="20"/>
                <w:color w:val="auto"/>
              </w:rPr>
            </w:pPr>
            <w:r>
              <w:rPr>
                <w:rFonts w:ascii="Arial" w:cs="Arial" w:eastAsia="Arial" w:hAnsi="Arial"/>
                <w:sz w:val="18"/>
                <w:szCs w:val="18"/>
                <w:color w:val="auto"/>
              </w:rPr>
              <w:t>Expected dividends</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25"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March 2019, the Company adopted the 2019 ESPP. The Company reserved 1,000,000 shares of common stock pursuant to purchase rights granted to the Company’s employees. The 2019 ESPP provides that the number of shares reserved and available for issuance will automatically increase on January 1 of each calendar year, beginning January 1, 2020, by the lesser of (1) 1.0% of the total number of shares of common stock outstanding on December 31 of the preceding calendar year, (2) 1,000,000 shares or (3) a number determined by our board of directors that is less than (1) and (2).</w:t>
      </w:r>
    </w:p>
    <w:p>
      <w:pPr>
        <w:spacing w:after="0" w:line="233"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Under the 2019 ESPP, eligible employees are granted options to purchase shares of our common stock through payroll deductions that cannot exceed 15% of each employee’s salary. The 2019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2019 ESPP is considered a compensatory plan and the Company recorded stock-based compensation expense of $0.3 million and $0.6 million for the three and nine months ended September 30, 2019. As of September 30, 2019, no shares of common stock were issued under the 2019 ESPP.</w:t>
      </w:r>
    </w:p>
    <w:p>
      <w:pPr>
        <w:spacing w:after="0" w:line="204" w:lineRule="exact"/>
        <w:rPr>
          <w:sz w:val="20"/>
          <w:szCs w:val="20"/>
          <w:color w:val="auto"/>
        </w:rPr>
      </w:pPr>
    </w:p>
    <w:p>
      <w:pPr>
        <w:ind w:right="120" w:firstLine="518"/>
        <w:spacing w:after="0" w:line="245" w:lineRule="auto"/>
        <w:rPr>
          <w:sz w:val="20"/>
          <w:szCs w:val="20"/>
          <w:color w:val="auto"/>
        </w:rPr>
      </w:pPr>
      <w:r>
        <w:rPr>
          <w:rFonts w:ascii="Arial" w:cs="Arial" w:eastAsia="Arial" w:hAnsi="Arial"/>
          <w:sz w:val="18"/>
          <w:szCs w:val="18"/>
          <w:color w:val="auto"/>
        </w:rPr>
        <w:t>The fair value of the rights granted to employees under the 2019 ESPP was estimated at the date of offer using a Black-Scholes option-pricing model with the following weighted-average valuation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232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5860" w:type="dxa"/>
            <w:vAlign w:val="bottom"/>
          </w:tcPr>
          <w:p>
            <w:pPr>
              <w:spacing w:after="0"/>
              <w:rPr>
                <w:sz w:val="19"/>
                <w:szCs w:val="19"/>
                <w:color w:val="auto"/>
              </w:rPr>
            </w:pPr>
          </w:p>
        </w:tc>
        <w:tc>
          <w:tcPr>
            <w:tcW w:w="23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86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0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1.90%</w:t>
            </w:r>
          </w:p>
        </w:tc>
        <w:tc>
          <w:tcPr>
            <w:tcW w:w="8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1.90%</w:t>
            </w: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59.79%</w:t>
            </w:r>
          </w:p>
        </w:tc>
        <w:tc>
          <w:tcPr>
            <w:tcW w:w="8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59.79%</w:t>
            </w: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Expected dividends</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Company has a history of losses, and expects to record a loss in 2019. Additionally, the net deferred tax assets have been fully offset by a valuation allowance against our net operating loss carryforwards. Therefore, the Company has not recorded a provision for income taxes.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7"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notes for the year ended December 31, 2018, included in the Company’s final prospectus filed with the SEC pursuant to Rule 424(b) under the Securities Act, on April 4, 2019 (the “Prospectus”), and other financial information appearing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82" w:lineRule="exact"/>
        <w:rPr>
          <w:sz w:val="20"/>
          <w:szCs w:val="20"/>
          <w:color w:val="auto"/>
        </w:rPr>
      </w:pPr>
    </w:p>
    <w:p>
      <w:pPr>
        <w:ind w:right="320" w:firstLine="518"/>
        <w:spacing w:after="0" w:line="242"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product candidates. Our most advanced product candidate, aldafermin, previously known as NGM282, is wholly-owned and entered Phase 2b development for the treatment of NASH in mid-2019. Four of our other product candidates are in Phase 1 clinical trials and our other programs are in preclinical testing; some of these are subject to our Merck collaboration as described below.</w:t>
      </w:r>
    </w:p>
    <w:p>
      <w:pPr>
        <w:spacing w:after="0" w:line="201"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that allows us to develop multiple product candidates in parallel without bearing substantially greater costs or incurring significantly greater risk compared to developing candidates on our own. Through September 30, 2019, Merck had paid us $398.4 million, of which $20.0 million was to license NGM313 and related compounds and $ 378.4 million was upfront payment and reimbursement of research and development expenses. On March 15, 2019, Merck exercised its option to extend the collaboration through March 16, 2022, and has the right to extend it again through March 16, 2024. As part of the extension through March 16, 2022, Merck agreed to continue to fund our research and development efforts at the same levels during the two-year extension period and, in lieu of a $20.0 million extension fee payable to us, during such two year extension period, Merck will make additional payments totaling up to $20.0 million in support of our research and development activities across 2021 and the first quarter of 2022.</w:t>
      </w:r>
    </w:p>
    <w:p>
      <w:pPr>
        <w:spacing w:after="0" w:line="20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April 2019, we completed the IPO of our common stock, in which we issued an aggregate of 7,521,394 shares of common stock, including 854,727 shares of common stock issued pursuant to the over-allotment option granted to the underwriters at a price of $16.00 per share, before underwriting discounts and commissions. We received approximately $107.8 million in net proceeds, after deducting underwriting discounts, commissions and offering expenses of $4.1 million, of which $ 2.3 million was paid in 2018. The deferred offering costs were offset against the net proceeds received from the sale of common stock. At the closing of the IPO, 47,283,839 shares of outstanding convertible preferred stock were automatically converted to common stock on a 1:1 basis. Concurrent with the completion of the IPO, we also issued 4,121,683 shares to Merck in a private placement at a price of $16.00 per share for proceeds of $65.9 million, which resulted in Merck owning approximately 19.9% of our outstanding shares of common stock.</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1" w:name="page32"/>
    <w:bookmarkEnd w:id="31"/>
    <w:p>
      <w:pPr>
        <w:ind w:right="200" w:firstLine="518"/>
        <w:spacing w:after="0" w:line="236" w:lineRule="auto"/>
        <w:rPr>
          <w:sz w:val="20"/>
          <w:szCs w:val="20"/>
          <w:color w:val="auto"/>
        </w:rPr>
      </w:pPr>
      <w:r>
        <w:rPr>
          <w:rFonts w:ascii="Arial" w:cs="Arial" w:eastAsia="Arial" w:hAnsi="Arial"/>
          <w:sz w:val="18"/>
          <w:szCs w:val="18"/>
          <w:color w:val="auto"/>
        </w:rPr>
        <w:t>We have incurred net losses in each year since our inception. Our consolidated net losses were $10.9 million and $26.9 million for the three and nine months ended September 30, 2019, respectively, compared to losses of $7.5 million and $14.7 million for the three and nine months ended September 30, 2018, respectively. As of September 30, 2019, we had an accumulated deficit of $180.2 million, of which $3.4 million was an accumulated adjustment to retained earnings at January 1, 2019 for the Company’s adoption of ASU 2014-09, Revenue from Contracts with Customers (Topic 606), and subsequent amendments, under the modified retrospective approach to adoption.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w:t>
      </w:r>
    </w:p>
    <w:p>
      <w:pPr>
        <w:ind w:right="40"/>
        <w:spacing w:after="0" w:line="236" w:lineRule="auto"/>
        <w:rPr>
          <w:sz w:val="20"/>
          <w:szCs w:val="20"/>
          <w:color w:val="auto"/>
        </w:rPr>
      </w:pPr>
      <w:r>
        <w:rPr>
          <w:rFonts w:ascii="Arial" w:cs="Arial" w:eastAsia="Arial" w:hAnsi="Arial"/>
          <w:sz w:val="18"/>
          <w:szCs w:val="18"/>
          <w:color w:val="auto"/>
        </w:rPr>
        <w:t>$295.1 million, upfront license fees paid by collaboration partners of $123.0 million, our initial public offering with net proceeds of $107.8 million, a concurrent private placement of common stock to Merck for $65.9 million, the license of NGM313 and related compounds to Merck for $20.0 million and research and development service fees provided by collaboration partners of $303.3 million. We do not have any products approved for sale and do not anticipate generating revenue from product sales for the foreseeable future, if ever. Accordingly, to fund further operations we may need to raise capital. Until such time as we can generate meaningful revenue from product sales, if ever, we expect to finance our operating activities through public equity or debt financings, collaborations, strategic alliances and licensing arrangements, government or other third-party funding or a combination of these. We may not be able to secure additional funding on terms acceptable to us, or at all, and any failure to secure funding as and when needed could compromise our ability to execute on our business plan, which could materially and adversely affect our business, financial condition and results of operations. 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w:t>
      </w:r>
    </w:p>
    <w:p>
      <w:pPr>
        <w:spacing w:after="0" w:line="203" w:lineRule="exact"/>
        <w:rPr>
          <w:sz w:val="20"/>
          <w:szCs w:val="20"/>
          <w:color w:val="auto"/>
        </w:rPr>
      </w:pPr>
    </w:p>
    <w:p>
      <w:pPr>
        <w:ind w:right="240" w:firstLine="518"/>
        <w:spacing w:after="0" w:line="245" w:lineRule="auto"/>
        <w:rPr>
          <w:sz w:val="20"/>
          <w:szCs w:val="20"/>
          <w:color w:val="auto"/>
        </w:rPr>
      </w:pPr>
      <w:r>
        <w:rPr>
          <w:rFonts w:ascii="Arial" w:cs="Arial" w:eastAsia="Arial" w:hAnsi="Arial"/>
          <w:sz w:val="18"/>
          <w:szCs w:val="18"/>
          <w:color w:val="auto"/>
        </w:rPr>
        <w:t>We have no manufacturing facilities, and all of our manufacturing activities are contracted out to third parties. Additionally, we currently utilize third-party CROs to carry out certain clinical development activities. We do not have a sales organization.</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Operations Overview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5"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Our revenue to date has been generated primarily from recognition of license fees and research and development service funding pursuant to our collaboration agreements, the most significant of which is with Merck. Merck is also a significant stockholder and, as such, collaboration revenue from Merck is referred to as related party revenue. We have not generated any revenue from commercial product sales to date. We receive research and development funding pursuant to our Collaboration Agreement, and we may also be entitled to receive additional milestone and other contingent payments upon the occurrence of specific events. Due to the nature of this Collaboration Agreement and the nonlinearity of the related revenue recognition, our revenue has fluctuated from period to period in the past and we expect that it will continue to fluctuate in future periods.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sources of our collaboration revenue for the three and nine months ended September 30, 2019 and</w:t>
      </w:r>
    </w:p>
    <w:p>
      <w:pPr>
        <w:spacing w:after="0"/>
        <w:rPr>
          <w:sz w:val="20"/>
          <w:szCs w:val="20"/>
          <w:color w:val="auto"/>
        </w:rPr>
      </w:pPr>
      <w:r>
        <w:rPr>
          <w:rFonts w:ascii="Arial" w:cs="Arial" w:eastAsia="Arial" w:hAnsi="Arial"/>
          <w:sz w:val="18"/>
          <w:szCs w:val="18"/>
          <w:color w:val="auto"/>
        </w:rPr>
        <w:t>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8"/>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19"/>
                <w:szCs w:val="19"/>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CFF0FC"/>
            </w:tcBorders>
            <w:vMerge w:val="continue"/>
          </w:tcPr>
          <w:p>
            <w:pPr>
              <w:spacing w:after="0"/>
              <w:rPr>
                <w:sz w:val="18"/>
                <w:szCs w:val="18"/>
                <w:color w:val="auto"/>
              </w:rPr>
            </w:pPr>
          </w:p>
        </w:tc>
        <w:tc>
          <w:tcPr>
            <w:tcW w:w="18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Recognition of upfront fee</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5,442</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16,844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rPr>
              <w:t>Collaboration service revenue</w:t>
            </w:r>
          </w:p>
        </w:tc>
        <w:tc>
          <w:tcPr>
            <w:tcW w:w="18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16,115</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55,617</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jc w:val="right"/>
              <w:ind w:right="1410"/>
              <w:spacing w:after="0"/>
              <w:rPr>
                <w:sz w:val="20"/>
                <w:szCs w:val="20"/>
                <w:color w:val="auto"/>
              </w:rPr>
            </w:pPr>
            <w:r>
              <w:rPr>
                <w:rFonts w:ascii="Arial" w:cs="Arial" w:eastAsia="Arial" w:hAnsi="Arial"/>
                <w:sz w:val="18"/>
                <w:szCs w:val="18"/>
                <w:color w:val="auto"/>
              </w:rPr>
              <w:t>Total related party revenue</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21,568</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20,815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72,461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61,546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5" w:lineRule="exact"/>
        <w:rPr>
          <w:sz w:val="20"/>
          <w:szCs w:val="20"/>
          <w:color w:val="auto"/>
        </w:rPr>
      </w:pPr>
    </w:p>
    <w:p>
      <w:pPr>
        <w:ind w:right="280" w:firstLine="518"/>
        <w:spacing w:after="0" w:line="245"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drug product and clinical trial material, conducting preclinical testing and clinical trials and providing support for these operations.</w:t>
      </w:r>
    </w:p>
    <w:p>
      <w:pPr>
        <w:spacing w:after="0" w:line="198"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204"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Our clinical development efforts are focused on multiple programs. Our lead product candidate, aldafermin, is the subject of ongoing and planned Phase 2 clinical trials for NASH. We anticipate the majority of our financial resources outside of the Merck collaboration will be dedicated to the development of aldafermin for the foreseeable future. We are also devoting financial resources to the development of NGM395, a product candidate in our GDF15 receptor agonist program, and may devote financial resources to other programs in the event Merck does not elect to license these programs upon completion of a proof-of-concept study, or in the event Merck elects to terminate its license to a program. Additionally, if our research and development expenses were to exceed the funding caps provided in our Collaboration Agreement, we could be required to devote our financial resources toward the development of programs subject to the collaboration.</w:t>
      </w:r>
    </w:p>
    <w:p>
      <w:pPr>
        <w:spacing w:after="0" w:line="201"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aldafermin clinical trials we have initiated or plan to initiate include: (1) a 24-week expansion cohort of aldafermin (cohort 4) under our ongoing Phase 2 protocol as a double-blind, placebo-controlled study of once-daily 1 mg aldafermin for the treatment of patients with fibrosis stage F2 or F3 NASH, (2) a Phase 2b clinical trial of aldafermin in a double-blind, placebo-controlled format testing 0.3 mg, 1 mg and 3 mg daily doses of aldafermin for 24 weeks for the treatment of patients with fibrosis stage F2 or F3 NASH and (3) a Phase 2b clinical trial of aldafermin for the treatment of NASH patients with early cirrhosis (F4 stage fibrosis). Significant portions of our research and development resources are focused on these clinical trials and other work needed to prepare aldafermin for regulatory approval for the treatment of NASH, including manufacturing of clinical trial material and preparation for Phase 3 testing of aldafermin in NASH.</w:t>
      </w:r>
    </w:p>
    <w:p>
      <w:pPr>
        <w:spacing w:after="0" w:line="201"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Our NGM313 product candidate has completed single ascending dose and multiple ascending dose Phase 1 testing in overweight or obese but otherwise healthy adults, as well as a Phase 1b study in obese insulin resistant subjects with nonalcoholic fatty liver disease, or NAFLD. Merck exercised its option to license the NGM313 program, and all future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20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have initiated Phase 1 clinical trials for NGM120, NGM217 and NGM621, each of which is subject to reimbursement under our Merck collaboration up to the funding caps provided in the Collaboration Agreement. We recently completed a Phase 1 trial assessing the safety, tolerability and pharmacokinetics of NGM120. Later this year, we are planning to initiate a Phase 1a/1b clinical study with NGM120 in cancer patients to explore its potential to treat cancer anorexia-cachexia syndrome and, possibly, cancer. Merck has a one-time option to license NGM120 following completion of a proof-of-concept study in humans.</w:t>
      </w:r>
    </w:p>
    <w:p>
      <w:pPr>
        <w:spacing w:after="0" w:line="206"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We are also conducting a Phase 1 clinical trial with NGM217 to assess safety and tolerability and to inform dose-range finding for future studies. Thereafter, we plan to commence a Phase 1b/2a proof-of-concept study in diabetic patients to assess the ability of the agent to increase insulin production by the pancreas. Merck has a one-time option to license NGM217 following completion of a proof-of-concept study in humans.</w:t>
      </w:r>
    </w:p>
    <w:p>
      <w:pPr>
        <w:spacing w:after="0" w:line="204" w:lineRule="exact"/>
        <w:rPr>
          <w:sz w:val="20"/>
          <w:szCs w:val="20"/>
          <w:color w:val="auto"/>
        </w:rPr>
      </w:pPr>
    </w:p>
    <w:p>
      <w:pPr>
        <w:jc w:val="both"/>
        <w:ind w:right="40" w:firstLine="518"/>
        <w:spacing w:after="0"/>
        <w:rPr>
          <w:sz w:val="20"/>
          <w:szCs w:val="20"/>
          <w:color w:val="auto"/>
        </w:rPr>
      </w:pPr>
      <w:r>
        <w:rPr>
          <w:rFonts w:ascii="Arial" w:cs="Arial" w:eastAsia="Arial" w:hAnsi="Arial"/>
          <w:sz w:val="18"/>
          <w:szCs w:val="18"/>
          <w:color w:val="auto"/>
        </w:rPr>
        <w:t>We initiated a Phase 1 clinical trial of NGM621 in the second half of 2019. The Phase 1 clinical trial will assess the safety and tolerability of up to two intravitreal injections of NGM621 in patients with the dry form of age-related macular degeneration. Merck has a one-time option to license NGM621 following completion of a proof-of-concept study in humans.</w:t>
      </w:r>
    </w:p>
    <w:p>
      <w:pPr>
        <w:spacing w:after="0" w:line="202"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NGM386 and NGM395 comprise our GDF15 receptor agonist program and both were licensed to Merck at the inception of our collaboration. Substantially all of the related research and development expenses for these programs were borne directly by Merck under our Collaboration Agreement. Merck terminated its license to the GDF15 receptor agonist program effective May 31, 2019, and we regained full rights to NGM386 and NGM395. Following our assessment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8" w:right="259" w:bottom="1440" w:gutter="0" w:footer="0" w:header="0"/>
        </w:sectPr>
      </w:pPr>
    </w:p>
    <w:bookmarkStart w:id="33" w:name="page34"/>
    <w:bookmarkEnd w:id="33"/>
    <w:p>
      <w:pPr>
        <w:jc w:val="both"/>
        <w:ind w:right="620"/>
        <w:spacing w:after="0"/>
        <w:rPr>
          <w:sz w:val="20"/>
          <w:szCs w:val="20"/>
          <w:color w:val="auto"/>
        </w:rPr>
      </w:pPr>
      <w:r>
        <w:rPr>
          <w:rFonts w:ascii="Arial" w:cs="Arial" w:eastAsia="Arial" w:hAnsi="Arial"/>
          <w:sz w:val="18"/>
          <w:szCs w:val="18"/>
          <w:color w:val="auto"/>
        </w:rPr>
        <w:t>of the study results, we decided to suspend activities related to NGM386 to focus on advancing NGM395, a long-acting GDF15 receptor agonist, and expect to advance NGM395 into a Phase 1 safety and tolerability study. As a result, we will continue to incur research and development expenses with respect to NGM395 in the future.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research and development expenses related to the development of aldafermin, NGM313, NGM120, NGM217, NGM621 and</w:t>
      </w:r>
    </w:p>
    <w:p>
      <w:pPr>
        <w:spacing w:after="0"/>
        <w:rPr>
          <w:sz w:val="20"/>
          <w:szCs w:val="20"/>
          <w:color w:val="auto"/>
        </w:rPr>
      </w:pPr>
      <w:r>
        <w:rPr>
          <w:rFonts w:ascii="Arial" w:cs="Arial" w:eastAsia="Arial" w:hAnsi="Arial"/>
          <w:sz w:val="18"/>
          <w:szCs w:val="18"/>
          <w:color w:val="auto"/>
        </w:rPr>
        <w:t>NGM395 consist primarily of:</w:t>
      </w:r>
    </w:p>
    <w:p>
      <w:pPr>
        <w:spacing w:after="0" w:line="103" w:lineRule="exact"/>
        <w:rPr>
          <w:sz w:val="20"/>
          <w:szCs w:val="20"/>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103" w:lineRule="exact"/>
        <w:rPr>
          <w:rFonts w:ascii="Arial" w:cs="Arial" w:eastAsia="Arial" w:hAnsi="Arial"/>
          <w:sz w:val="18"/>
          <w:szCs w:val="18"/>
          <w:color w:val="auto"/>
        </w:rPr>
      </w:pPr>
    </w:p>
    <w:p>
      <w:pPr>
        <w:ind w:left="780" w:right="380" w:hanging="259"/>
        <w:spacing w:after="0" w:line="24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103" w:lineRule="exact"/>
        <w:rPr>
          <w:rFonts w:ascii="Arial" w:cs="Arial" w:eastAsia="Arial" w:hAnsi="Arial"/>
          <w:sz w:val="18"/>
          <w:szCs w:val="18"/>
          <w:color w:val="auto"/>
        </w:rPr>
      </w:pPr>
    </w:p>
    <w:p>
      <w:pPr>
        <w:ind w:left="780" w:right="620" w:hanging="259"/>
        <w:spacing w:after="0" w:line="24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1"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The process of supplying materials for, and conducting,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comparison of research and development expenses for the three and nine months ended September 30, 2019 and</w:t>
      </w:r>
    </w:p>
    <w:p>
      <w:pPr>
        <w:spacing w:after="0"/>
        <w:rPr>
          <w:sz w:val="20"/>
          <w:szCs w:val="20"/>
          <w:color w:val="auto"/>
        </w:rPr>
      </w:pPr>
      <w:r>
        <w:rPr>
          <w:rFonts w:ascii="Arial" w:cs="Arial" w:eastAsia="Arial" w:hAnsi="Arial"/>
          <w:sz w:val="18"/>
          <w:szCs w:val="18"/>
          <w:color w:val="auto"/>
        </w:rPr>
        <w:t>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25"/>
        </w:trPr>
        <w:tc>
          <w:tcPr>
            <w:tcW w:w="5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19"/>
                <w:szCs w:val="19"/>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FF0FC"/>
            </w:tcBorders>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Aldafermin (FGF19 analog)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8,840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6,640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21,554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NGM313 (FGFR1c/KLB agonist)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NGM120 (GFRAL antagonist)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NGM217 (undisclosed)</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NGM621 (C3 inhibitor)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NGM395 (GDF15 analog)</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Total external research and development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Internal and unallocated research and development expenses</w:t>
            </w:r>
            <w:r>
              <w:rPr>
                <w:rFonts w:ascii="Arial" w:cs="Arial" w:eastAsia="Arial" w:hAnsi="Arial"/>
                <w:sz w:val="15"/>
                <w:szCs w:val="15"/>
                <w:color w:val="auto"/>
              </w:rPr>
              <w:t>(1)</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17,926</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14,338</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56,251</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28,953</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24,473</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87,299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77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168" w:lineRule="exact"/>
        <w:rPr>
          <w:sz w:val="20"/>
          <w:szCs w:val="20"/>
          <w:color w:val="auto"/>
        </w:rPr>
      </w:pPr>
    </w:p>
    <w:p>
      <w:pPr>
        <w:ind w:left="520" w:right="580" w:hanging="512"/>
        <w:spacing w:after="0" w:line="245"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Internal and unallocated research and development expenses consist primarily of employee compensation, research supplies and consulting fees, which we deploy across multiple research and development programs.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4" w:name="page35"/>
    <w:bookmarkEnd w:id="34"/>
    <w:p>
      <w:pPr>
        <w:ind w:right="60" w:firstLine="518"/>
        <w:spacing w:after="0" w:line="238"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 cash inflows from these product candidates may commence. This is due to the numerous risks and uncertainties associated with developing drugs, including the uncertainty of:</w:t>
      </w:r>
    </w:p>
    <w:p>
      <w:pPr>
        <w:spacing w:after="0" w:line="96" w:lineRule="exact"/>
        <w:rPr>
          <w:sz w:val="20"/>
          <w:szCs w:val="20"/>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Merck will elect to license or terminate its license to any of our programs and the timing of such election or termination;</w:t>
      </w:r>
    </w:p>
    <w:p>
      <w:pPr>
        <w:spacing w:after="0" w:line="103" w:lineRule="exact"/>
        <w:rPr>
          <w:rFonts w:ascii="Arial" w:cs="Arial" w:eastAsia="Arial" w:hAnsi="Arial"/>
          <w:sz w:val="18"/>
          <w:szCs w:val="18"/>
          <w:color w:val="auto"/>
        </w:rPr>
      </w:pPr>
    </w:p>
    <w:p>
      <w:pPr>
        <w:ind w:left="780" w:right="580" w:hanging="259"/>
        <w:spacing w:after="0" w:line="245"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1"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and timing associated with the development of that product candidate. For example, if the U.S. Food and Drug Administration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5" w:lineRule="exact"/>
        <w:rPr>
          <w:sz w:val="20"/>
          <w:szCs w:val="20"/>
          <w:color w:val="auto"/>
        </w:rPr>
      </w:pPr>
    </w:p>
    <w:p>
      <w:pPr>
        <w:jc w:val="both"/>
        <w:ind w:right="240" w:firstLine="518"/>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202" w:lineRule="exact"/>
        <w:rPr>
          <w:sz w:val="20"/>
          <w:szCs w:val="20"/>
          <w:color w:val="auto"/>
        </w:rPr>
      </w:pPr>
    </w:p>
    <w:p>
      <w:pPr>
        <w:ind w:right="560" w:firstLine="518"/>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2019 and 2018</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and nine months ended September 30,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9"/>
                <w:szCs w:val="19"/>
                <w:color w:val="auto"/>
              </w:rPr>
            </w:pPr>
          </w:p>
        </w:tc>
        <w:tc>
          <w:tcPr>
            <w:tcW w:w="22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2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FF0FC"/>
            </w:tcBorders>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CFF0FC"/>
            </w:tcBorders>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FF0FC"/>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72,461</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61,546</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66,773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29,284</w:t>
            </w:r>
          </w:p>
        </w:tc>
        <w:tc>
          <w:tcPr>
            <w:tcW w:w="2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(12,997)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(8,469)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(32,046)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(17,370)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(10,917)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(7,517)</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(26,854)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(14,658)</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70"/>
              <w:spacing w:after="0"/>
              <w:rPr>
                <w:sz w:val="20"/>
                <w:szCs w:val="20"/>
                <w:color w:val="auto"/>
              </w:rPr>
            </w:pPr>
            <w:r>
              <w:rPr>
                <w:rFonts w:ascii="Arial" w:cs="Arial" w:eastAsia="Arial" w:hAnsi="Arial"/>
                <w:sz w:val="18"/>
                <w:szCs w:val="18"/>
                <w:color w:val="auto"/>
                <w:w w:val="89"/>
              </w:rPr>
              <w:t>33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35" w:name="page36"/>
    <w:bookmarkEnd w:id="35"/>
    <w:p>
      <w:pPr>
        <w:ind w:right="40" w:firstLine="518"/>
        <w:spacing w:after="0" w:line="253" w:lineRule="auto"/>
        <w:rPr>
          <w:sz w:val="20"/>
          <w:szCs w:val="20"/>
          <w:color w:val="auto"/>
        </w:rPr>
      </w:pPr>
      <w:r>
        <w:rPr>
          <w:rFonts w:ascii="Arial" w:cs="Arial" w:eastAsia="Arial" w:hAnsi="Arial"/>
          <w:sz w:val="18"/>
          <w:szCs w:val="18"/>
          <w:b w:val="1"/>
          <w:bCs w:val="1"/>
          <w:i w:val="1"/>
          <w:iCs w:val="1"/>
          <w:color w:val="auto"/>
        </w:rPr>
        <w:t xml:space="preserve">Related Party Revenue. </w:t>
      </w:r>
      <w:r>
        <w:rPr>
          <w:rFonts w:ascii="Arial" w:cs="Arial" w:eastAsia="Arial" w:hAnsi="Arial"/>
          <w:sz w:val="18"/>
          <w:szCs w:val="18"/>
          <w:color w:val="auto"/>
        </w:rPr>
        <w:t>Related party revenue was $21.6 million and $20.8 million for the three months ended September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2018, respectively. The increase of $0.8 million in revenue was primarily attributable to $0.8 million recognized on the adoption of ASC 606 effective January 1, 2019.</w:t>
      </w:r>
    </w:p>
    <w:p>
      <w:pPr>
        <w:spacing w:after="0" w:line="258" w:lineRule="exact"/>
        <w:rPr>
          <w:sz w:val="20"/>
          <w:szCs w:val="20"/>
          <w:color w:val="auto"/>
        </w:rPr>
      </w:pPr>
    </w:p>
    <w:p>
      <w:pPr>
        <w:jc w:val="both"/>
        <w:ind w:right="160" w:firstLine="518"/>
        <w:spacing w:after="0" w:line="238" w:lineRule="auto"/>
        <w:rPr>
          <w:sz w:val="20"/>
          <w:szCs w:val="20"/>
          <w:color w:val="auto"/>
        </w:rPr>
      </w:pPr>
      <w:r>
        <w:rPr>
          <w:rFonts w:ascii="Arial" w:cs="Arial" w:eastAsia="Arial" w:hAnsi="Arial"/>
          <w:sz w:val="18"/>
          <w:szCs w:val="18"/>
          <w:color w:val="auto"/>
        </w:rPr>
        <w:t>For the nine months ended September 30, 2019 and 2018, related party revenue was $72.5 million and $61.5 million, respectively. The increase of $10.9 million in revenue was primarily due to $2.7 million recognized on the adoption of ASC 606 effective January 1, 2019, $4.0 million for increased reimbursable research personnel costs, $4.1 million increase in reimbursable research and development costs and $0.1 million for increased costs associated with maintaining our intellectual property rights.</w:t>
      </w:r>
    </w:p>
    <w:p>
      <w:pPr>
        <w:spacing w:after="0" w:line="182" w:lineRule="exact"/>
        <w:rPr>
          <w:sz w:val="20"/>
          <w:szCs w:val="20"/>
          <w:color w:val="auto"/>
        </w:rPr>
      </w:pPr>
    </w:p>
    <w:p>
      <w:pPr>
        <w:ind w:right="40" w:firstLine="518"/>
        <w:spacing w:after="0" w:line="241"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$29.0 million and $24.5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2019 and 2018, respectively. The increase in research and development expenses of $4.5 million was primarily attributable to an increase of $3.6 million in unallocated research and development expenses primarily related to hiring and personnel-related expenses and early research testing and $2.2 million in external expenses primarily related to ongoing clinical trials related to our aldafermin program. These increases were partially offset by a decrease of $1.3 million in other program external expenses resulting from timing of clinical trial activities and lower manufacturing expenses.</w:t>
      </w:r>
    </w:p>
    <w:p>
      <w:pPr>
        <w:spacing w:after="0" w:line="20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For the nine months ended September 30, 2019 and 2018, research and development expenses were $ 87.3 million and $66.8 million, respectively. The increase in research and development expenses of $20.5 million was primarily attributable to an increase of $12.1 million in unallocated research and development expenses primarily related to hiring and personnel-related expenses and early research testing, $3.0 million for the acquisition of clinical trial materials and $6.5 million in external expenses primarily related to ongoing and recently initiated clinical trials for our aldafermin, NGM120 and NGM621 programs. These increases were partially offset by a decrease of $ 1.1 million in other program external expenses resulting from timing of clinical trial activities and lower manufacturing expenses. We expect our research and development expenses to increase substantially in connection with our ongoing activities, particularly to the extent that product candidates whose costs are not borne by our collaborator, such as aldafermin and NGM395, advance in clinical development.</w:t>
      </w:r>
    </w:p>
    <w:p>
      <w:pPr>
        <w:spacing w:after="0" w:line="184" w:lineRule="exact"/>
        <w:rPr>
          <w:sz w:val="20"/>
          <w:szCs w:val="20"/>
          <w:color w:val="auto"/>
        </w:rPr>
      </w:pPr>
    </w:p>
    <w:p>
      <w:pPr>
        <w:jc w:val="both"/>
        <w:ind w:right="40" w:firstLine="518"/>
        <w:spacing w:after="0" w:line="24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$5.6 million and $4.8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2019 and 2018, respectively. The increase in general and administrative expenses of $0.8 million was primarily driven by an increase of $0.4 million in personnel-related expenses and $0.5 million for consulting expenses, partially offset by a decrease of $0.1 million for legal and accounting expenses.</w:t>
      </w:r>
    </w:p>
    <w:p>
      <w:pPr>
        <w:spacing w:after="0" w:line="19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For the nine months ended September 30, 2019 and 2018, general and administrative expenses were $17.2 million and $12.1 million, respectively. The increase in general and administrative expenses of $5.1 million was primarily due to an increase of $2.2 million in personnel-related expenses, $1.4 million for legal and accounting expenses and $1.5 million for consulting expenses. We anticipate general and administrative expenses will increase with expansion of support resources.</w:t>
      </w:r>
    </w:p>
    <w:p>
      <w:pPr>
        <w:spacing w:after="0" w:line="182" w:lineRule="exact"/>
        <w:rPr>
          <w:sz w:val="20"/>
          <w:szCs w:val="20"/>
          <w:color w:val="auto"/>
        </w:rPr>
      </w:pPr>
    </w:p>
    <w:p>
      <w:pPr>
        <w:ind w:right="160" w:firstLine="518"/>
        <w:spacing w:after="0" w:line="246"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$2.0 million and $1.0 million for the three months ended September 30, 2019 and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and $5.1 million and $2.6 million for the nine months ended September 30, 2019 and 2018, respectively. The increase in interest income was primarily attributable to higher yields on our available-for-sale marketable securities and an increase in our cash and investments balance subsequent to the completion of our IPO in April 2019.</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3" w:right="25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incurred losses and negative cash flows from operating activities since our inception. As of September 30, 2019, our operations</w:t>
      </w:r>
    </w:p>
    <w:p>
      <w:pPr>
        <w:spacing w:after="0" w:line="234" w:lineRule="auto"/>
        <w:rPr>
          <w:sz w:val="20"/>
          <w:szCs w:val="20"/>
          <w:color w:val="auto"/>
        </w:rPr>
      </w:pPr>
      <w:r>
        <w:rPr>
          <w:rFonts w:ascii="Arial" w:cs="Arial" w:eastAsia="Arial" w:hAnsi="Arial"/>
          <w:sz w:val="18"/>
          <w:szCs w:val="18"/>
          <w:color w:val="auto"/>
        </w:rPr>
        <w:t>have been financed primarily through the private placement of convertible preferred stock totaling $295.1 million, upfront license fees paid by</w:t>
      </w:r>
    </w:p>
    <w:p>
      <w:pPr>
        <w:spacing w:after="0" w:line="235" w:lineRule="auto"/>
        <w:rPr>
          <w:sz w:val="20"/>
          <w:szCs w:val="20"/>
          <w:color w:val="auto"/>
        </w:rPr>
      </w:pPr>
      <w:r>
        <w:rPr>
          <w:rFonts w:ascii="Arial" w:cs="Arial" w:eastAsia="Arial" w:hAnsi="Arial"/>
          <w:sz w:val="18"/>
          <w:szCs w:val="18"/>
          <w:color w:val="auto"/>
        </w:rPr>
        <w:t>collaboration partners of $123.0 million, the license of NGM313 and related compounds to Merck for $20.0 million and research and</w:t>
      </w:r>
    </w:p>
    <w:p>
      <w:pPr>
        <w:spacing w:after="0" w:line="234" w:lineRule="auto"/>
        <w:rPr>
          <w:sz w:val="20"/>
          <w:szCs w:val="20"/>
          <w:color w:val="auto"/>
        </w:rPr>
      </w:pPr>
      <w:r>
        <w:rPr>
          <w:rFonts w:ascii="Arial" w:cs="Arial" w:eastAsia="Arial" w:hAnsi="Arial"/>
          <w:sz w:val="18"/>
          <w:szCs w:val="18"/>
          <w:color w:val="auto"/>
        </w:rPr>
        <w:t>development service fees provided by collaboration partners, primarily Merck, of $303.3 million. In April 2019, we completed our IPO and</w:t>
      </w:r>
    </w:p>
    <w:p>
      <w:pPr>
        <w:spacing w:after="0" w:line="235" w:lineRule="auto"/>
        <w:rPr>
          <w:sz w:val="20"/>
          <w:szCs w:val="20"/>
          <w:color w:val="auto"/>
        </w:rPr>
      </w:pPr>
      <w:r>
        <w:rPr>
          <w:rFonts w:ascii="Arial" w:cs="Arial" w:eastAsia="Arial" w:hAnsi="Arial"/>
          <w:sz w:val="18"/>
          <w:szCs w:val="18"/>
          <w:color w:val="auto"/>
        </w:rPr>
        <w:t>issued an aggregate of 7,521,394 shares of common stock, which included 6,666,667 shares of common shares and 854,727 shares of</w:t>
      </w:r>
    </w:p>
    <w:p>
      <w:pPr>
        <w:spacing w:after="0" w:line="235" w:lineRule="auto"/>
        <w:rPr>
          <w:sz w:val="20"/>
          <w:szCs w:val="20"/>
          <w:color w:val="auto"/>
        </w:rPr>
      </w:pPr>
      <w:r>
        <w:rPr>
          <w:rFonts w:ascii="Arial" w:cs="Arial" w:eastAsia="Arial" w:hAnsi="Arial"/>
          <w:sz w:val="18"/>
          <w:szCs w:val="18"/>
          <w:color w:val="auto"/>
        </w:rPr>
        <w:t>common stock sold pursuant to the underwriters’ exercise of their option to purchase additional shares, at an offering price of $16.00 per share.</w:t>
      </w:r>
    </w:p>
    <w:p>
      <w:pPr>
        <w:spacing w:after="0" w:line="234" w:lineRule="auto"/>
        <w:rPr>
          <w:sz w:val="20"/>
          <w:szCs w:val="20"/>
          <w:color w:val="auto"/>
        </w:rPr>
      </w:pPr>
      <w:r>
        <w:rPr>
          <w:rFonts w:ascii="Arial" w:cs="Arial" w:eastAsia="Arial" w:hAnsi="Arial"/>
          <w:sz w:val="18"/>
          <w:szCs w:val="18"/>
          <w:color w:val="auto"/>
        </w:rPr>
        <w:t>We received $107.8 million, net of underwriting discounts, commissions and offering expenses. We concurrently completed a private placement</w:t>
      </w:r>
    </w:p>
    <w:p>
      <w:pPr>
        <w:spacing w:after="0" w:line="235" w:lineRule="auto"/>
        <w:rPr>
          <w:sz w:val="20"/>
          <w:szCs w:val="20"/>
          <w:color w:val="auto"/>
        </w:rPr>
      </w:pPr>
      <w:r>
        <w:rPr>
          <w:rFonts w:ascii="Arial" w:cs="Arial" w:eastAsia="Arial" w:hAnsi="Arial"/>
          <w:sz w:val="18"/>
          <w:szCs w:val="18"/>
          <w:color w:val="auto"/>
        </w:rPr>
        <w:t>of 4,121,683 common shares to Merck at a price of $16.00 per share, for proceeds of $65.9 million. As of September 30, 2019, we had cash</w:t>
      </w:r>
    </w:p>
    <w:p>
      <w:pPr>
        <w:spacing w:after="0" w:line="234" w:lineRule="auto"/>
        <w:rPr>
          <w:sz w:val="20"/>
          <w:szCs w:val="20"/>
          <w:color w:val="auto"/>
        </w:rPr>
      </w:pPr>
      <w:r>
        <w:rPr>
          <w:rFonts w:ascii="Arial" w:cs="Arial" w:eastAsia="Arial" w:hAnsi="Arial"/>
          <w:sz w:val="18"/>
          <w:szCs w:val="18"/>
          <w:color w:val="auto"/>
        </w:rPr>
        <w:t>and cash equivalents of $303.0 million, short-term marketable securities of $53.6 million, working capital (excluding deferred revenue) of</w:t>
      </w:r>
    </w:p>
    <w:p>
      <w:pPr>
        <w:spacing w:after="0" w:line="235" w:lineRule="auto"/>
        <w:rPr>
          <w:sz w:val="20"/>
          <w:szCs w:val="20"/>
          <w:color w:val="auto"/>
        </w:rPr>
      </w:pPr>
      <w:r>
        <w:rPr>
          <w:rFonts w:ascii="Arial" w:cs="Arial" w:eastAsia="Arial" w:hAnsi="Arial"/>
          <w:sz w:val="18"/>
          <w:szCs w:val="18"/>
          <w:color w:val="auto"/>
        </w:rPr>
        <w:t>$338.5 million and an accumulated deficit of $180.2 million, compared to cash and cash equivalents of $56.9 million, short-term marketable</w:t>
      </w:r>
    </w:p>
    <w:p>
      <w:pPr>
        <w:spacing w:after="0" w:line="235" w:lineRule="auto"/>
        <w:rPr>
          <w:sz w:val="20"/>
          <w:szCs w:val="20"/>
          <w:color w:val="auto"/>
        </w:rPr>
      </w:pPr>
      <w:r>
        <w:rPr>
          <w:rFonts w:ascii="Arial" w:cs="Arial" w:eastAsia="Arial" w:hAnsi="Arial"/>
          <w:sz w:val="18"/>
          <w:szCs w:val="18"/>
          <w:color w:val="auto"/>
        </w:rPr>
        <w:t>securities of $149.7 million, working capital (excluding deferred revenue) of $192.1 million and an accumulated deficit of $147.2 million at</w:t>
      </w:r>
    </w:p>
    <w:p>
      <w:pPr>
        <w:spacing w:after="0"/>
        <w:rPr>
          <w:sz w:val="20"/>
          <w:szCs w:val="20"/>
          <w:color w:val="auto"/>
        </w:rPr>
      </w:pPr>
      <w:r>
        <w:rPr>
          <w:rFonts w:ascii="Arial" w:cs="Arial" w:eastAsia="Arial" w:hAnsi="Arial"/>
          <w:sz w:val="18"/>
          <w:szCs w:val="18"/>
          <w:color w:val="auto"/>
        </w:rPr>
        <w:t>December 31, 2018.</w:t>
      </w:r>
    </w:p>
    <w:p>
      <w:pPr>
        <w:spacing w:after="0" w:line="211"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expand our corporate infrastructure, including the costs associated with being a public company, and conduct pre-commercialization activities. We will require substantial additional capital to achieve our development and commercialization goals for our wholly-owned programs, aldafermin and NGM395, for any future programs that Merck does not opt to license under the Collaboration Agreement and that we choose to develop, for any Merck licensed programs that we opt to co-develop, and for any programs that Merck chooses to license under the Collaboration Agreement and later elects to terminate. If our Merck collaboration were to be terminated, we could require significant additional capital in order to proceed with development and commercialization of our product candidates, or we may require additional partnering in order to help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assure you that financing will be available in the amounts we need or on terms acceptable to us,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211" w:lineRule="exact"/>
        <w:rPr>
          <w:sz w:val="20"/>
          <w:szCs w:val="20"/>
          <w:color w:val="auto"/>
        </w:rPr>
      </w:pPr>
    </w:p>
    <w:p>
      <w:pPr>
        <w:ind w:right="280" w:firstLine="518"/>
        <w:spacing w:after="0" w:line="238" w:lineRule="auto"/>
        <w:rPr>
          <w:sz w:val="20"/>
          <w:szCs w:val="20"/>
          <w:color w:val="auto"/>
        </w:rPr>
      </w:pPr>
      <w:r>
        <w:rPr>
          <w:rFonts w:ascii="Arial" w:cs="Arial" w:eastAsia="Arial" w:hAnsi="Arial"/>
          <w:sz w:val="18"/>
          <w:szCs w:val="18"/>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Flows</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2019 and 2018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CFF0FC"/>
            </w:tcBorders>
            <w:vMerge w:val="continue"/>
          </w:tcPr>
          <w:p>
            <w:pPr>
              <w:spacing w:after="0"/>
              <w:rPr>
                <w:sz w:val="18"/>
                <w:szCs w:val="18"/>
                <w:color w:val="auto"/>
              </w:rPr>
            </w:pPr>
          </w:p>
        </w:tc>
        <w:tc>
          <w:tcPr>
            <w:tcW w:w="33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3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(26,573)</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3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95,113</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33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177,178</w:t>
            </w:r>
          </w:p>
        </w:tc>
        <w:tc>
          <w:tcPr>
            <w:tcW w:w="2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245,718</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bottom w:val="single" w:sz="8" w:color="CFF0FC"/>
            </w:tcBorders>
            <w:vMerge w:val="restart"/>
          </w:tcPr>
          <w:p>
            <w:pPr>
              <w:jc w:val="right"/>
              <w:ind w:right="1930"/>
              <w:spacing w:after="0"/>
              <w:rPr>
                <w:sz w:val="20"/>
                <w:szCs w:val="20"/>
                <w:color w:val="auto"/>
              </w:rPr>
            </w:pPr>
            <w:r>
              <w:rPr>
                <w:rFonts w:ascii="Arial" w:cs="Arial" w:eastAsia="Arial" w:hAnsi="Arial"/>
                <w:sz w:val="18"/>
                <w:szCs w:val="18"/>
                <w:color w:val="auto"/>
              </w:rPr>
              <w:t>35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2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During the nine months ended September 30, 2019, cash used in operating activities was $26.6 million, which consisted of a net loss of $26.9 million, adjusted for non-cash charges of $14.3 million and cash used through changes in operating assets and liabilities of $14.0 million. The non-cash charges consisted primarily of stock-based compensation expense of $ 9.4 million and depreciation expense of $5.8 million. The change in operating assets and liabilities was primarily due to a decrease in accounts receivable from related party collaboration revenue of $3.7 million, increase in prepaid expenses and other current assets of $4.3 million, decrease in accounts payable of $1.3 million, increase in accrued expenses and other liabilities of $4.4 million and decreases in deferred rent and deferred revenue of $2.0 million and $ 14.5 million, respectively. The decrease in deferred revenue is primarily attributed to changes in revenue from the adoption of ASC 606 and the timing of advance payments from Merck related to the reimbursement of costs associated with research and development activities.</w:t>
      </w:r>
    </w:p>
    <w:p>
      <w:pPr>
        <w:spacing w:after="0" w:line="20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During the nine months ended September 30, 2018, cash used in operating activities was $14.6 million, which consisted of a net loss of $14.7 million, adjusted for non-cash charges of $14.3 million and cash used through changes in operating assets and liabilities of $14.2 million. The non-cash charges consisted primarily of stock-based compensation expense of $7.4 million, early exercised stock options of $1.9 million and depreciation expense of $5.3 million. The change in operating assets and liabilities was primarily due to a decrease in deferred revenue of $13.8 million due to the recognition of upfront license fees from Merck and the timing of advance payments from Merck related to the reimbursement of costs associated with research and development activities. This was partially offset by an increase in accounts payable of $1.0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2019, cash provided by investing activities was $95.1 million, which consisted of</w:t>
      </w:r>
    </w:p>
    <w:p>
      <w:pPr>
        <w:spacing w:after="0" w:line="234" w:lineRule="auto"/>
        <w:rPr>
          <w:sz w:val="20"/>
          <w:szCs w:val="20"/>
          <w:color w:val="auto"/>
        </w:rPr>
      </w:pPr>
      <w:r>
        <w:rPr>
          <w:rFonts w:ascii="Arial" w:cs="Arial" w:eastAsia="Arial" w:hAnsi="Arial"/>
          <w:sz w:val="18"/>
          <w:szCs w:val="18"/>
          <w:color w:val="auto"/>
        </w:rPr>
        <w:t>$172.7 million in proceeds from the maturities of marketable securities, partially offset by purchases of marketable securities of $75.2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purchases of property and equipment of $2.4 million.</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2018, cash provided by investing activities was $35.2 million, which consisted of</w:t>
      </w:r>
    </w:p>
    <w:p>
      <w:pPr>
        <w:spacing w:after="0" w:line="234" w:lineRule="auto"/>
        <w:rPr>
          <w:sz w:val="20"/>
          <w:szCs w:val="20"/>
          <w:color w:val="auto"/>
        </w:rPr>
      </w:pPr>
      <w:r>
        <w:rPr>
          <w:rFonts w:ascii="Arial" w:cs="Arial" w:eastAsia="Arial" w:hAnsi="Arial"/>
          <w:sz w:val="18"/>
          <w:szCs w:val="18"/>
          <w:color w:val="auto"/>
        </w:rPr>
        <w:t>$143.9 million in proceeds from the maturities of marketable securities, partially offset by purchases of marketable securities of $103.0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purchases of property and equipment of $5.7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25" w:lineRule="exact"/>
        <w:rPr>
          <w:sz w:val="20"/>
          <w:szCs w:val="20"/>
          <w:color w:val="auto"/>
        </w:rPr>
      </w:pPr>
    </w:p>
    <w:p>
      <w:pPr>
        <w:ind w:right="360" w:firstLine="518"/>
        <w:spacing w:after="0" w:line="237" w:lineRule="auto"/>
        <w:rPr>
          <w:sz w:val="20"/>
          <w:szCs w:val="20"/>
          <w:color w:val="auto"/>
        </w:rPr>
      </w:pPr>
      <w:r>
        <w:rPr>
          <w:rFonts w:ascii="Arial" w:cs="Arial" w:eastAsia="Arial" w:hAnsi="Arial"/>
          <w:sz w:val="18"/>
          <w:szCs w:val="18"/>
          <w:color w:val="auto"/>
        </w:rPr>
        <w:t>During the nine months ended September 30, 2019, cash provided by financing activities was $177.2 million, which consisted of net proceeds from issuance of common stock upon completion of our IPO of $110.1 million, issuance of common stock upon completion of the private placement with Merck of $65.9 million and the issuance of common stock upon the exercise of previously granted stock options of $1.2 million. The net proceeds from the completion of the IPO of $110.1 million were comprised of our proceeds of $ 111.9 million, after deducting underwriting discounts and commissions, less offering expenses of $4.1 million, of which $2.3 million was paid in 2018.</w:t>
      </w:r>
    </w:p>
    <w:p>
      <w:pPr>
        <w:spacing w:after="0" w:line="206" w:lineRule="exact"/>
        <w:rPr>
          <w:sz w:val="20"/>
          <w:szCs w:val="20"/>
          <w:color w:val="auto"/>
        </w:rPr>
      </w:pPr>
    </w:p>
    <w:p>
      <w:pPr>
        <w:jc w:val="both"/>
        <w:ind w:right="80" w:firstLine="518"/>
        <w:spacing w:after="0"/>
        <w:rPr>
          <w:sz w:val="20"/>
          <w:szCs w:val="20"/>
          <w:color w:val="auto"/>
        </w:rPr>
      </w:pPr>
      <w:r>
        <w:rPr>
          <w:rFonts w:ascii="Arial" w:cs="Arial" w:eastAsia="Arial" w:hAnsi="Arial"/>
          <w:sz w:val="18"/>
          <w:szCs w:val="18"/>
          <w:color w:val="auto"/>
        </w:rPr>
        <w:t>During the nine months ended September 30, 2018, cash provided by financing activities was $1.3 million, which consisted of proceeds from the issuance of common stock upon the exercise of previously granted stock options of $2.2 million less repurchases of common stock of $0.2 million and deferred IPO costs of $0.7 million.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w:t>
      </w:r>
    </w:p>
    <w:p>
      <w:pPr>
        <w:spacing w:after="0" w:line="233" w:lineRule="exact"/>
        <w:rPr>
          <w:sz w:val="20"/>
          <w:szCs w:val="20"/>
          <w:color w:val="auto"/>
        </w:rPr>
      </w:pPr>
    </w:p>
    <w:p>
      <w:pPr>
        <w:jc w:val="both"/>
        <w:ind w:firstLine="518"/>
        <w:spacing w:after="0"/>
        <w:rPr>
          <w:sz w:val="20"/>
          <w:szCs w:val="20"/>
          <w:color w:val="auto"/>
        </w:rPr>
      </w:pPr>
      <w:r>
        <w:rPr>
          <w:rFonts w:ascii="Arial" w:cs="Arial" w:eastAsia="Arial" w:hAnsi="Arial"/>
          <w:sz w:val="18"/>
          <w:szCs w:val="18"/>
          <w:color w:val="auto"/>
        </w:rPr>
        <w:t>We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1" w:right="2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33" w:lineRule="exact"/>
        <w:rPr>
          <w:sz w:val="20"/>
          <w:szCs w:val="20"/>
          <w:color w:val="auto"/>
        </w:rPr>
      </w:pPr>
    </w:p>
    <w:p>
      <w:pPr>
        <w:ind w:right="600" w:firstLine="518"/>
        <w:spacing w:after="0"/>
        <w:rPr>
          <w:sz w:val="20"/>
          <w:szCs w:val="20"/>
          <w:color w:val="auto"/>
        </w:rPr>
      </w:pPr>
      <w:r>
        <w:rPr>
          <w:rFonts w:ascii="Arial" w:cs="Arial" w:eastAsia="Arial" w:hAnsi="Arial"/>
          <w:sz w:val="18"/>
          <w:szCs w:val="18"/>
          <w:color w:val="auto"/>
        </w:rPr>
        <w:t>Our principal obligations consist of the operating lease for our facilities and non-cancelable purchase commitments with contract manufacturers or service providers. The following table sets out, as of September 30, 2019, our contractual obligations due by period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9"/>
              </w:rPr>
              <w:t>Payments due by period</w:t>
            </w: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0"/>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420"/>
              <w:spacing w:after="0" w:line="200" w:lineRule="exact"/>
              <w:rPr>
                <w:sz w:val="20"/>
                <w:szCs w:val="20"/>
                <w:color w:val="auto"/>
              </w:rPr>
            </w:pPr>
            <w:r>
              <w:rPr>
                <w:rFonts w:ascii="Arial" w:cs="Arial" w:eastAsia="Arial" w:hAnsi="Arial"/>
                <w:sz w:val="18"/>
                <w:szCs w:val="18"/>
                <w:b w:val="1"/>
                <w:bCs w:val="1"/>
                <w:color w:val="auto"/>
                <w:w w:val="99"/>
              </w:rPr>
              <w:t>Less than</w:t>
            </w:r>
          </w:p>
        </w:tc>
        <w:tc>
          <w:tcPr>
            <w:tcW w:w="260" w:type="dxa"/>
            <w:vAlign w:val="bottom"/>
          </w:tcPr>
          <w:p>
            <w:pPr>
              <w:spacing w:after="0"/>
              <w:rPr>
                <w:sz w:val="17"/>
                <w:szCs w:val="17"/>
                <w:color w:val="auto"/>
              </w:rPr>
            </w:pPr>
          </w:p>
        </w:tc>
        <w:tc>
          <w:tcPr>
            <w:tcW w:w="1280" w:type="dxa"/>
            <w:vAlign w:val="bottom"/>
            <w:gridSpan w:val="2"/>
          </w:tcPr>
          <w:p>
            <w:pPr>
              <w:ind w:left="140"/>
              <w:spacing w:after="0" w:line="200" w:lineRule="exact"/>
              <w:rPr>
                <w:sz w:val="20"/>
                <w:szCs w:val="20"/>
                <w:color w:val="auto"/>
              </w:rPr>
            </w:pPr>
            <w:r>
              <w:rPr>
                <w:rFonts w:ascii="Arial" w:cs="Arial" w:eastAsia="Arial" w:hAnsi="Arial"/>
                <w:sz w:val="18"/>
                <w:szCs w:val="18"/>
                <w:b w:val="1"/>
                <w:bCs w:val="1"/>
                <w:color w:val="auto"/>
              </w:rPr>
              <w:t>1 to 3</w:t>
            </w:r>
          </w:p>
        </w:tc>
        <w:tc>
          <w:tcPr>
            <w:tcW w:w="260" w:type="dxa"/>
            <w:vAlign w:val="bottom"/>
          </w:tcPr>
          <w:p>
            <w:pPr>
              <w:spacing w:after="0"/>
              <w:rPr>
                <w:sz w:val="17"/>
                <w:szCs w:val="17"/>
                <w:color w:val="auto"/>
              </w:rPr>
            </w:pPr>
          </w:p>
        </w:tc>
        <w:tc>
          <w:tcPr>
            <w:tcW w:w="1040" w:type="dxa"/>
            <w:vAlign w:val="bottom"/>
          </w:tcPr>
          <w:p>
            <w:pPr>
              <w:jc w:val="center"/>
              <w:ind w:right="170"/>
              <w:spacing w:after="0" w:line="200" w:lineRule="exact"/>
              <w:rPr>
                <w:sz w:val="20"/>
                <w:szCs w:val="20"/>
                <w:color w:val="auto"/>
              </w:rPr>
            </w:pPr>
            <w:r>
              <w:rPr>
                <w:rFonts w:ascii="Arial" w:cs="Arial" w:eastAsia="Arial" w:hAnsi="Arial"/>
                <w:sz w:val="18"/>
                <w:szCs w:val="18"/>
                <w:b w:val="1"/>
                <w:bCs w:val="1"/>
                <w:color w:val="auto"/>
                <w:w w:val="97"/>
              </w:rPr>
              <w:t>4 to 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460"/>
              <w:spacing w:after="0" w:line="200" w:lineRule="exact"/>
              <w:rPr>
                <w:sz w:val="20"/>
                <w:szCs w:val="20"/>
                <w:color w:val="auto"/>
              </w:rPr>
            </w:pPr>
            <w:r>
              <w:rPr>
                <w:rFonts w:ascii="Arial" w:cs="Arial" w:eastAsia="Arial" w:hAnsi="Arial"/>
                <w:sz w:val="18"/>
                <w:szCs w:val="18"/>
                <w:b w:val="1"/>
                <w:bCs w:val="1"/>
                <w:color w:val="auto"/>
                <w:w w:val="97"/>
              </w:rPr>
              <w:t>More than</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1 year</w:t>
            </w:r>
          </w:p>
        </w:tc>
        <w:tc>
          <w:tcPr>
            <w:tcW w:w="26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19"/>
                <w:szCs w:val="19"/>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years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5 years</w:t>
            </w:r>
          </w:p>
        </w:tc>
        <w:tc>
          <w:tcPr>
            <w:tcW w:w="26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4,958</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15,773</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22,115</w:t>
            </w:r>
          </w:p>
        </w:tc>
        <w:tc>
          <w:tcPr>
            <w:tcW w:w="120" w:type="dxa"/>
            <w:vAlign w:val="bottom"/>
          </w:tcPr>
          <w:p>
            <w:pPr>
              <w:spacing w:after="0"/>
              <w:rPr>
                <w:sz w:val="18"/>
                <w:szCs w:val="18"/>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22,115</w:t>
            </w:r>
          </w:p>
        </w:tc>
        <w:tc>
          <w:tcPr>
            <w:tcW w:w="120" w:type="dxa"/>
            <w:vAlign w:val="bottom"/>
            <w:shd w:val="clear" w:color="auto" w:fill="CFF0FC"/>
          </w:tcPr>
          <w:p>
            <w:pPr>
              <w:spacing w:after="0"/>
              <w:rPr>
                <w:sz w:val="18"/>
                <w:szCs w:val="18"/>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77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168" w:lineRule="exact"/>
        <w:rPr>
          <w:sz w:val="20"/>
          <w:szCs w:val="20"/>
          <w:color w:val="auto"/>
        </w:rPr>
      </w:pPr>
    </w:p>
    <w:p>
      <w:pPr>
        <w:ind w:left="520" w:right="520" w:hanging="512"/>
        <w:spacing w:after="0" w:line="245"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our corporate headquarters lease encompassing approximately 122,000 square feet of office and laboratory space that expires in December 2023.</w:t>
      </w:r>
    </w:p>
    <w:p>
      <w:pPr>
        <w:spacing w:after="0" w:line="198"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and with vendors for preclinical studies and other services and products for operating purposes that are cancelable at any time by us, generally upon 30 days’ prior written notice. These payments are not included in this table of contractual obligations.</w:t>
      </w:r>
    </w:p>
    <w:p>
      <w:pPr>
        <w:spacing w:after="0" w:line="202"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cash, cash equivalents and marketable securities as of September 30, 2019 consisted of readily available checking and money market funds, as well as available-for-sale securities. Our 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We do not believe that our cash, cash equivalents or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at one or more financial institutions that are in excess of federally insured limits.</w:t>
      </w:r>
    </w:p>
    <w:p>
      <w:pPr>
        <w:spacing w:after="0" w:line="204"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We are also exposed to market risk related to changes in foreign currency exchange rates, mainly relating to our Australian subsidiary. In addition, we contract with vendors that are located in Asia and Europe, and the payments under such contracts are denominated in foreign currencies. We are subject to fluctuations in foreign currency rates in connection with these agreements. We do not currently hedge our foreign currency exchange rate risk. As of September 30, 2019 and December 31, 2018, our liabilities denominated in foreign currencies were not material. A 10% increase or decrease in current exchange rates would not have a material effect on our financial results.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3"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generally accepted accounting principles, or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06"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Our significant accounting policies are described in Note 2 to our condensed consolidated financial statements appearing elsewhere in this quarterly report. We believe that the following accounting policies are the most critical for fully understanding and evaluating our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On January 1, 2019, we adopted ASU 2014-09, Revenue from Contracts with Customers (Topic 606), and subsequent amendments, using the modified retrospective transition method applied to those contracts that were not completed as of January 1, 2019. ASC 606 supersedes all prior revenue recognition guidance. Results for operating periods beginning after January 1, 2019 are presented under ASC 606, while prior period amounts have not been adjusted and continue to be reported in accordance with previous accounting rules under ASC 605.</w:t>
      </w:r>
    </w:p>
    <w:p>
      <w:pPr>
        <w:spacing w:after="0" w:line="20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core principle in ASC 606 requires an entity to recognize revenue upon the transfer of goods or services to customers in an amount that reflects the consideration to which the entity expects to be entitled in exchange for those goods or services. We apply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we satisfy a performance obligation.</w:t>
      </w:r>
    </w:p>
    <w:p>
      <w:pPr>
        <w:spacing w:after="0" w:line="20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All of our revenue to date has been generated from our collaboration agreements, primarily our Collaboration Agreement. The terms of these agreements generally require us to provide (i) license options for our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w:t>
      </w:r>
    </w:p>
    <w:p>
      <w:pPr>
        <w:spacing w:after="0" w:line="206"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We assess whether the promises in our arrangements, including any options provided to the customer, are considered distinct performance obligations that should be accounted for separately. Judgment is required to determine whether the license to a compound is distinct from research and development services or participation in steering committees, as well as whether options create material rights in the contract.</w:t>
      </w:r>
    </w:p>
    <w:p>
      <w:pPr>
        <w:spacing w:after="0" w:line="204"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variable consideration related to the performance of research and development services. We typically submit a budget for the research and development services to the customer in advance of performing the services. The transaction price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We utilize judgment to assess the nature of our performance obligations to determine whether they are satisfied over time or at a point in time and, if over time, the appropriate method of measuring progress toward completion. We evaluate the measure of progress each reporting period and, if necessary, adjust the measure of performance and related revenue recognition.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8" w:right="279" w:bottom="1440" w:gutter="0" w:footer="0" w:header="0"/>
        </w:sectPr>
      </w:pPr>
    </w:p>
    <w:bookmarkStart w:id="40" w:name="page41"/>
    <w:bookmarkEnd w:id="40"/>
    <w:p>
      <w:pPr>
        <w:ind w:firstLine="518"/>
        <w:spacing w:after="0" w:line="236" w:lineRule="auto"/>
        <w:rPr>
          <w:sz w:val="20"/>
          <w:szCs w:val="20"/>
          <w:color w:val="auto"/>
        </w:rPr>
      </w:pPr>
      <w:r>
        <w:rPr>
          <w:rFonts w:ascii="Arial" w:cs="Arial" w:eastAsia="Arial" w:hAnsi="Arial"/>
          <w:sz w:val="18"/>
          <w:szCs w:val="18"/>
          <w:color w:val="auto"/>
        </w:rPr>
        <w:t>Our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we 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or our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of achievement of each such milestone and any related constraint and, if necessary, adjust our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202"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Prior to the adoption of ASC 606, our revenue from collaboration agreements was recognized when we determined that persuasive evidence of an arrangement exists, services had been rendered, the price was fixed or determinable and collectability was reasonably assured. We would record amounts received prior to satisfying the above revenue recognition criteria as deferred revenue until all applicable revenue recognition criteria were met. Revenue allocated to research activities was generally recognized in the period the services were performed, and revenue allocated to licenses was generally recognized on a straight-line basis over the contractual term. Allocations to non-contingent elements were based on the relative selling price of each element using vendor-specific objective evidence or third-party evidence, where available. In the absence of either of these measures, we used the best estimate of selling price for that deliverable.</w:t>
      </w:r>
    </w:p>
    <w:p>
      <w:pPr>
        <w:spacing w:after="0" w:line="201"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most significant change to our policies upon the adoption of ASC 606 is the estimation of an arrangement’s total transaction price, which would include any variable consideration and the recognition of that transaction price based on a cost-based input method that requires significant estimates to determine, at each reporting period, the percentage of completion based on the estimated total effort required to complete the project and the total transaction price. Given the differences in revenue recognition policies, the revenue recognized in prior years is not strictly comparable to revenue recorded in the quarter ending September 30, 2019 or in future periods (see Recently Adopted Accounting Pronouncements in the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5" w:lineRule="exact"/>
        <w:rPr>
          <w:sz w:val="20"/>
          <w:szCs w:val="20"/>
          <w:color w:val="auto"/>
        </w:rPr>
      </w:pPr>
    </w:p>
    <w:p>
      <w:pPr>
        <w:ind w:right="500" w:firstLine="518"/>
        <w:spacing w:after="0" w:line="245"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are research and development expenses. This process involves:</w:t>
      </w:r>
    </w:p>
    <w:p>
      <w:pPr>
        <w:spacing w:after="0" w:line="90" w:lineRule="exact"/>
        <w:rPr>
          <w:sz w:val="20"/>
          <w:szCs w:val="20"/>
          <w:color w:val="auto"/>
        </w:rPr>
      </w:pPr>
    </w:p>
    <w:p>
      <w:pPr>
        <w:ind w:left="780" w:right="4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93" w:lineRule="exact"/>
        <w:rPr>
          <w:rFonts w:ascii="Arial" w:cs="Arial" w:eastAsia="Arial" w:hAnsi="Arial"/>
          <w:sz w:val="18"/>
          <w:szCs w:val="18"/>
          <w:color w:val="auto"/>
        </w:rPr>
      </w:pPr>
    </w:p>
    <w:p>
      <w:pPr>
        <w:ind w:left="780" w:right="560" w:hanging="259"/>
        <w:spacing w:after="0" w:line="245"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103" w:lineRule="exact"/>
        <w:rPr>
          <w:sz w:val="20"/>
          <w:szCs w:val="20"/>
          <w:color w:val="auto"/>
        </w:rPr>
      </w:pPr>
    </w:p>
    <w:p>
      <w:pPr>
        <w:ind w:left="78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contract research organizations in connection with preclinical studies and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clinical trial materials;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professional service fees for consulting and other services.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1" w:name="page42"/>
    <w:bookmarkEnd w:id="41"/>
    <w:p>
      <w:pPr>
        <w:ind w:firstLine="518"/>
        <w:spacing w:after="0" w:line="237" w:lineRule="auto"/>
        <w:rPr>
          <w:sz w:val="20"/>
          <w:szCs w:val="20"/>
          <w:color w:val="auto"/>
        </w:rPr>
      </w:pPr>
      <w:r>
        <w:rPr>
          <w:rFonts w:ascii="Arial" w:cs="Arial" w:eastAsia="Arial" w:hAnsi="Arial"/>
          <w:sz w:val="18"/>
          <w:szCs w:val="18"/>
          <w:color w:val="auto"/>
        </w:rPr>
        <w:t>We base our expense accruals related to clinical trials on our estimates of the services received and efforts expended pursuant to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201" w:lineRule="exact"/>
        <w:rPr>
          <w:sz w:val="20"/>
          <w:szCs w:val="20"/>
          <w:color w:val="auto"/>
        </w:rPr>
      </w:pPr>
    </w:p>
    <w:p>
      <w:pPr>
        <w:jc w:val="both"/>
        <w:ind w:right="100" w:firstLine="518"/>
        <w:spacing w:after="0"/>
        <w:rPr>
          <w:sz w:val="20"/>
          <w:szCs w:val="20"/>
          <w:color w:val="auto"/>
        </w:rPr>
      </w:pPr>
      <w:r>
        <w:rPr>
          <w:rFonts w:ascii="Arial" w:cs="Arial" w:eastAsia="Arial" w:hAnsi="Arial"/>
          <w:sz w:val="18"/>
          <w:szCs w:val="18"/>
          <w:color w:val="auto"/>
        </w:rPr>
        <w:t>To date, we have not experienced significant changes in our estimates of accrued research and development expenses after a reporting period. However, due to the nature of estimates, we cannot assure that we will not make changes to our estimates in the future as we become aware of additional information about the status or conduct of our clinical trials and other research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Stock-based compensation expense represents the grant date fair value of employee stock option grants and rights to acquire stock granted under our 2019 ESPP, recognized over the requisite service period of the awards (usually the vesting period) on a straight-line basis, net of estimated forfeitures.</w:t>
      </w:r>
    </w:p>
    <w:p>
      <w:pPr>
        <w:spacing w:after="0" w:line="202"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Subsequent to the adoption of ASU 2018-07, Stock Compensation (Topic 718): Improvements to Nonemployee Share-Based Payment Accounting, stock-based compensation expense for non-employee stock-based awards is also measured based on the fair value on grant date with its estimated fair value recorded over the requisite service period of the awards (usually the vesting period) on a straight-line basis, net of estimated forfeitures.</w:t>
      </w:r>
    </w:p>
    <w:p>
      <w:pPr>
        <w:spacing w:after="0" w:line="204" w:lineRule="exact"/>
        <w:rPr>
          <w:sz w:val="20"/>
          <w:szCs w:val="20"/>
          <w:color w:val="auto"/>
        </w:rPr>
      </w:pPr>
    </w:p>
    <w:p>
      <w:pPr>
        <w:jc w:val="both"/>
        <w:ind w:right="500" w:firstLine="518"/>
        <w:spacing w:after="0"/>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 including stock price volatility, the expected life of stock options, risk free interest rate and the fair value of the underlying common stock on the date of grant. Our key assumptions are:</w:t>
      </w:r>
    </w:p>
    <w:p>
      <w:pPr>
        <w:spacing w:after="0" w:line="72" w:lineRule="exact"/>
        <w:rPr>
          <w:sz w:val="20"/>
          <w:szCs w:val="20"/>
          <w:color w:val="auto"/>
        </w:rPr>
      </w:pPr>
    </w:p>
    <w:p>
      <w:pPr>
        <w:ind w:left="780" w:right="100" w:hanging="259"/>
        <w:spacing w:after="0" w:line="271"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over periods commensurate with our expected term assumption.</w:t>
      </w:r>
    </w:p>
    <w:p>
      <w:pPr>
        <w:spacing w:after="0" w:line="45" w:lineRule="exact"/>
        <w:rPr>
          <w:rFonts w:ascii="Arial" w:cs="Arial" w:eastAsia="Arial" w:hAnsi="Arial"/>
          <w:sz w:val="18"/>
          <w:szCs w:val="18"/>
          <w:color w:val="auto"/>
        </w:rPr>
      </w:pPr>
    </w:p>
    <w:p>
      <w:pPr>
        <w:jc w:val="both"/>
        <w:ind w:left="780" w:right="240" w:hanging="259"/>
        <w:spacing w:after="0" w:line="253"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granted is derived using the “simplified” method (that is, estimating the expected term as the mid-point between the vesting date and the end of the contractual term for each option).</w:t>
      </w:r>
    </w:p>
    <w:p>
      <w:pPr>
        <w:spacing w:after="0" w:line="60" w:lineRule="exact"/>
        <w:rPr>
          <w:rFonts w:ascii="Arial" w:cs="Arial" w:eastAsia="Arial" w:hAnsi="Arial"/>
          <w:sz w:val="18"/>
          <w:szCs w:val="18"/>
          <w:color w:val="auto"/>
        </w:rPr>
      </w:pPr>
    </w:p>
    <w:p>
      <w:pPr>
        <w:ind w:left="780" w:right="160" w:hanging="259"/>
        <w:spacing w:after="0" w:line="271"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of grant for a period that is commensurate with the assumed expected option term.</w:t>
      </w:r>
    </w:p>
    <w:p>
      <w:pPr>
        <w:spacing w:after="0" w:line="45" w:lineRule="exact"/>
        <w:rPr>
          <w:rFonts w:ascii="Arial" w:cs="Arial" w:eastAsia="Arial" w:hAnsi="Arial"/>
          <w:sz w:val="18"/>
          <w:szCs w:val="18"/>
          <w:color w:val="auto"/>
        </w:rPr>
      </w:pPr>
    </w:p>
    <w:p>
      <w:pPr>
        <w:ind w:left="780" w:right="260" w:hanging="259"/>
        <w:spacing w:after="0" w:line="271"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zero because we have not historically paid dividends, and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expect to pay dividends for the foreseeable future.</w:t>
      </w:r>
    </w:p>
    <w:p>
      <w:pPr>
        <w:spacing w:after="0" w:line="175" w:lineRule="exact"/>
        <w:rPr>
          <w:sz w:val="20"/>
          <w:szCs w:val="20"/>
          <w:color w:val="auto"/>
        </w:rPr>
      </w:pPr>
    </w:p>
    <w:p>
      <w:pPr>
        <w:ind w:right="140" w:firstLine="518"/>
        <w:spacing w:after="0" w:line="257" w:lineRule="auto"/>
        <w:rPr>
          <w:sz w:val="20"/>
          <w:szCs w:val="20"/>
          <w:color w:val="auto"/>
        </w:rPr>
      </w:pPr>
      <w:r>
        <w:rPr>
          <w:rFonts w:ascii="Arial" w:cs="Arial" w:eastAsia="Arial" w:hAnsi="Arial"/>
          <w:sz w:val="17"/>
          <w:szCs w:val="17"/>
          <w:color w:val="auto"/>
        </w:rPr>
        <w:t>We recorded stock-based compensation expense related to employees, directors and nonemployees of $3.1 million and $9.2 million for the three and nine months ended September 30, 2019, respectively, compared to $3.0 million and $7.4 million for the three and nine months ended September 30, 2018. As of September 30, 2019, we had unrecognized stock-based compensation cost related to options granted to employees and directors of $23.9 million, net of forfeitures, which is expected to be recognized as expense over approximately 2.70 years.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2" w:name="page43"/>
    <w:bookmarkEnd w:id="42"/>
    <w:p>
      <w:pPr>
        <w:ind w:firstLine="518"/>
        <w:spacing w:after="0" w:line="236" w:lineRule="auto"/>
        <w:rPr>
          <w:sz w:val="20"/>
          <w:szCs w:val="20"/>
          <w:color w:val="auto"/>
        </w:rPr>
      </w:pPr>
      <w:r>
        <w:rPr>
          <w:rFonts w:ascii="Arial" w:cs="Arial" w:eastAsia="Arial" w:hAnsi="Arial"/>
          <w:sz w:val="18"/>
          <w:szCs w:val="18"/>
          <w:color w:val="auto"/>
        </w:rPr>
        <w:t xml:space="preserve">Prior to the closing of the Company’s IPO,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(“AICPA”) Practice Guide, </w:t>
      </w:r>
      <w:r>
        <w:rPr>
          <w:rFonts w:ascii="Arial" w:cs="Arial" w:eastAsia="Arial" w:hAnsi="Arial"/>
          <w:sz w:val="18"/>
          <w:szCs w:val="18"/>
          <w:i w:val="1"/>
          <w:iCs w:val="1"/>
          <w:color w:val="auto"/>
        </w:rPr>
        <w:t>Valuation of Privately-Held-Company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Given the absence of a public trading market for our common stock historically,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exercised reasonable 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20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We have utilized the probability-weighted expected return method (“PWERM”), alone or in combination with the option pricing method (“OPM”), as a hybrid method (“Hybrid Method”), each an accepted valuation method under the AICPA Practice Guide, for determining the fair value of our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near-and long-term future liquidity scenarios. In connection with our preparation for filing a registration statement with the SEC, we evaluated whether or not in retrospect the valuation of our common stock as of the date of each option grant over the previous 12 months was appropriate for accounting purposes.</w:t>
      </w:r>
    </w:p>
    <w:p>
      <w:pPr>
        <w:spacing w:after="0" w:line="203"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dates of our contemporaneous valuations have not always coincided with the dates of our stock option grants. In determining the exercise prices of the stock options, our board of directors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development, our operating and financial performance and current business conditions.</w:t>
      </w:r>
    </w:p>
    <w:p>
      <w:pPr>
        <w:spacing w:after="0" w:line="206" w:lineRule="exact"/>
        <w:rPr>
          <w:sz w:val="20"/>
          <w:szCs w:val="20"/>
          <w:color w:val="auto"/>
        </w:rPr>
      </w:pPr>
    </w:p>
    <w:p>
      <w:pPr>
        <w:ind w:right="180" w:firstLine="518"/>
        <w:spacing w:after="0" w:line="245" w:lineRule="auto"/>
        <w:rPr>
          <w:sz w:val="20"/>
          <w:szCs w:val="20"/>
          <w:color w:val="auto"/>
        </w:rPr>
      </w:pPr>
      <w:r>
        <w:rPr>
          <w:rFonts w:ascii="Arial" w:cs="Arial" w:eastAsia="Arial" w:hAnsi="Arial"/>
          <w:sz w:val="18"/>
          <w:szCs w:val="18"/>
          <w:color w:val="auto"/>
        </w:rPr>
        <w:t>After our IPO, the fair market value of each share of underlying common stock is determined based on the closing price of our common stock as reported by the Nasdaq Global Select Market on the date of grant.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JOBS Act Accounting Election</w:t>
      </w:r>
    </w:p>
    <w:p>
      <w:pPr>
        <w:spacing w:after="0" w:line="233" w:lineRule="exact"/>
        <w:rPr>
          <w:sz w:val="20"/>
          <w:szCs w:val="20"/>
          <w:color w:val="auto"/>
        </w:rPr>
      </w:pPr>
    </w:p>
    <w:p>
      <w:pPr>
        <w:ind w:right="300" w:firstLine="518"/>
        <w:spacing w:after="0"/>
        <w:rPr>
          <w:sz w:val="20"/>
          <w:szCs w:val="20"/>
          <w:color w:val="auto"/>
        </w:rPr>
      </w:pPr>
      <w:r>
        <w:rPr>
          <w:rFonts w:ascii="Arial" w:cs="Arial" w:eastAsia="Arial" w:hAnsi="Arial"/>
          <w:sz w:val="18"/>
          <w:szCs w:val="18"/>
          <w:color w:val="auto"/>
        </w:rPr>
        <w:t>We are an “emerging growth company,” as defined in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time to comply with new or revised accounting standards as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4"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We will remain an emerging growth company until the earlier to occur of (1) (a) December 31, 2024,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33"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Except as described in Note 2 to the condensed consolidated financial statements under the headings “Recently Adopted Accounting Pronouncements” and “Recent Accounting Pronouncements Not Yet Adopted,” there have been no new accounting pronouncements or changes to accounting pronouncements during the nine months ended September 30, 2019, as compared to the recent accounting pronouncements described in our audited consolidated financial statements and notes for the year ended December 31, 2018, included in the Company’s final prospectus filed with the SEC pursuant to Rule 424(b) under the Securities Act, on April 4, 2019, that are of significance or potential significance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risks in the ordinary course of our business, primarily related to interest rate and foreign currency sensitivities.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5" w:lineRule="exact"/>
        <w:rPr>
          <w:sz w:val="20"/>
          <w:szCs w:val="20"/>
          <w:color w:val="auto"/>
        </w:rPr>
      </w:pPr>
    </w:p>
    <w:p>
      <w:pPr>
        <w:jc w:val="both"/>
        <w:ind w:right="80" w:firstLine="518"/>
        <w:spacing w:after="0"/>
        <w:rPr>
          <w:sz w:val="20"/>
          <w:szCs w:val="20"/>
          <w:color w:val="auto"/>
        </w:rPr>
      </w:pPr>
      <w:r>
        <w:rPr>
          <w:rFonts w:ascii="Arial" w:cs="Arial" w:eastAsia="Arial" w:hAnsi="Arial"/>
          <w:sz w:val="18"/>
          <w:szCs w:val="18"/>
          <w:color w:val="auto"/>
        </w:rPr>
        <w:t>We are exposed to market risk related to changes in interest rates. We had cash, cash equivalents and marketable securities of $356.6 million as of September 30, 2019, which consisted primarily of money market funds and marketable securities, largely composed of investment grade, short to intermediate term fixed income securities.</w:t>
      </w:r>
    </w:p>
    <w:p>
      <w:pPr>
        <w:spacing w:after="0" w:line="20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charter. Our investments are subject to interest rate risk and could fall in value if market interest rates increase. A hypothetical 10% relative change in interest rates during any of the periods presented would not have had a material impact on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Sensitivity</w:t>
      </w:r>
    </w:p>
    <w:p>
      <w:pPr>
        <w:spacing w:after="0" w:line="125" w:lineRule="exact"/>
        <w:rPr>
          <w:sz w:val="20"/>
          <w:szCs w:val="20"/>
          <w:color w:val="auto"/>
        </w:rPr>
      </w:pPr>
    </w:p>
    <w:p>
      <w:pPr>
        <w:ind w:right="40" w:firstLine="518"/>
        <w:spacing w:after="0" w:line="254" w:lineRule="auto"/>
        <w:rPr>
          <w:sz w:val="20"/>
          <w:szCs w:val="20"/>
          <w:color w:val="auto"/>
        </w:rPr>
      </w:pPr>
      <w:r>
        <w:rPr>
          <w:rFonts w:ascii="Arial" w:cs="Arial" w:eastAsia="Arial" w:hAnsi="Arial"/>
          <w:sz w:val="17"/>
          <w:szCs w:val="17"/>
          <w:color w:val="auto"/>
        </w:rPr>
        <w:t>The majority of our transactions occur in U.S. Dollars. However, we do have certain transactions that are denominated in currencies other than the U.S. Dollar, primarily British Pounds, Swiss Francs, Australian dollars and the Euro, and we therefore are subject to foreign exchange risk. The fluctuation in the value of the U.S. Dollar against other currencies affects the reported amounts of expenses, assets and liabilities associated with a limited number of manufacturing, preclinical and clinical activities. A hypothetical 10% change in foreign currency exchange rates during any of the periods presented would not have had a material impact on our condensed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5" w:lineRule="exact"/>
        <w:rPr>
          <w:sz w:val="20"/>
          <w:szCs w:val="20"/>
          <w:color w:val="auto"/>
        </w:rPr>
      </w:pPr>
    </w:p>
    <w:p>
      <w:pPr>
        <w:ind w:right="260" w:firstLine="518"/>
        <w:spacing w:after="0" w:line="237" w:lineRule="auto"/>
        <w:rPr>
          <w:sz w:val="20"/>
          <w:szCs w:val="20"/>
          <w:color w:val="auto"/>
        </w:rPr>
      </w:pPr>
      <w:r>
        <w:rPr>
          <w:rFonts w:ascii="Arial" w:cs="Arial" w:eastAsia="Arial" w:hAnsi="Arial"/>
          <w:sz w:val="18"/>
          <w:szCs w:val="18"/>
          <w:color w:val="auto"/>
        </w:rPr>
        <w:t>As of September 30, 2019, management, with the participation of our Chief Executive Officer and acting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acting Chief Financial Officer, to allow timely decisions regarding required disclosures.</w:t>
      </w:r>
    </w:p>
    <w:p>
      <w:pPr>
        <w:spacing w:after="0" w:line="20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acting Chief Financial Officer concluded that, as of September 30, 2019, the design and operation of our disclosure controls and procedures were effective at a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5"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quarter ended September 30, 2019 that has materially affected, or is reasonably likely to materially affect, our internal control over financial reporting.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7"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10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67"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are a clinical-stage biopharmaceutical company that was incorporated in December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Our net loss was $0.5 million and $14.2 million for the years ended December 31, 2018 and 2017, respectively. For the three and nine months ended September 30, 2019, we also incurred net losses of $ 10.9 million and $26.9 million, respectively, compared to net losses incurred for three and nine months ended September 30, 2018 of $7.5 million and $14.7 million, respectively. As of September 30, 2019, we had an accumulated deficit of $180.2 million.</w:t>
      </w:r>
    </w:p>
    <w:p>
      <w:pPr>
        <w:spacing w:after="0" w:line="20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will require substantial additional capital to achieve our development and commercialization goals for our wholly-owned programs, aldafermin and NGM395, for any future programs that Merck does not opt to license under the Collaboration Agreement and that we choose to develop, for any Merck licensed programs that we opt to co-develop, and for any programs that Merck chooses to license under the Collaboration Agreement and later elects to terminate. We expect to incur substantial and increasing operating losses over the next several years as our research, development, preclinical testing, clinical trial and related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Substantially all of our revenue for recent periods has been received from a single collaboration partner.</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Since executing the Collaboration Agreement with Merck in 2015, substantially all of our revenue has been from our collaboration partner, Merck. Under the collaboration, Merck provides us with reimbursement for research and development activities of up to $50 million per year, plus additional amounts up to agreed upon annual caps, if certain conditions are met; however, we may require additional funding to advance our research and development affairs on our planned timeline, or at all. If our Merck collaboration were to be terminated, or if the annual cap under the Merck collaboration is insufficient, we could require significant additional capital in order to proceed with development and commercialization of our product candidates, or we may require additional partnering in order to help fund such development and commercialization. Merck has exercised its option to extend the research and early development program through March 16, 2022 and has the right to extend it again through March 16, 2024. If adequate funds 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45" w:name="page46"/>
    <w:bookmarkEnd w:id="45"/>
    <w:p>
      <w:pPr>
        <w:ind w:right="540"/>
        <w:spacing w:after="0" w:line="245" w:lineRule="auto"/>
        <w:rPr>
          <w:sz w:val="20"/>
          <w:szCs w:val="20"/>
          <w:color w:val="auto"/>
        </w:rPr>
      </w:pPr>
      <w:r>
        <w:rPr>
          <w:rFonts w:ascii="Arial" w:cs="Arial" w:eastAsia="Arial" w:hAnsi="Arial"/>
          <w:sz w:val="18"/>
          <w:szCs w:val="18"/>
          <w:color w:val="auto"/>
        </w:rPr>
        <w:t>partners are not available to us on a timely basis, on favorable terms or at all, we may be required to delay, limit, reduce or terminate our research and development efforts or other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partner’s and future partners’ ability to:</w:t>
      </w:r>
    </w:p>
    <w:p>
      <w:pPr>
        <w:spacing w:after="0" w:line="98" w:lineRule="exact"/>
        <w:rPr>
          <w:sz w:val="20"/>
          <w:szCs w:val="20"/>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03" w:lineRule="exact"/>
        <w:rPr>
          <w:rFonts w:ascii="Arial" w:cs="Arial" w:eastAsia="Arial" w:hAnsi="Arial"/>
          <w:sz w:val="18"/>
          <w:szCs w:val="18"/>
          <w:color w:val="auto"/>
        </w:rPr>
      </w:pPr>
    </w:p>
    <w:p>
      <w:pPr>
        <w:ind w:left="780" w:right="740" w:hanging="259"/>
        <w:spacing w:after="0" w:line="24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sufficient supply;</w:t>
      </w:r>
    </w:p>
    <w:p>
      <w:pPr>
        <w:spacing w:after="0" w:line="90" w:lineRule="exact"/>
        <w:rPr>
          <w:rFonts w:ascii="Arial" w:cs="Arial" w:eastAsia="Arial" w:hAnsi="Arial"/>
          <w:sz w:val="18"/>
          <w:szCs w:val="18"/>
          <w:color w:val="auto"/>
        </w:rPr>
      </w:pPr>
    </w:p>
    <w:p>
      <w:pPr>
        <w:ind w:left="780" w:right="340" w:hanging="259"/>
        <w:spacing w:after="0" w:line="24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successfully establish a sales force, marketing and distribution infrastructure;</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1"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204" w:lineRule="exact"/>
        <w:rPr>
          <w:sz w:val="20"/>
          <w:szCs w:val="20"/>
          <w:color w:val="auto"/>
        </w:rPr>
      </w:pPr>
    </w:p>
    <w:p>
      <w:pPr>
        <w:jc w:val="both"/>
        <w:ind w:firstLine="518"/>
        <w:spacing w:after="0"/>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then we may be unable to continue our operations at planned levels and be forced to reduce our operations.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2" w:right="299" w:bottom="1440" w:gutter="0" w:footer="0" w:header="0"/>
        </w:sectPr>
      </w:pPr>
    </w:p>
    <w:bookmarkStart w:id="46" w:name="page47"/>
    <w:bookmarkEnd w:id="46"/>
    <w:p>
      <w:pPr>
        <w:jc w:val="both"/>
        <w:ind w:right="400"/>
        <w:spacing w:after="0" w:line="253" w:lineRule="auto"/>
        <w:rPr>
          <w:sz w:val="20"/>
          <w:szCs w:val="20"/>
          <w:color w:val="auto"/>
        </w:rPr>
      </w:pPr>
      <w:r>
        <w:rPr>
          <w:rFonts w:ascii="Arial" w:cs="Arial" w:eastAsia="Arial" w:hAnsi="Arial"/>
          <w:sz w:val="18"/>
          <w:szCs w:val="18"/>
          <w:b w:val="1"/>
          <w:bCs w:val="1"/>
          <w:i w:val="1"/>
          <w:iCs w:val="1"/>
          <w:color w:val="auto"/>
        </w:rPr>
        <w:t>We may require additional capital to finance our operations, which may not be available to us on acceptable terms, or at all. As a result, we may not complete the development and commercialization of our current product candidates or develop new product candidates.</w:t>
      </w:r>
    </w:p>
    <w:p>
      <w:pPr>
        <w:spacing w:after="0" w:line="8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our wholly-owned programs, aldafermin and NGM395, advance in clinical development. We believe that our existing cash, cash equivalents and short-term marketable securities and funding we expect to receive under our existing Collaboration Agreement,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97" w:lineRule="exact"/>
        <w:rPr>
          <w:sz w:val="20"/>
          <w:szCs w:val="20"/>
          <w:color w:val="auto"/>
        </w:rPr>
      </w:pPr>
    </w:p>
    <w:p>
      <w:pPr>
        <w:ind w:left="780" w:right="20" w:hanging="259"/>
        <w:spacing w:after="0" w:line="24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tests and clinical trials for our current product candidates and any future product candidates we may develop;</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a proof-of-concept study in humans;</w:t>
      </w:r>
    </w:p>
    <w:p>
      <w:pPr>
        <w:spacing w:after="0" w:line="103" w:lineRule="exact"/>
        <w:rPr>
          <w:rFonts w:ascii="Arial" w:cs="Arial" w:eastAsia="Arial" w:hAnsi="Arial"/>
          <w:sz w:val="18"/>
          <w:szCs w:val="18"/>
          <w:color w:val="auto"/>
        </w:rPr>
      </w:pPr>
    </w:p>
    <w:p>
      <w:pPr>
        <w:ind w:left="780" w:right="200" w:hanging="259"/>
        <w:spacing w:after="0" w:line="24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set forth in the Collaboration Agreement or terminates a program that is licensed (such as Merck’s termination of its license for NGM386 and NGM395);</w:t>
      </w:r>
    </w:p>
    <w:p>
      <w:pPr>
        <w:spacing w:after="0" w:line="90" w:lineRule="exact"/>
        <w:rPr>
          <w:rFonts w:ascii="Arial" w:cs="Arial" w:eastAsia="Arial" w:hAnsi="Arial"/>
          <w:sz w:val="18"/>
          <w:szCs w:val="18"/>
          <w:color w:val="auto"/>
        </w:rPr>
      </w:pPr>
    </w:p>
    <w:p>
      <w:pPr>
        <w:ind w:left="780" w:right="620" w:hanging="259"/>
        <w:spacing w:after="0" w:line="24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its collaboration with us, which would trigger an extension payment to us;</w:t>
      </w:r>
    </w:p>
    <w:p>
      <w:pPr>
        <w:spacing w:after="0" w:line="90" w:lineRule="exact"/>
        <w:rPr>
          <w:rFonts w:ascii="Arial" w:cs="Arial" w:eastAsia="Arial" w:hAnsi="Arial"/>
          <w:sz w:val="18"/>
          <w:szCs w:val="18"/>
          <w:color w:val="auto"/>
        </w:rPr>
      </w:pPr>
    </w:p>
    <w:p>
      <w:pPr>
        <w:ind w:left="780" w:right="12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change their requirements on studies that had previously been agreed to;</w:t>
      </w:r>
    </w:p>
    <w:p>
      <w:pPr>
        <w:spacing w:after="0" w:line="93" w:lineRule="exact"/>
        <w:rPr>
          <w:rFonts w:ascii="Arial" w:cs="Arial" w:eastAsia="Arial" w:hAnsi="Arial"/>
          <w:sz w:val="18"/>
          <w:szCs w:val="18"/>
          <w:color w:val="auto"/>
        </w:rPr>
      </w:pPr>
    </w:p>
    <w:p>
      <w:pPr>
        <w:ind w:left="780" w:right="14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93"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03" w:lineRule="exact"/>
        <w:rPr>
          <w:rFonts w:ascii="Arial" w:cs="Arial" w:eastAsia="Arial" w:hAnsi="Arial"/>
          <w:sz w:val="18"/>
          <w:szCs w:val="18"/>
          <w:color w:val="auto"/>
        </w:rPr>
      </w:pPr>
    </w:p>
    <w:p>
      <w:pPr>
        <w:ind w:left="780" w:right="140" w:hanging="259"/>
        <w:spacing w:after="0" w:line="24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 and</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6" w:right="279" w:bottom="1440" w:gutter="0" w:footer="0" w:header="0"/>
        </w:sectPr>
      </w:pPr>
    </w:p>
    <w:bookmarkStart w:id="47" w:name="page48"/>
    <w:bookmarkEnd w:id="47"/>
    <w:p>
      <w:pPr>
        <w:ind w:right="2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Unless and until we can generate a sufficient amount of revenue from approved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our product candidates. If we do not raise additional capital, we may not be able to expand our operations or otherwise capitalize on our business opportunities, our business and financial condition will be negatively impacted and we may need to:</w:t>
      </w:r>
    </w:p>
    <w:p>
      <w:pPr>
        <w:spacing w:after="0" w:line="104" w:lineRule="exact"/>
        <w:rPr>
          <w:sz w:val="20"/>
          <w:szCs w:val="20"/>
          <w:color w:val="auto"/>
        </w:rPr>
      </w:pPr>
    </w:p>
    <w:p>
      <w:pPr>
        <w:ind w:left="780" w:right="20" w:hanging="259"/>
        <w:spacing w:after="0" w:line="24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90" w:lineRule="exact"/>
        <w:rPr>
          <w:rFonts w:ascii="Arial" w:cs="Arial" w:eastAsia="Arial" w:hAnsi="Arial"/>
          <w:sz w:val="18"/>
          <w:szCs w:val="18"/>
          <w:color w:val="auto"/>
        </w:rPr>
      </w:pPr>
    </w:p>
    <w:p>
      <w:pPr>
        <w:ind w:left="780" w:right="140" w:hanging="259"/>
        <w:spacing w:after="0" w:line="24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90" w:lineRule="exact"/>
        <w:rPr>
          <w:rFonts w:ascii="Arial" w:cs="Arial" w:eastAsia="Arial" w:hAnsi="Arial"/>
          <w:sz w:val="18"/>
          <w:szCs w:val="18"/>
          <w:color w:val="auto"/>
        </w:rPr>
      </w:pPr>
    </w:p>
    <w:p>
      <w:pPr>
        <w:ind w:left="780" w:right="400" w:hanging="259"/>
        <w:spacing w:after="0" w:line="24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product candidates that we otherwise would seek to develop or commercialize ourselves.</w:t>
      </w:r>
    </w:p>
    <w:p>
      <w:pPr>
        <w:spacing w:after="0" w:line="198" w:lineRule="exact"/>
        <w:rPr>
          <w:sz w:val="20"/>
          <w:szCs w:val="20"/>
          <w:color w:val="auto"/>
        </w:rPr>
      </w:pPr>
    </w:p>
    <w:p>
      <w:pPr>
        <w:ind w:right="320" w:firstLine="518"/>
        <w:spacing w:after="0" w:line="245" w:lineRule="auto"/>
        <w:rPr>
          <w:sz w:val="20"/>
          <w:szCs w:val="20"/>
          <w:color w:val="auto"/>
        </w:rPr>
      </w:pPr>
      <w:r>
        <w:rPr>
          <w:rFonts w:ascii="Arial" w:cs="Arial" w:eastAsia="Arial" w:hAnsi="Arial"/>
          <w:sz w:val="18"/>
          <w:szCs w:val="18"/>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98"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research and development programs or product candidates.</w:t>
      </w:r>
    </w:p>
    <w:p>
      <w:pPr>
        <w:spacing w:after="0" w:line="2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We plan to use current year operating losses and our federal and state net operating loss (“NOL”) carryforwards to offset taxable income from revenue generated from operations, including corporate collaborations. However, our ability to use NOL carryforwards could be limited.</w:t>
      </w:r>
    </w:p>
    <w:p>
      <w:pPr>
        <w:spacing w:after="0" w:line="82"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our IPO and subsequent shifts in our 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6"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3" w:lineRule="exact"/>
        <w:rPr>
          <w:sz w:val="20"/>
          <w:szCs w:val="20"/>
          <w:color w:val="auto"/>
        </w:rPr>
      </w:pPr>
    </w:p>
    <w:p>
      <w:pPr>
        <w:ind w:right="1400"/>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and regulatory approvals, which could delay or prevent commercialization of our product candidates.</w:t>
      </w:r>
    </w:p>
    <w:p>
      <w:pPr>
        <w:spacing w:after="0" w:line="67" w:lineRule="exact"/>
        <w:rPr>
          <w:sz w:val="20"/>
          <w:szCs w:val="20"/>
          <w:color w:val="auto"/>
        </w:rPr>
      </w:pPr>
    </w:p>
    <w:p>
      <w:pPr>
        <w:ind w:right="20" w:firstLine="518"/>
        <w:spacing w:after="0" w:line="261" w:lineRule="auto"/>
        <w:rPr>
          <w:sz w:val="20"/>
          <w:szCs w:val="20"/>
          <w:color w:val="auto"/>
        </w:rPr>
      </w:pPr>
      <w:r>
        <w:rPr>
          <w:rFonts w:ascii="Arial" w:cs="Arial" w:eastAsia="Arial" w:hAnsi="Arial"/>
          <w:sz w:val="17"/>
          <w:szCs w:val="17"/>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We, Merck or any future collaborator, may delay, suspend or terminate clinical trials at any time for reasons including:</w:t>
      </w:r>
    </w:p>
    <w:p>
      <w:pPr>
        <w:spacing w:after="0" w:line="77" w:lineRule="exact"/>
        <w:rPr>
          <w:sz w:val="20"/>
          <w:szCs w:val="20"/>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103" w:lineRule="exact"/>
        <w:rPr>
          <w:rFonts w:ascii="Arial" w:cs="Arial" w:eastAsia="Arial" w:hAnsi="Arial"/>
          <w:sz w:val="18"/>
          <w:szCs w:val="18"/>
          <w:color w:val="auto"/>
        </w:rPr>
      </w:pPr>
    </w:p>
    <w:p>
      <w:pPr>
        <w:ind w:left="780" w:right="120" w:hanging="259"/>
        <w:spacing w:after="0" w:line="245"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03" w:lineRule="exact"/>
        <w:rPr>
          <w:rFonts w:ascii="Arial" w:cs="Arial" w:eastAsia="Arial" w:hAnsi="Arial"/>
          <w:sz w:val="18"/>
          <w:szCs w:val="18"/>
          <w:color w:val="auto"/>
        </w:rPr>
      </w:pPr>
    </w:p>
    <w:p>
      <w:pPr>
        <w:ind w:left="780" w:right="140" w:hanging="259"/>
        <w:spacing w:after="0" w:line="23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for the development of products for the treatment of NASH that issued in 2018 and 2019 and from the European Medicines Agency (“EMA”) that issued in 2018;</w:t>
      </w:r>
    </w:p>
    <w:p>
      <w:pPr>
        <w:spacing w:after="0" w:line="96" w:lineRule="exact"/>
        <w:rPr>
          <w:rFonts w:ascii="Arial" w:cs="Arial" w:eastAsia="Arial" w:hAnsi="Arial"/>
          <w:sz w:val="18"/>
          <w:szCs w:val="18"/>
          <w:color w:val="auto"/>
        </w:rPr>
      </w:pPr>
    </w:p>
    <w:p>
      <w:pPr>
        <w:ind w:left="780" w:right="700" w:hanging="259"/>
        <w:spacing w:after="0" w:line="245"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 by the FDA or comparable foreign authorities;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103" w:lineRule="exact"/>
        <w:rPr>
          <w:rFonts w:ascii="Arial" w:cs="Arial" w:eastAsia="Arial" w:hAnsi="Arial"/>
          <w:sz w:val="18"/>
          <w:szCs w:val="18"/>
          <w:color w:val="auto"/>
        </w:rPr>
      </w:pPr>
    </w:p>
    <w:p>
      <w:pPr>
        <w:ind w:left="780" w:right="280" w:hanging="259"/>
        <w:spacing w:after="0" w:line="245"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FDA or comparable foreign authority inspection and review of a clinical trial site or records of any clinical or preclinical investigation;</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1"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4"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have limited experience in conducting the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28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82" w:lineRule="exact"/>
        <w:rPr>
          <w:sz w:val="20"/>
          <w:szCs w:val="20"/>
          <w:color w:val="auto"/>
        </w:rPr>
      </w:pPr>
    </w:p>
    <w:p>
      <w:pPr>
        <w:jc w:val="both"/>
        <w:ind w:right="140" w:firstLine="518"/>
        <w:spacing w:after="0" w:line="238"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or our partners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A failure of one or more clinical trials can occur at any stage of testing.</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6" w:right="279" w:bottom="1440" w:gutter="0" w:footer="0" w:header="0"/>
        </w:sectPr>
      </w:pPr>
    </w:p>
    <w:bookmarkStart w:id="49" w:name="page50"/>
    <w:bookmarkEnd w:id="49"/>
    <w:p>
      <w:pPr>
        <w:ind w:firstLine="518"/>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aldafermin, in Phase 1 clinical trials for NGM313 and NGM120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acceptable to the FDA in our trials.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201" w:lineRule="exact"/>
        <w:rPr>
          <w:sz w:val="20"/>
          <w:szCs w:val="20"/>
          <w:color w:val="auto"/>
        </w:rPr>
      </w:pPr>
    </w:p>
    <w:p>
      <w:pPr>
        <w:ind w:right="140" w:firstLine="518"/>
        <w:spacing w:after="0" w:line="245" w:lineRule="auto"/>
        <w:rPr>
          <w:sz w:val="20"/>
          <w:szCs w:val="20"/>
          <w:color w:val="auto"/>
        </w:rPr>
      </w:pPr>
      <w:r>
        <w:rPr>
          <w:rFonts w:ascii="Arial" w:cs="Arial" w:eastAsia="Arial" w:hAnsi="Arial"/>
          <w:sz w:val="18"/>
          <w:szCs w:val="18"/>
          <w:color w:val="auto"/>
        </w:rPr>
        <w:t>If we are unable to successfully discover, develop or enable our partners to develop drugs that are effective and safe in humans, we will not have a viable business.</w:t>
      </w:r>
    </w:p>
    <w:p>
      <w:pPr>
        <w:spacing w:after="0" w:line="28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Phase 2 clinical trials of aldafermin that have produced and will produce NASH histology data are ongoing, and the clinical data produced to date are preliminary and have not been subjected to quality control procedures. Preliminary data and interim results may not be predictive of final results.</w:t>
      </w:r>
    </w:p>
    <w:p>
      <w:pPr>
        <w:spacing w:after="0" w:line="82" w:lineRule="exact"/>
        <w:rPr>
          <w:sz w:val="20"/>
          <w:szCs w:val="20"/>
          <w:color w:val="auto"/>
        </w:rPr>
      </w:pPr>
    </w:p>
    <w:p>
      <w:pPr>
        <w:jc w:val="both"/>
        <w:ind w:right="120" w:firstLine="518"/>
        <w:spacing w:after="0" w:line="248" w:lineRule="auto"/>
        <w:rPr>
          <w:sz w:val="20"/>
          <w:szCs w:val="20"/>
          <w:color w:val="auto"/>
        </w:rPr>
      </w:pPr>
      <w:r>
        <w:rPr>
          <w:rFonts w:ascii="Arial" w:cs="Arial" w:eastAsia="Arial" w:hAnsi="Arial"/>
          <w:sz w:val="17"/>
          <w:szCs w:val="17"/>
          <w:color w:val="auto"/>
        </w:rPr>
        <w:t>We have ongoing Phase 2 clinical trials of aldafermin in NASH. Any data and results we have announced from our first Phase 2 clinical trial, including results from the pre-specified interim analysis on 38 patients in the 24-week cohort announced in October 2019, are preliminary. Until that clinical trial is completed, we are unable to perform typical quality control procedures on the data produced to ensure its accuracy.</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While we believe the data made available to date are accurate, until such time as the final quality control procedures are performed after the trial is complete, the data are and should be regarded as preliminary. Preliminary data and interim results may not be predictive of final results. Differences between the preliminary data as well as data from the interim analysis and the final data may lead us to make different operational decisions regarding, or incur additional expenses for, the development of aldafermin than we otherwise would if final data were available. Additionally, the October 2019 interim analysis only reported on some of the endpoints being studied in the trial and may not be predictive of results when measured across all endpoints. Our business and prospects depend on the development of this program, and, if final data is less promising than the preliminary data and data from the interim analysis suggests, our business and prospects could be adversely affected.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25"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our product candidates. Similarly, preliminary data and interim results from clinical trials may not be predictive of final results.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0" w:name="page51"/>
    <w:bookmarkEnd w:id="50"/>
    <w:p>
      <w:pPr>
        <w:ind w:right="40"/>
        <w:spacing w:after="0" w:line="271"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67"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Conducting clinical trials for any of our drug candidates for approval in the United States requires filing an Investigational New Drug (“IND”) application and reaching agreement with the FDA on clinical protocols, finding appropriate clinical sites and clinical investigators, securing approvals for such studies from the institutional review board at each such site, manufacturing clinical quantities of drug candidates and supplying drug product to clinical sites. Currently, we have multiple active INDs with the FDA in the United States, including for aldafermin for NASH and primary biliary cholangitis (“PBC”), for NGM621 for geographic atrophy secondary to age-related macular degeneration and for NGM120 for treatment of solid tumors and pancreatic cancer, and an active Clinical Trial Authorisation in the United Kingdom from the Medicines and Healthcare Products Regulatory Agency for NGM217 for diabetes.</w:t>
      </w:r>
    </w:p>
    <w:p>
      <w:pPr>
        <w:spacing w:after="0" w:line="20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unsuccessful completion of clinical development include:</w:t>
      </w:r>
    </w:p>
    <w:p>
      <w:pPr>
        <w:spacing w:after="0" w:line="98" w:lineRule="exact"/>
        <w:rPr>
          <w:sz w:val="20"/>
          <w:szCs w:val="20"/>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103" w:lineRule="exact"/>
        <w:rPr>
          <w:rFonts w:ascii="Arial" w:cs="Arial" w:eastAsia="Arial" w:hAnsi="Arial"/>
          <w:sz w:val="18"/>
          <w:szCs w:val="18"/>
          <w:color w:val="auto"/>
        </w:rPr>
      </w:pPr>
    </w:p>
    <w:p>
      <w:pPr>
        <w:ind w:left="780" w:right="280" w:hanging="259"/>
        <w:spacing w:after="0" w:line="245"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or other study materials to the clinical sites;</w:t>
      </w:r>
    </w:p>
    <w:p>
      <w:pPr>
        <w:spacing w:after="0" w:line="103" w:lineRule="exact"/>
        <w:rPr>
          <w:rFonts w:ascii="Arial" w:cs="Arial" w:eastAsia="Arial" w:hAnsi="Arial"/>
          <w:sz w:val="18"/>
          <w:szCs w:val="18"/>
          <w:color w:val="auto"/>
        </w:rPr>
      </w:pPr>
    </w:p>
    <w:p>
      <w:pPr>
        <w:ind w:left="780" w:right="280" w:hanging="259"/>
        <w:spacing w:after="0" w:line="245"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patient enrollment;</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including due to side effects or disease progression;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product candidate;</w:t>
      </w:r>
    </w:p>
    <w:p>
      <w:pPr>
        <w:spacing w:after="0" w:line="103" w:lineRule="exact"/>
        <w:rPr>
          <w:rFonts w:ascii="Arial" w:cs="Arial" w:eastAsia="Arial" w:hAnsi="Arial"/>
          <w:sz w:val="18"/>
          <w:szCs w:val="18"/>
          <w:color w:val="auto"/>
        </w:rPr>
      </w:pPr>
    </w:p>
    <w:p>
      <w:pPr>
        <w:jc w:val="both"/>
        <w:ind w:left="780" w:right="16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for the development of NASH that issued in 2018 and 2019 and from the EMA that issued in 2018;</w:t>
      </w:r>
    </w:p>
    <w:p>
      <w:pPr>
        <w:spacing w:after="0" w:line="93" w:lineRule="exact"/>
        <w:rPr>
          <w:rFonts w:ascii="Arial" w:cs="Arial" w:eastAsia="Arial" w:hAnsi="Arial"/>
          <w:sz w:val="18"/>
          <w:szCs w:val="18"/>
          <w:color w:val="auto"/>
        </w:rPr>
      </w:pPr>
    </w:p>
    <w:p>
      <w:pPr>
        <w:ind w:left="780" w:right="320" w:hanging="259"/>
        <w:spacing w:after="0" w:line="245"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 or</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1"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03" w:lineRule="exact"/>
        <w:rPr>
          <w:sz w:val="20"/>
          <w:szCs w:val="20"/>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03" w:lineRule="exact"/>
        <w:rPr>
          <w:rFonts w:ascii="Arial" w:cs="Arial" w:eastAsia="Arial" w:hAnsi="Arial"/>
          <w:sz w:val="18"/>
          <w:szCs w:val="18"/>
          <w:color w:val="auto"/>
        </w:rPr>
      </w:pPr>
    </w:p>
    <w:p>
      <w:pPr>
        <w:ind w:left="780" w:hanging="259"/>
        <w:spacing w:after="0" w:line="245"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8"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In particular, there is significant competition for recruiting NASH patients in clinical trials, and we or our partners may be unable to enroll the patients we need to complete clinical trials on a timely basis, or at all.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our product candidates.</w:t>
      </w:r>
    </w:p>
    <w:p>
      <w:pPr>
        <w:spacing w:after="0" w:line="125" w:lineRule="exact"/>
        <w:rPr>
          <w:sz w:val="20"/>
          <w:szCs w:val="20"/>
          <w:color w:val="auto"/>
        </w:rPr>
      </w:pPr>
    </w:p>
    <w:p>
      <w:pPr>
        <w:ind w:right="380" w:firstLine="518"/>
        <w:spacing w:after="0"/>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Our research efforts may initially show promise in discovering potential new protein and antibody therapeutics, yet fail to yield product candidates for clinical development for a number of reasons, including:</w:t>
      </w:r>
    </w:p>
    <w:p>
      <w:pPr>
        <w:spacing w:after="0" w:line="94" w:lineRule="exact"/>
        <w:rPr>
          <w:sz w:val="20"/>
          <w:szCs w:val="20"/>
          <w:color w:val="auto"/>
        </w:rPr>
      </w:pPr>
    </w:p>
    <w:p>
      <w:pPr>
        <w:ind w:left="780" w:right="500" w:hanging="259"/>
        <w:spacing w:after="0" w:line="245"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90" w:lineRule="exact"/>
        <w:rPr>
          <w:rFonts w:ascii="Arial" w:cs="Arial" w:eastAsia="Arial" w:hAnsi="Arial"/>
          <w:sz w:val="18"/>
          <w:szCs w:val="18"/>
          <w:color w:val="auto"/>
        </w:rPr>
      </w:pPr>
    </w:p>
    <w:p>
      <w:pPr>
        <w:ind w:left="780" w:right="380" w:hanging="259"/>
        <w:spacing w:after="0" w:line="245"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drug discovery efforts tend to identify and select novel, untested proteins in the particular disease indication we are pursuing, which we may fail to validate after further research work;</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03" w:lineRule="exact"/>
        <w:rPr>
          <w:rFonts w:ascii="Arial" w:cs="Arial" w:eastAsia="Arial" w:hAnsi="Arial"/>
          <w:sz w:val="18"/>
          <w:szCs w:val="18"/>
          <w:color w:val="auto"/>
        </w:rPr>
      </w:pPr>
    </w:p>
    <w:p>
      <w:pPr>
        <w:ind w:left="780" w:right="260" w:hanging="259"/>
        <w:spacing w:after="0" w:line="245"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90" w:lineRule="exact"/>
        <w:rPr>
          <w:rFonts w:ascii="Arial" w:cs="Arial" w:eastAsia="Arial" w:hAnsi="Arial"/>
          <w:sz w:val="18"/>
          <w:szCs w:val="18"/>
          <w:color w:val="auto"/>
        </w:rPr>
      </w:pPr>
    </w:p>
    <w:p>
      <w:pPr>
        <w:ind w:left="780" w:right="120" w:hanging="259"/>
        <w:spacing w:after="0" w:line="245"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03" w:lineRule="exact"/>
        <w:rPr>
          <w:rFonts w:ascii="Arial" w:cs="Arial" w:eastAsia="Arial" w:hAnsi="Arial"/>
          <w:sz w:val="18"/>
          <w:szCs w:val="18"/>
          <w:color w:val="auto"/>
        </w:rPr>
      </w:pPr>
    </w:p>
    <w:p>
      <w:pPr>
        <w:ind w:left="780" w:right="80" w:hanging="259"/>
        <w:spacing w:after="0" w:line="245"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may change their development profiles or plans for product candidates or abandon a therapeutic area, the development of a partnered product or the commercialization of any future approved partnered product.</w:t>
      </w:r>
    </w:p>
    <w:p>
      <w:pPr>
        <w:spacing w:after="0" w:line="198"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For example, we have decided to suspend activities related to NGM386 to focus on advancing NGM395, a long-acting GDF15 receptor agonist. Research programs to identify new product candidates require substantial technical, financial and human resources. We may focus our efforts and resources on potential programs or product candidates that ultimately prove to be unsuccessful.</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6" w:right="299" w:bottom="1440" w:gutter="0" w:footer="0" w:header="0"/>
        </w:sectPr>
      </w:pPr>
    </w:p>
    <w:bookmarkStart w:id="52" w:name="page53"/>
    <w:bookmarkEnd w:id="52"/>
    <w:p>
      <w:pPr>
        <w:ind w:right="440"/>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67"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To date, our product candidates have been manufactured by third-party manufacturers solely for preclinical studies and clinical trials. These manufacturers may not be able to scale production to the larger quantities required for large clinical trials and for commercialization. For example, we have entered into a Development and Manufacturing Services Agreement with Lonza Ltd. (“Lonza”) for the production of Phase 3 and commercial supplies of aldafermin. The process of manufacturing aldafermin and our other product candidates is complex, highly regulated and subject to several risks, including:</w:t>
      </w:r>
    </w:p>
    <w:p>
      <w:pPr>
        <w:spacing w:after="0" w:line="98" w:lineRule="exact"/>
        <w:rPr>
          <w:sz w:val="20"/>
          <w:szCs w:val="20"/>
          <w:color w:val="auto"/>
        </w:rPr>
      </w:pPr>
    </w:p>
    <w:p>
      <w:pPr>
        <w:ind w:left="780" w:right="100" w:hanging="259"/>
        <w:spacing w:after="0" w:line="237"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97" w:lineRule="exact"/>
        <w:rPr>
          <w:rFonts w:ascii="Arial" w:cs="Arial" w:eastAsia="Arial" w:hAnsi="Arial"/>
          <w:sz w:val="18"/>
          <w:szCs w:val="18"/>
          <w:color w:val="auto"/>
        </w:rPr>
      </w:pPr>
    </w:p>
    <w:p>
      <w:pPr>
        <w:ind w:left="7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third-party manufacturer of a product candidate subject to our collaboration with Merck may fail to qualify upon an audit by Merck;</w:t>
      </w:r>
    </w:p>
    <w:p>
      <w:pPr>
        <w:spacing w:after="0" w:line="103" w:lineRule="exact"/>
        <w:rPr>
          <w:rFonts w:ascii="Arial" w:cs="Arial" w:eastAsia="Arial" w:hAnsi="Arial"/>
          <w:sz w:val="18"/>
          <w:szCs w:val="18"/>
          <w:color w:val="auto"/>
        </w:rPr>
      </w:pPr>
    </w:p>
    <w:p>
      <w:pPr>
        <w:ind w:left="780" w:right="80" w:hanging="25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93" w:lineRule="exact"/>
        <w:rPr>
          <w:rFonts w:ascii="Arial" w:cs="Arial" w:eastAsia="Arial" w:hAnsi="Arial"/>
          <w:sz w:val="18"/>
          <w:szCs w:val="18"/>
          <w:color w:val="auto"/>
        </w:rPr>
      </w:pPr>
    </w:p>
    <w:p>
      <w:pPr>
        <w:ind w:left="780" w:hanging="259"/>
        <w:spacing w:after="0" w:line="23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Some of these materials only have a single supplier and are purchased as necessary without a long-term supply agreement in place.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4"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204"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53" w:name="page54"/>
    <w:bookmarkEnd w:id="53"/>
    <w:p>
      <w:pPr>
        <w:ind w:right="48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67"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Serious adverse events that were reported in the aldafermin treatment arms from our completed Phase 1 and Phase 2 clinical trials of aldafermin include: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primary sclerosing cholangitis (“PSC”), and intervertebral discitis. In our completed Phase 1 and Phase 1b clinical trials of NGM313, there were two reported serious adverse events in the NGM313 treatment arms: cholecystitis and rectal bleeding due to hemorrhoids, both of which were deemed by the investigators to be unrelated to treatment with NGM313. In our completed Phase 1 clinical trial of NGM120, there were two reported serious adverse events in the NGM120 treatment arms: renal colic and bipolar disorder, both of which were deemed by the investigators to be unrelated to treatment with NGM120.</w:t>
      </w:r>
    </w:p>
    <w:p>
      <w:pPr>
        <w:spacing w:after="0" w:line="203" w:lineRule="exact"/>
        <w:rPr>
          <w:sz w:val="20"/>
          <w:szCs w:val="20"/>
          <w:color w:val="auto"/>
        </w:rPr>
      </w:pPr>
    </w:p>
    <w:p>
      <w:pPr>
        <w:jc w:val="both"/>
        <w:ind w:firstLine="518"/>
        <w:spacing w:after="0" w:line="237" w:lineRule="auto"/>
        <w:rPr>
          <w:sz w:val="20"/>
          <w:szCs w:val="20"/>
          <w:color w:val="auto"/>
        </w:rPr>
      </w:pPr>
      <w:r>
        <w:rPr>
          <w:rFonts w:ascii="Arial" w:cs="Arial" w:eastAsia="Arial" w:hAnsi="Arial"/>
          <w:sz w:val="18"/>
          <w:szCs w:val="18"/>
          <w:color w:val="auto"/>
        </w:rPr>
        <w:t>Significant increases in serum levels of low density lipoprotein (“LDL”) cholesterol were observed in clinical trials of aldafermin in NASH and type 2 diabetes. The drug-induced changes in LDL cholesterol were brought back to baseline levels with concomitant statin use in NASH patients, however, sustained LDL cholesterol elevations in untreated patients can be associated with cardiovascular disease. While the impact of these drug-induced changes in cholesterol are unknown, we believe that concomitant statin use, along with aldafermin’s triglyceride lowering and high density lipoprotein (“HDL”) cholesterol elevating properties, will provide an overall neutral to positive impact on patients’ cardiovascular health. We have not observed any significant changes in LDL cholesterol with aldafermin in trials we have conducted in patients with cholestatic liver disease, such as PBC and PSC.</w:t>
      </w:r>
    </w:p>
    <w:p>
      <w:pPr>
        <w:spacing w:after="0" w:line="201"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One subject in the aldafermin Phase 2 clinical trial in type 2 diabetes developed antibodies against aldafermin that appear to cross-react with FGF19. This patient did not demonstrate any biochemical or clinical safety concerns while in the study, and we have not identified any safety concerns while monitoring the subject following the study. Six of the 36 subjects in the aldafermin Phase 2 extension clinical trial in PBC were confirmed to have antibodies against aldafermin. These subjects have not demonstrated any biochemical or clinical safety signals that were different from observations in subjects that did not generate antibodies against aldafermin.</w:t>
      </w:r>
    </w:p>
    <w:p>
      <w:pPr>
        <w:spacing w:after="0" w:line="206"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However, future results of our trials could reveal a high and unacceptable severity and prevalence of side effects, anti-drug antibodies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29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Aldafermin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cancer-causing effects of native human FGF19 in rodents. We believe that aldafermin will have a superior therapeutic profile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54" w:name="page55"/>
    <w:bookmarkEnd w:id="54"/>
    <w:p>
      <w:pPr>
        <w:spacing w:after="0" w:line="238" w:lineRule="auto"/>
        <w:rPr>
          <w:sz w:val="20"/>
          <w:szCs w:val="20"/>
          <w:color w:val="auto"/>
        </w:rPr>
      </w:pPr>
      <w:r>
        <w:rPr>
          <w:rFonts w:ascii="Arial" w:cs="Arial" w:eastAsia="Arial" w:hAnsi="Arial"/>
          <w:sz w:val="18"/>
          <w:szCs w:val="18"/>
          <w:color w:val="auto"/>
        </w:rPr>
        <w:t>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aldafermin.</w:t>
      </w:r>
    </w:p>
    <w:p>
      <w:pPr>
        <w:spacing w:after="0" w:line="29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125"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may also be incorrect and could cause us to miss valuable opportunities.</w:t>
      </w:r>
    </w:p>
    <w:p>
      <w:pPr>
        <w:spacing w:after="0" w:line="204"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9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 The departure of Dr. Chen within the next several years would permit Merck to shift the focus under our Collaboration Agreement to concentrate on the development of later-stage product candidates.</w:t>
      </w:r>
    </w:p>
    <w:p>
      <w:pPr>
        <w:spacing w:after="0" w:line="91"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 agreements with all of our executive officers. Our employment agreements with our executive officers are terminable by them without notice and some provide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2" w:right="299" w:bottom="1440" w:gutter="0" w:footer="0" w:header="0"/>
        </w:sectPr>
      </w:pPr>
    </w:p>
    <w:bookmarkStart w:id="55" w:name="page56"/>
    <w:bookmarkEnd w:id="55"/>
    <w:p>
      <w:pPr>
        <w:ind w:right="60"/>
        <w:spacing w:after="0" w:line="253" w:lineRule="auto"/>
        <w:rPr>
          <w:sz w:val="20"/>
          <w:szCs w:val="20"/>
          <w:color w:val="auto"/>
        </w:rPr>
      </w:pPr>
      <w:r>
        <w:rPr>
          <w:rFonts w:ascii="Arial" w:cs="Arial" w:eastAsia="Arial" w:hAnsi="Arial"/>
          <w:sz w:val="17"/>
          <w:szCs w:val="17"/>
          <w:color w:val="auto"/>
        </w:rPr>
        <w:t>for severance and change in control benefits. The loss of any one of our executive officers, including, in particular, Dr. Jin-Long Chen, our Chief Scientific Officer, or a key scientific consultant could result in a significant loss in the knowledge and experience that we, as an organization, possess and could cause significant delays, or outright failure, in the development and further commercialization of our product candidates. Prior to March 17, 2020, the departure of Dr. Chen as our employee or director of our research (other than on account of his employment by Merck) would give Merck the right to shift the focus of its research and development funding to concentrate on the development of later-stage product candidates, but Merck would not have the right to terminate or otherwise alter the conduct of the collaboration.</w:t>
      </w:r>
    </w:p>
    <w:p>
      <w:pPr>
        <w:spacing w:after="0" w:line="194"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9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67"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6" w:lineRule="exact"/>
        <w:rPr>
          <w:sz w:val="20"/>
          <w:szCs w:val="20"/>
          <w:color w:val="auto"/>
        </w:rPr>
      </w:pPr>
    </w:p>
    <w:p>
      <w:pPr>
        <w:ind w:right="600" w:firstLine="518"/>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6" w:name="page57"/>
    <w:bookmarkEnd w:id="56"/>
    <w:p>
      <w:pPr>
        <w:ind w:right="100" w:firstLine="518"/>
        <w:spacing w:after="0" w:line="238"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9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 Bayer, Bristol-Myers Squibb, Eisai, Eli Lilly, GlaxoSmithKline, Johnson &amp; Johnson, Merck, Novartis, Novo Nordisk, Pfizer, Roche, Sanofi and Takeda, as well as large and small biotechnology companies such as 89Bio, Akero, Albireo, Amgen, Apellis, Can-Fite, Cirius, CymaBay, Enanta, Galectin, Galmed, Genfit, Gilead, Intercept, Inventiva, Madrigal, MannKind, MediciNova, Metacrine, Mirum, Nalpropion, Terns, Viking and Vivus, are pursuing the development or marketing of pharmaceuticals that target the same diseases that are targeted by our most advanced product candidates. It is probable that the number of companies seeking to develop products and therapies for the treatment of cardio-metabolic disorders,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1"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57" w:name="page58"/>
    <w:bookmarkEnd w:id="57"/>
    <w:p>
      <w:pPr>
        <w:ind w:right="40" w:firstLine="518"/>
        <w:spacing w:after="0" w:line="236" w:lineRule="auto"/>
        <w:rPr>
          <w:sz w:val="20"/>
          <w:szCs w:val="20"/>
          <w:color w:val="auto"/>
        </w:rPr>
      </w:pPr>
      <w:r>
        <w:rPr>
          <w:rFonts w:ascii="Arial" w:cs="Arial" w:eastAsia="Arial" w:hAnsi="Arial"/>
          <w:sz w:val="18"/>
          <w:szCs w:val="18"/>
          <w:color w:val="auto"/>
        </w:rPr>
        <w:t>If aldafermin or NGM313 were approved for the treatment of NASH, future competition could also arise from products currently in development, including: cenicriviroc, an immunomodulator that blocks CCR2 and CCR5, from Allergan; firsocostat, an ACC inhibitor, and cilofexor, an FXR agonist, both from Gilead; OCA, an FXR agonist, from Intercept; resmetirom, a beta-thyroid hormone receptor agonist, from Madrigal; pegbelfermin, PEGylated FGF21, from Bristol-Myers Squibb; AKR-001, an Fc conjugated FGF21, from Akero; elobixibat, an IBAT-inhibitor, from Albireo; a Galectin-3 inhibitor from Galectin; a synthetic conjugate of cholic acid and arachidic acid from Galmed; an FXR agonist from Metacrine; EDP-305, an FXR agonist, from Enanta; FXR agonists from Novartis; a beta-thyroid hormone receptor agonist from Viking; semaglutide, a GLP-1 analog, from Novo Nordisk; a mitochondrial pyruvate complex modulator from Cirius; seladelpar, a PPAR delta agonist, from CymaBay; and elafibranor, a PPAR alpha/delta agonist, from Genfit. The foregoing competitive risks apply to aldafermin, any variants of aldafermin, including the second-generation, half-life extended version of FGF19 we are currently developing, and NGM313.</w:t>
      </w:r>
    </w:p>
    <w:p>
      <w:pPr>
        <w:spacing w:after="0" w:line="205"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and oral GLP-1 mimetics (Novo Nordisk). Some of these programs have advanced further in clinical development than our product candidates and could receive approval before our product candidates are approved, if they are approved at all.</w:t>
      </w:r>
    </w:p>
    <w:p>
      <w:pPr>
        <w:spacing w:after="0" w:line="28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otherwise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 allowing us to market our products at a premium as new drugs. The degree of market acceptance of any of our approved product candidates will depend on a number of factors, including:</w:t>
      </w:r>
    </w:p>
    <w:p>
      <w:pPr>
        <w:spacing w:after="0" w:line="104" w:lineRule="exact"/>
        <w:rPr>
          <w:sz w:val="20"/>
          <w:szCs w:val="20"/>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8" w:name="page59"/>
    <w:bookmarkEnd w:id="58"/>
    <w:p>
      <w:pPr>
        <w:ind w:right="160" w:firstLine="518"/>
        <w:spacing w:after="0" w:line="252"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81"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44"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25"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4"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For example, in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w:t>
      </w:r>
    </w:p>
    <w:p>
      <w:pPr>
        <w:spacing w:after="0" w:line="20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addition, while Congress has not passed comprehensive legislation repealing the Affordable Care Act, it has introduced legislation to modify certain provisions. While much of this proposed legislation has not passed, Congress has enacted laws modifying certain provisions such as removing penalties, effective January 1, 2019, for not complying with the Affordable Care Act’s individual mandate to carry health insurance and delaying the implementation of certain Affordable Care Act-mandated fees. Congress will likely consider other legislation to modify or replace additional elements of the Affordable Care Act. In December 2018, a United States District Court judge in Texas ruled that the Affordable Care Act is unconstitutional in its entirety because the “individual mandate” was repealed by Congress.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 and our business.</w:t>
      </w:r>
    </w:p>
    <w:p>
      <w:pPr>
        <w:spacing w:after="0" w:line="205"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Other legislative changes that have affected or may affect our industry include the Budget Control Act of 2011 which has triggered automatic reduction to several government programs. This includes aggregate reductions to Medicare payments to providers of, on average, 2% per fiscal year through 2027 unless Congress takes additional action. Recently, there has also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1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60" w:name="page61"/>
    <w:bookmarkEnd w:id="60"/>
    <w:p>
      <w:pPr>
        <w:ind w:right="6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7"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98" w:lineRule="exact"/>
        <w:rPr>
          <w:sz w:val="20"/>
          <w:szCs w:val="20"/>
          <w:color w:val="auto"/>
        </w:rPr>
      </w:pPr>
    </w:p>
    <w:p>
      <w:pPr>
        <w:ind w:left="780" w:right="820" w:hanging="259"/>
        <w:spacing w:after="0" w:line="245"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03" w:lineRule="exact"/>
        <w:rPr>
          <w:rFonts w:ascii="Arial" w:cs="Arial" w:eastAsia="Arial" w:hAnsi="Arial"/>
          <w:sz w:val="18"/>
          <w:szCs w:val="18"/>
          <w:color w:val="auto"/>
        </w:rPr>
      </w:pPr>
    </w:p>
    <w:p>
      <w:pPr>
        <w:ind w:left="780" w:hanging="259"/>
        <w:spacing w:after="0" w:line="245"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90" w:lineRule="exact"/>
        <w:rPr>
          <w:rFonts w:ascii="Arial" w:cs="Arial" w:eastAsia="Arial" w:hAnsi="Arial"/>
          <w:sz w:val="18"/>
          <w:szCs w:val="18"/>
          <w:color w:val="auto"/>
        </w:rPr>
      </w:pPr>
    </w:p>
    <w:p>
      <w:pPr>
        <w:ind w:left="780" w:right="600" w:hanging="259"/>
        <w:spacing w:after="0" w:line="245"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03" w:lineRule="exact"/>
        <w:rPr>
          <w:rFonts w:ascii="Arial" w:cs="Arial" w:eastAsia="Arial" w:hAnsi="Arial"/>
          <w:sz w:val="18"/>
          <w:szCs w:val="18"/>
          <w:color w:val="auto"/>
        </w:rPr>
      </w:pPr>
    </w:p>
    <w:p>
      <w:pPr>
        <w:ind w:left="780" w:right="30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2" w:lineRule="exact"/>
        <w:rPr>
          <w:sz w:val="20"/>
          <w:szCs w:val="20"/>
          <w:color w:val="auto"/>
        </w:rPr>
      </w:pPr>
    </w:p>
    <w:p>
      <w:pPr>
        <w:ind w:right="680" w:firstLine="518"/>
        <w:spacing w:after="0" w:line="245"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28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8" w:lineRule="exact"/>
        <w:rPr>
          <w:sz w:val="20"/>
          <w:szCs w:val="20"/>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61" w:name="page62"/>
    <w:bookmarkEnd w:id="61"/>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9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2"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obtains marketing approval. Restrictions under applicable federal and state healthcare laws and regulations, include the following:</w:t>
      </w:r>
    </w:p>
    <w:p>
      <w:pPr>
        <w:spacing w:after="0" w:line="98" w:lineRule="exact"/>
        <w:rPr>
          <w:sz w:val="20"/>
          <w:szCs w:val="20"/>
          <w:color w:val="auto"/>
        </w:rPr>
      </w:pPr>
    </w:p>
    <w:p>
      <w:pPr>
        <w:ind w:left="780" w:right="40" w:hanging="259"/>
        <w:spacing w:after="0" w:line="23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780" w:right="160" w:hanging="259"/>
        <w:spacing w:after="0" w:line="272"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8" w:lineRule="exact"/>
        <w:rPr>
          <w:rFonts w:ascii="Arial" w:cs="Arial" w:eastAsia="Arial" w:hAnsi="Arial"/>
          <w:sz w:val="17"/>
          <w:szCs w:val="17"/>
          <w:color w:val="auto"/>
        </w:rPr>
      </w:pPr>
    </w:p>
    <w:p>
      <w:pPr>
        <w:ind w:left="780" w:hanging="259"/>
        <w:spacing w:after="0" w:line="23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96" w:lineRule="exact"/>
        <w:rPr>
          <w:rFonts w:ascii="Arial" w:cs="Arial" w:eastAsia="Arial" w:hAnsi="Arial"/>
          <w:sz w:val="18"/>
          <w:szCs w:val="18"/>
          <w:color w:val="auto"/>
        </w:rPr>
      </w:pPr>
    </w:p>
    <w:p>
      <w:pPr>
        <w:ind w:left="780" w:right="60" w:hanging="259"/>
        <w:spacing w:after="0" w:line="237"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97" w:lineRule="exact"/>
        <w:rPr>
          <w:rFonts w:ascii="Arial" w:cs="Arial" w:eastAsia="Arial" w:hAnsi="Arial"/>
          <w:sz w:val="18"/>
          <w:szCs w:val="18"/>
          <w:color w:val="auto"/>
        </w:rPr>
      </w:pPr>
    </w:p>
    <w:p>
      <w:pPr>
        <w:ind w:left="780" w:right="40" w:hanging="259"/>
        <w:spacing w:after="0" w:line="237"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62" w:name="page63"/>
    <w:bookmarkEnd w:id="62"/>
    <w:p>
      <w:pPr>
        <w:ind w:left="780" w:right="100" w:hanging="259"/>
        <w:spacing w:after="0" w:line="23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9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former facility was subject to electrical blackouts as a result of a shortage of available electrical power. Future blackouts, which may be implemented by the local electricity provider in the face of high winds and dry conditions, could disrupt the operations of our current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The contract manufacturing organization that is the sole supplier of clinical drug substance of NGM313, NGM120, NGM217, NGM621 and NGM395 is located in a region that has experienced recent political unrest.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125"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Similar to other companies in our industry, we face substantial cybersecurity risk. Despite the implementation of security measures, our internal computer systems and those of our current and future CROs and other contractors, collaborators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similar events relating to their computer systems could also have a material adverse effect on our business. In 2017, a security breach of the internal computer systems of our collaborator, Merck, caused material damage to its operations, but did not affect our internal operations. In June 2019, a vendor that conducted bioanalytical services for some of our aldafermin clinical trials was affected by a ransomware attack that resulted in a significant disruption to its IT systems. This cybersecurity incident at our vendor resulted in an integrity loss of certain clinical sample data for aldafermin that may result in material costs to recover or reproduce.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63" w:name="page64"/>
    <w:bookmarkEnd w:id="63"/>
    <w:p>
      <w:pPr>
        <w:ind w:right="14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67"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are governed by the provisions of the General Data Protection Regulation ((EU) 2016/679)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5"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103"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these product candidates.</w:t>
      </w:r>
    </w:p>
    <w:p>
      <w:pPr>
        <w:spacing w:after="0" w:line="82" w:lineRule="exact"/>
        <w:rPr>
          <w:sz w:val="20"/>
          <w:szCs w:val="20"/>
          <w:color w:val="auto"/>
        </w:rPr>
      </w:pPr>
    </w:p>
    <w:p>
      <w:pPr>
        <w:ind w:right="40" w:firstLine="518"/>
        <w:spacing w:after="0" w:line="251" w:lineRule="auto"/>
        <w:rPr>
          <w:sz w:val="20"/>
          <w:szCs w:val="20"/>
          <w:color w:val="auto"/>
        </w:rPr>
      </w:pPr>
      <w:r>
        <w:rPr>
          <w:rFonts w:ascii="Arial" w:cs="Arial" w:eastAsia="Arial" w:hAnsi="Arial"/>
          <w:sz w:val="17"/>
          <w:szCs w:val="17"/>
          <w:color w:val="auto"/>
        </w:rPr>
        <w:t>In February 2015, we entered into a collaboration with Merck focused on the discovery, development and commercialization of biologics, including NGM313, NGM120, NGM217, NGM621, NGM386 and NGM395, but excluding aldafermin. In November 2018, Merck exercised its option to license NGM313. Merck’s license to the GDF15 receptor agonist program, including NGM386 and NGM395, was terminated effective May 31, 2019. On March 15, 2019, Merck exercised its option to extend the collaboration for an additional two years, from March 17, 2020 through March 16, 2022. The collaboration involves a complex allocation of rights, provides for substantial research and development support, provides for additional payments upon Merck’s election to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including whether Merck exercises its option to license additional product candidates or terminates its license to a program.</w:t>
      </w:r>
    </w:p>
    <w:p>
      <w:pPr>
        <w:spacing w:after="0" w:line="19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NGM386 and NGM395.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6"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03" w:lineRule="exact"/>
        <w:rPr>
          <w:sz w:val="20"/>
          <w:szCs w:val="20"/>
          <w:color w:val="auto"/>
        </w:rPr>
      </w:pPr>
    </w:p>
    <w:p>
      <w:pPr>
        <w:ind w:left="260" w:right="20" w:hanging="259"/>
        <w:spacing w:after="0" w:line="23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in humans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95" w:lineRule="exact"/>
        <w:rPr>
          <w:rFonts w:ascii="Arial" w:cs="Arial" w:eastAsia="Arial" w:hAnsi="Arial"/>
          <w:sz w:val="18"/>
          <w:szCs w:val="18"/>
          <w:color w:val="auto"/>
        </w:rPr>
      </w:pPr>
    </w:p>
    <w:p>
      <w:pPr>
        <w:ind w:left="260" w:right="140" w:hanging="259"/>
        <w:spacing w:after="0" w:line="23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Merck might opt not to exercise its option to acquire a license to a product candidate that has generated proof-of-concept data, or Merck may opt to terminate its license to a program, as it did for NGM386 and NGM395.</w:t>
      </w:r>
    </w:p>
    <w:p>
      <w:pPr>
        <w:spacing w:after="0" w:line="97" w:lineRule="exact"/>
        <w:rPr>
          <w:rFonts w:ascii="Arial" w:cs="Arial" w:eastAsia="Arial" w:hAnsi="Arial"/>
          <w:sz w:val="18"/>
          <w:szCs w:val="18"/>
          <w:color w:val="auto"/>
        </w:rPr>
      </w:pPr>
    </w:p>
    <w:p>
      <w:pPr>
        <w:ind w:left="260" w:hanging="259"/>
        <w:spacing w:after="0" w:line="23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NGM313 program and any other program (whether or not we have exercised our cost and profit sharing option) upon prior written notice, without triggering a termination of the remainder of the collaboration arrangement.</w:t>
      </w:r>
    </w:p>
    <w:p>
      <w:pPr>
        <w:spacing w:after="0" w:line="97" w:lineRule="exact"/>
        <w:rPr>
          <w:rFonts w:ascii="Arial" w:cs="Arial" w:eastAsia="Arial" w:hAnsi="Arial"/>
          <w:sz w:val="18"/>
          <w:szCs w:val="18"/>
          <w:color w:val="auto"/>
        </w:rPr>
      </w:pPr>
    </w:p>
    <w:p>
      <w:pPr>
        <w:ind w:left="260" w:right="40" w:hanging="259"/>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93" w:lineRule="exact"/>
        <w:rPr>
          <w:rFonts w:ascii="Arial" w:cs="Arial" w:eastAsia="Arial" w:hAnsi="Arial"/>
          <w:sz w:val="18"/>
          <w:szCs w:val="18"/>
          <w:color w:val="auto"/>
        </w:rPr>
      </w:pPr>
    </w:p>
    <w:p>
      <w:pPr>
        <w:ind w:left="260" w:right="100" w:hanging="259"/>
        <w:spacing w:after="0" w:line="245"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90" w:lineRule="exact"/>
        <w:rPr>
          <w:rFonts w:ascii="Arial" w:cs="Arial" w:eastAsia="Arial" w:hAnsi="Arial"/>
          <w:sz w:val="18"/>
          <w:szCs w:val="18"/>
          <w:color w:val="auto"/>
        </w:rPr>
      </w:pPr>
    </w:p>
    <w:p>
      <w:pPr>
        <w:ind w:left="260" w:right="40" w:hanging="259"/>
        <w:spacing w:after="0" w:line="23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the Collaboration Agreement with respect to certain licensed programs and, although we may have the right to assume the maintenance and defense of our intellectual property rights if Merck does not, our ability to do so may be compromised by Merck’s actions.</w:t>
      </w:r>
    </w:p>
    <w:p>
      <w:pPr>
        <w:spacing w:after="0" w:line="97" w:lineRule="exact"/>
        <w:rPr>
          <w:rFonts w:ascii="Arial" w:cs="Arial" w:eastAsia="Arial" w:hAnsi="Arial"/>
          <w:sz w:val="18"/>
          <w:szCs w:val="18"/>
          <w:color w:val="auto"/>
        </w:rPr>
      </w:pPr>
    </w:p>
    <w:p>
      <w:pPr>
        <w:ind w:left="260" w:right="460" w:hanging="259"/>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93" w:lineRule="exact"/>
        <w:rPr>
          <w:rFonts w:ascii="Arial" w:cs="Arial" w:eastAsia="Arial" w:hAnsi="Arial"/>
          <w:sz w:val="18"/>
          <w:szCs w:val="18"/>
          <w:color w:val="auto"/>
        </w:rPr>
      </w:pPr>
    </w:p>
    <w:p>
      <w:pPr>
        <w:ind w:left="260" w:right="60" w:hanging="259"/>
        <w:spacing w:after="0" w:line="245"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90" w:lineRule="exact"/>
        <w:rPr>
          <w:rFonts w:ascii="Arial" w:cs="Arial" w:eastAsia="Arial" w:hAnsi="Arial"/>
          <w:sz w:val="18"/>
          <w:szCs w:val="18"/>
          <w:color w:val="auto"/>
        </w:rPr>
      </w:pPr>
    </w:p>
    <w:p>
      <w:pPr>
        <w:ind w:left="260" w:right="340" w:hanging="259"/>
        <w:spacing w:after="0" w:line="245"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90" w:lineRule="exact"/>
        <w:rPr>
          <w:rFonts w:ascii="Arial" w:cs="Arial" w:eastAsia="Arial" w:hAnsi="Arial"/>
          <w:sz w:val="18"/>
          <w:szCs w:val="18"/>
          <w:color w:val="auto"/>
        </w:rPr>
      </w:pPr>
    </w:p>
    <w:p>
      <w:pPr>
        <w:ind w:left="260" w:hanging="259"/>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200" w:lineRule="exact"/>
        <w:rPr>
          <w:sz w:val="20"/>
          <w:szCs w:val="20"/>
          <w:color w:val="auto"/>
        </w:rPr>
      </w:pPr>
    </w:p>
    <w:p>
      <w:pPr>
        <w:spacing w:after="0" w:line="20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53340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60" w:top="570" w:right="279" w:bottom="1440" w:gutter="0" w:footer="0" w:header="0"/>
        </w:sectPr>
      </w:pPr>
    </w:p>
    <w:bookmarkStart w:id="65" w:name="page66"/>
    <w:bookmarkEnd w:id="65"/>
    <w:p>
      <w:pPr>
        <w:ind w:right="460"/>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or terminate or shift the focus of its research and development funding, any of which would materially and adversely affect our business.</w:t>
      </w:r>
    </w:p>
    <w:p>
      <w:pPr>
        <w:spacing w:after="0" w:line="8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Under the Collaboration Agreement, Merck has the right to terminate all or part of the agreement at certain times and under certain circumstances. Merck may terminate the research and early development program effective March 17, 2022 by providing notice to us prior to March 17, 2021. Merck may terminate its annual funding of the research program prior to March 17, 2022 if we are acquired by a third party or if we are in material uncured breach of our obligations under the research and early development program. Prior to March 17, 2020, the departure of Dr. Chen as our employee or director of our research (other than on account of his employment by Merck) gives rise to the right of Merck to shift the focus of the research and development funding provided by Merck to concentrate on the development of later-stage product candidates, but Merck would not have the right to terminate or otherwise alter the conduct of the collaboration. After the current term of the collaboration or, if Merck again exercises its option to extend the term, after such extension period, Merck may terminate the overall agreement for convenience upon written notice and subject to certain limitations.</w:t>
      </w:r>
    </w:p>
    <w:p>
      <w:pPr>
        <w:spacing w:after="0" w:line="205" w:lineRule="exact"/>
        <w:rPr>
          <w:sz w:val="20"/>
          <w:szCs w:val="20"/>
          <w:color w:val="auto"/>
        </w:rPr>
      </w:pPr>
    </w:p>
    <w:p>
      <w:pPr>
        <w:ind w:right="200" w:firstLine="518"/>
        <w:spacing w:after="0" w:line="237" w:lineRule="auto"/>
        <w:rPr>
          <w:sz w:val="20"/>
          <w:szCs w:val="20"/>
          <w:color w:val="auto"/>
        </w:rPr>
      </w:pPr>
      <w:r>
        <w:rPr>
          <w:rFonts w:ascii="Arial" w:cs="Arial" w:eastAsia="Arial" w:hAnsi="Arial"/>
          <w:sz w:val="18"/>
          <w:szCs w:val="18"/>
          <w:color w:val="auto"/>
        </w:rPr>
        <w:t>Subject to certain limitations, Merck may partially terminate the agreement for convenience as it relates to NGM313 or any future Optioned Program. Merck terminated its license to our GDF15 receptor agonist program, including NGM386 and NGM395, effective May 31, 2019. Merck may also terminate the agreement as it relates to its rights to research and develop small molecule compounds. It may also terminate the agreement with respect to a specific Optioned Program, such as NGM313,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Optioned Program.</w:t>
      </w:r>
    </w:p>
    <w:p>
      <w:pPr>
        <w:spacing w:after="0" w:line="201"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288"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third-party relationships that are necessary to develop, commercialize and manufacture some or all of our product candidates.</w:t>
      </w:r>
    </w:p>
    <w:p>
      <w:pPr>
        <w:spacing w:after="0" w:line="67" w:lineRule="exact"/>
        <w:rPr>
          <w:sz w:val="20"/>
          <w:szCs w:val="20"/>
          <w:color w:val="auto"/>
        </w:rPr>
      </w:pPr>
    </w:p>
    <w:p>
      <w:pPr>
        <w:jc w:val="both"/>
        <w:ind w:right="20" w:firstLine="518"/>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CROs, manufacturers and other third parties to support our discovery efforts, to formulate product candidates, to conduct clinical trials for some or all of our product candidates, to manufacture clinical and commercial scale quantities of our drug substance and drug product and to market, sell and distribute any products we successfully develop. Any problems we experience with any of these third parties could delay the development, commercialization and manufacturing of our products or product candidates, which could harm our results of operations.</w:t>
      </w:r>
    </w:p>
    <w:p>
      <w:pPr>
        <w:spacing w:after="0" w:line="20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6"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aldafermin, NGM120, NGM217, NGM621 and NGM395, to the extent we advance these product candidates and will rely on Merck to determine whether to utilize a third-party manufacturer or internal manufacturing capacity for NGM313 and other optioned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current Good Manufacturing Practices (“cGMP”) and to pass inspections of the manufacturing facilities by the FDA or other regulatory agencies could seriously harm our business.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6" w:right="299" w:bottom="1440" w:gutter="0" w:footer="0" w:header="0"/>
        </w:sectPr>
      </w:pPr>
    </w:p>
    <w:bookmarkStart w:id="66" w:name="page67"/>
    <w:bookmarkEnd w:id="66"/>
    <w:p>
      <w:pPr>
        <w:ind w:right="160" w:firstLine="518"/>
        <w:spacing w:after="0" w:line="238"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204"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We and our collaborator expect to expend substantial management time and effort to enter into relationships with third parties and, if we or our collaborator successfully enter into such relationships, to manage these relationships. In addition, substantial capital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preclinical and clinical development and manufacturing of our programs and, therefore, enter into these relationships with less information than if these third parties were in the United States and may not choose the best parties for these relationships.</w:t>
      </w:r>
    </w:p>
    <w:p>
      <w:pPr>
        <w:spacing w:after="0" w:line="29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7"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and NGM395, we may decide to collaborate with other pharmaceutical and biotechnology companies for their development and potential commercialization.</w:t>
      </w:r>
    </w:p>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205"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aldafermin, is excluded from this provision, notwithstanding that both aldafermin and NGM313 signal, in part,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201" w:lineRule="exact"/>
        <w:rPr>
          <w:sz w:val="20"/>
          <w:szCs w:val="20"/>
          <w:color w:val="auto"/>
        </w:rPr>
      </w:pPr>
    </w:p>
    <w:p>
      <w:pPr>
        <w:ind w:right="580" w:firstLine="518"/>
        <w:spacing w:after="0" w:line="245"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98"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67" w:name="page68"/>
    <w:bookmarkEnd w:id="67"/>
    <w:p>
      <w:pPr>
        <w:spacing w:after="0" w:line="27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67"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We currently rely on, and expect to continue to rely on, third parties, such as contract research organizations, clinical data management organizations, medical institutions, consultants and clinical 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6"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1" w:lineRule="exact"/>
        <w:rPr>
          <w:sz w:val="20"/>
          <w:szCs w:val="20"/>
          <w:color w:val="auto"/>
        </w:rPr>
      </w:pPr>
    </w:p>
    <w:p>
      <w:pPr>
        <w:ind w:right="380" w:firstLine="518"/>
        <w:spacing w:after="0" w:line="23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204" w:lineRule="exact"/>
        <w:rPr>
          <w:sz w:val="20"/>
          <w:szCs w:val="20"/>
          <w:color w:val="auto"/>
        </w:rPr>
      </w:pPr>
    </w:p>
    <w:p>
      <w:pPr>
        <w:ind w:right="260" w:firstLine="518"/>
        <w:spacing w:after="0"/>
        <w:rPr>
          <w:sz w:val="20"/>
          <w:szCs w:val="20"/>
          <w:color w:val="auto"/>
        </w:rPr>
      </w:pPr>
      <w:r>
        <w:rPr>
          <w:rFonts w:ascii="Arial" w:cs="Arial" w:eastAsia="Arial" w:hAnsi="Arial"/>
          <w:sz w:val="18"/>
          <w:szCs w:val="18"/>
          <w:color w:val="auto"/>
        </w:rPr>
        <w:t>We also expect to rely on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8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91"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aldafermin, NGM313, NGM120, NGM217, NGM621 and NGM395, for our preclinical and clinical testing from third-party manufacturers. Other than for a long-term supply agreement with Lonza for aldafermin, we do not have a long-term supply agreement with any third-party manufacturer.</w:t>
      </w:r>
    </w:p>
    <w:p>
      <w:pPr>
        <w:spacing w:after="0" w:line="206" w:lineRule="exact"/>
        <w:rPr>
          <w:sz w:val="20"/>
          <w:szCs w:val="20"/>
          <w:color w:val="auto"/>
        </w:rPr>
      </w:pPr>
    </w:p>
    <w:p>
      <w:pPr>
        <w:ind w:right="260" w:firstLine="518"/>
        <w:spacing w:after="0" w:line="245"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90" w:lineRule="exact"/>
        <w:rPr>
          <w:sz w:val="20"/>
          <w:szCs w:val="20"/>
          <w:color w:val="auto"/>
        </w:rPr>
      </w:pPr>
    </w:p>
    <w:p>
      <w:pPr>
        <w:ind w:left="780" w:hanging="25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11"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68" w:name="page69"/>
    <w:bookmarkEnd w:id="68"/>
    <w:p>
      <w:pPr>
        <w:ind w:left="520"/>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w:t>
      </w:r>
    </w:p>
    <w:p>
      <w:pPr>
        <w:spacing w:after="0"/>
        <w:rPr>
          <w:sz w:val="20"/>
          <w:szCs w:val="20"/>
          <w:color w:val="auto"/>
        </w:rPr>
      </w:pPr>
      <w:r>
        <w:rPr>
          <w:rFonts w:ascii="Arial" w:cs="Arial" w:eastAsia="Arial" w:hAnsi="Arial"/>
          <w:sz w:val="18"/>
          <w:szCs w:val="18"/>
          <w:color w:val="auto"/>
        </w:rPr>
        <w:t>There are a limited number of manufacturers that operate under cGMP regulations and that might be capable of manufacturing for us.</w:t>
      </w:r>
    </w:p>
    <w:p>
      <w:pPr>
        <w:spacing w:after="0" w:line="211"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 could manufacture our product candidates, we would incur added costs and delays in identifying and qualifying any such replacement.</w:t>
      </w:r>
    </w:p>
    <w:p>
      <w:pPr>
        <w:spacing w:after="0" w:line="206"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0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6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89"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82" w:lineRule="exact"/>
        <w:rPr>
          <w:sz w:val="20"/>
          <w:szCs w:val="20"/>
          <w:color w:val="auto"/>
        </w:rPr>
      </w:pPr>
    </w:p>
    <w:p>
      <w:pPr>
        <w:ind w:right="260" w:firstLine="518"/>
        <w:spacing w:after="0" w:line="237"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development and may vary among jurisdictions. It is possible that none of our existing product candidates or any future product candidates will ever obtain regulatory approval.</w:t>
      </w:r>
    </w:p>
    <w:p>
      <w:pPr>
        <w:spacing w:after="0" w:line="204" w:lineRule="exact"/>
        <w:rPr>
          <w:sz w:val="20"/>
          <w:szCs w:val="20"/>
          <w:color w:val="auto"/>
        </w:rPr>
      </w:pPr>
    </w:p>
    <w:p>
      <w:pPr>
        <w:ind w:right="380" w:firstLine="518"/>
        <w:spacing w:after="0" w:line="245"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90" w:lineRule="exact"/>
        <w:rPr>
          <w:sz w:val="20"/>
          <w:szCs w:val="20"/>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03" w:lineRule="exact"/>
        <w:rPr>
          <w:rFonts w:ascii="Arial" w:cs="Arial" w:eastAsia="Arial" w:hAnsi="Arial"/>
          <w:sz w:val="18"/>
          <w:szCs w:val="18"/>
          <w:color w:val="auto"/>
        </w:rPr>
      </w:pPr>
    </w:p>
    <w:p>
      <w:pPr>
        <w:ind w:left="780" w:right="160" w:hanging="259"/>
        <w:spacing w:after="0" w:line="245"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 BLA or other submission or to obtain regulatory approval;</w:t>
      </w:r>
    </w:p>
    <w:p>
      <w:pPr>
        <w:spacing w:after="0" w:line="90" w:lineRule="exact"/>
        <w:rPr>
          <w:rFonts w:ascii="Arial" w:cs="Arial" w:eastAsia="Arial" w:hAnsi="Arial"/>
          <w:sz w:val="18"/>
          <w:szCs w:val="18"/>
          <w:color w:val="auto"/>
        </w:rPr>
      </w:pPr>
    </w:p>
    <w:p>
      <w:pPr>
        <w:ind w:left="780" w:right="180" w:hanging="259"/>
        <w:spacing w:after="0" w:line="245"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66" w:right="299" w:bottom="1440" w:gutter="0" w:footer="0" w:header="0"/>
        </w:sectPr>
      </w:pPr>
    </w:p>
    <w:bookmarkStart w:id="69" w:name="page70"/>
    <w:bookmarkEnd w:id="69"/>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1"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have received orphan drug status for aldafermin for PBC in the United States and for PBC and PSC in the European Union. The FDA grants orphan drug designation to drugs intended to treat a rare disease or condition, which is generally defined as a disease or condition that affects fewer than 200,000 individuals in the United States and fewer than five in 10,000 individuals in the European Union. Typically,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for that time period. The applicable period is seven years in the United States and 10 years in the European Union. The European Union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204"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Although we have obtained orphan drug status for aldafermin for PBC and PSC, that exclusivity may not effectively protect the candidate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20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6" w:lineRule="exact"/>
        <w:rPr>
          <w:sz w:val="20"/>
          <w:szCs w:val="20"/>
          <w:color w:val="auto"/>
        </w:rPr>
      </w:pPr>
    </w:p>
    <w:p>
      <w:pPr>
        <w:jc w:val="both"/>
        <w:ind w:right="180" w:firstLine="518"/>
        <w:spacing w:after="0" w:line="234" w:lineRule="auto"/>
        <w:rPr>
          <w:sz w:val="20"/>
          <w:szCs w:val="20"/>
          <w:color w:val="auto"/>
        </w:rPr>
      </w:pPr>
      <w:r>
        <w:rPr>
          <w:rFonts w:ascii="Arial" w:cs="Arial" w:eastAsia="Arial" w:hAnsi="Arial"/>
          <w:sz w:val="18"/>
          <w:szCs w:val="18"/>
          <w:color w:val="auto"/>
        </w:rPr>
        <w:t>Although aldafermin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w:t>
      </w:r>
    </w:p>
    <w:p>
      <w:pPr>
        <w:spacing w:after="0" w:line="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Additionally, qualification for any expedited review procedure does not ensure that we will ultimately obtain regulatory approval for aldafermin or any other product candidate that we are developing or may develop.</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70" w:name="page71"/>
    <w:bookmarkEnd w:id="70"/>
    <w:p>
      <w:pPr>
        <w:ind w:right="560"/>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7"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European Union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6"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94" w:lineRule="exact"/>
        <w:rPr>
          <w:sz w:val="20"/>
          <w:szCs w:val="20"/>
          <w:color w:val="auto"/>
        </w:rPr>
      </w:pPr>
    </w:p>
    <w:p>
      <w:pPr>
        <w:ind w:left="780" w:right="660" w:hanging="259"/>
        <w:spacing w:after="0" w:line="24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03" w:lineRule="exact"/>
        <w:rPr>
          <w:rFonts w:ascii="Arial" w:cs="Arial" w:eastAsia="Arial" w:hAnsi="Arial"/>
          <w:sz w:val="18"/>
          <w:szCs w:val="18"/>
          <w:color w:val="auto"/>
        </w:rPr>
      </w:pPr>
    </w:p>
    <w:p>
      <w:pPr>
        <w:ind w:left="780" w:right="20" w:hanging="259"/>
        <w:spacing w:after="0" w:line="24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71" w:name="page72"/>
    <w:bookmarkEnd w:id="71"/>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11"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6"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2"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0" w:lineRule="exact"/>
        <w:rPr>
          <w:sz w:val="20"/>
          <w:szCs w:val="20"/>
          <w:color w:val="auto"/>
        </w:rPr>
      </w:pPr>
    </w:p>
    <w:p>
      <w:pPr>
        <w:ind w:right="700"/>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8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 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20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206"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Any changes we make to our product candidates, including aldafermin, NGM313, NGM120, NGM217, NGM621 and NGM395,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NGM313, NGM120, NGM217, NGM621 and NGM395 or any of our other product candidates.</w:t>
      </w:r>
    </w:p>
    <w:p>
      <w:pPr>
        <w:spacing w:after="0" w:line="201"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NGM217 or NGM621 product candidates, although they are disclosed and claimed in our pending U.S. non-provisional and/or Patent Cooperation Treaty (“PCT”) applications and/or national stage applications in particular foreign countries. The patent landscape surrounding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206"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73" w:name="page74"/>
    <w:bookmarkEnd w:id="73"/>
    <w:p>
      <w:pPr>
        <w:ind w:firstLine="518"/>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2"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and we may need to rely solely on regulatory or similar protections, if they are available. We expect to seek extensions of patent terms for our issued patents, where available. In the United States, this includes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5"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04" w:lineRule="exact"/>
        <w:rPr>
          <w:sz w:val="20"/>
          <w:szCs w:val="20"/>
          <w:color w:val="auto"/>
        </w:rPr>
      </w:pPr>
    </w:p>
    <w:p>
      <w:pPr>
        <w:ind w:right="200" w:firstLine="518"/>
        <w:spacing w:after="0" w:line="237"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20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74" w:name="page75"/>
    <w:bookmarkEnd w:id="74"/>
    <w:p>
      <w:pPr>
        <w:ind w:right="660"/>
        <w:spacing w:after="0" w:line="245" w:lineRule="auto"/>
        <w:rPr>
          <w:sz w:val="20"/>
          <w:szCs w:val="20"/>
          <w:color w:val="auto"/>
        </w:rPr>
      </w:pPr>
      <w:r>
        <w:rPr>
          <w:rFonts w:ascii="Arial" w:cs="Arial" w:eastAsia="Arial" w:hAnsi="Arial"/>
          <w:sz w:val="18"/>
          <w:szCs w:val="18"/>
          <w:color w:val="auto"/>
        </w:rPr>
        <w:t>the United States. These products may compete with our product candidates and our and our collaborator’s patents or other intellectual property rights may not be effective or sufficient to prevent them from competing.</w:t>
      </w:r>
    </w:p>
    <w:p>
      <w:pPr>
        <w:spacing w:after="0" w:line="19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 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205"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 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291" w:lineRule="exact"/>
        <w:rPr>
          <w:sz w:val="20"/>
          <w:szCs w:val="20"/>
          <w:color w:val="auto"/>
        </w:rPr>
      </w:pPr>
    </w:p>
    <w:p>
      <w:pPr>
        <w:ind w:right="7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technologies, which would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2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our collaborator’s ability to obtain new patents or to enforce existing patents and patents we and our collaborator may obtain in the future.</w:t>
      </w:r>
    </w:p>
    <w:p>
      <w:pPr>
        <w:spacing w:after="0" w:line="21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 xml:space="preserve">Patent reform laws, such as the Leahy-Smith America Invents Act (the “Leahy-Smith Act”), and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Other provisions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However, the Leahy-Smith Act 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87"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oncology and ophthalmic fields, and there are issued third-party patents and published third-party patent applications in these fields. The patent landscape around our aldafermin, NGM313, NGM120, NGM217, NGM621 and NGM395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aldafermin, NGM313, NGM120, NGM217, NGM621 and NGM395 product candidates. However, we may not be aware of all third-party intellectual property rights potentially relating to our product candidates and technologies.</w:t>
      </w:r>
    </w:p>
    <w:p>
      <w:pPr>
        <w:spacing w:after="0" w:line="201"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201"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76" w:name="page77"/>
    <w:bookmarkEnd w:id="76"/>
    <w:p>
      <w:pPr>
        <w:ind w:right="110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 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 of being invalidated, narrowed, held unenforceable or interpreted in such a manner that would not preclude third parties from entering the market with competing products.</w:t>
      </w:r>
    </w:p>
    <w:p>
      <w:pPr>
        <w:spacing w:after="0" w:line="19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 xml:space="preserve">Third-party pre-issuance submission of prior art to the USPTO,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as well as other patent office proceedings or litigation 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207"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that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77" w:name="page78"/>
    <w:bookmarkEnd w:id="77"/>
    <w:p>
      <w:pPr>
        <w:ind w:right="20"/>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82"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20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For example, through our European representative, we filed an opposition in the European Patent Office (“EPO”), to a patent granted to St. Vincent’s Hospital Sydney Limited (“St. Vincent’s”) claiming the use of MIC-1, also known as GDF15, in the treatment of obesity. In the first instance proceedings, the Opposition Division at the EPO upheld the patent as granted. We have appealed this decision to the Board of Appeals at the EPO, and the patentee filed its reply to our grounds for appeal in November 2018. The St. Vincent’s patent as granted is currently scheduled to expire in April 2025. Should the patent be upheld on appeal or should we decide not to pursue the appeal, we do not believe that NGM395 would be able to be commercially launched until after expiration of the patent. In addition, we have filed an opposition in the EPO to a patent granted to Amgen Inc. (“Amgen”) claiming the use of GDF15 polypeptides for the treatment of several metabolic disorders. At the first instance proceedings, the Opposition Division at the EPO maintained the patent in amended form, with claims not including obesity, an indication for which we may pursue a regulatory approval for NGM395. We plan to appeal the decision to maintain the patent to the Board of Appeals at the EPO, and our grounds of appeal were filed in September 2019. The Amgen patent as granted is currently scheduled to expire in April 2032. If these patents have not expired, or are not ultimately deemed invalid in appeals stemming from the opposition proceedings, and/or our non-infringement positions are not upheld, and these patents are successfully asserted against us in a European country court proceeding after any future potential approval of our NGM395 product candidate for the treatment of obesity in Europe, then we may be required to obtain licenses to such patents in order to commercialize NGM395, and there can be no assurance that such licenses would be available on commercially reasonable terms, or at all.</w:t>
      </w:r>
    </w:p>
    <w:p>
      <w:pPr>
        <w:spacing w:after="0" w:line="21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Additionally, in November 2018, we filed an opposition in the EPO to a patent granted to Genentech, Inc. (“Genentech”) claiming the use of an anti-KLB agonistic antibody for treating diabetes mellitus or insulin resistance. We are one of two opponents challenging the Genentech patent as granted on numerous grounds, including lack of novelty and inventive step, insufficiency and claiming subject matter that extends beyond the application as originally filed. Genentech filed its response to opposition in April 2019, and the Company filed a response to the Genentech submission in June 2019. The EPO has scheduled oral proceedings in February 2020. The Genentech patent is currently scheduled to expire in April 2028. If the Genentech patent is not invalidated in the opposition proceedings and appeals, has not expired and/or our non-infringement positions are not upheld, and this patent is successfully asserted against us or our collaborator in a European country court proceeding after any future potential approval of our NGM313 product candidate for the treatment of diabetes and/or NASH in Europe, then we and/or our collaborator may be required to obtain a license to this patent in order to commercialize our NGM313 product candidate, and there can be no assurance that such license would be available on commercially reasonable terms, or at all.</w:t>
      </w:r>
    </w:p>
    <w:p>
      <w:pPr>
        <w:spacing w:after="0" w:line="204"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An unfavorable outcome in any such proceeding could require us or our collaborator to cease using the related technology or developing or commercializing our product candidates, or to attempt to license rights to it from the prevailing party, which may not be available on commercially reasonable terms, or at all.</w:t>
      </w:r>
    </w:p>
    <w:p>
      <w:pPr>
        <w:spacing w:after="0" w:line="202"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6" w:right="279" w:bottom="1440" w:gutter="0" w:footer="0" w:header="0"/>
        </w:sectPr>
      </w:pPr>
    </w:p>
    <w:bookmarkStart w:id="78" w:name="page79"/>
    <w:bookmarkEnd w:id="78"/>
    <w:p>
      <w:pPr>
        <w:ind w:right="20" w:firstLine="518"/>
        <w:spacing w:after="0" w:line="237"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 There can be no assurance that such searches will identify all potentially relevant patents or patent applications, and the failure to identify any such patents or patent applications could have a material adverse effect on the commercialization of our product candidates.</w:t>
      </w:r>
    </w:p>
    <w:p>
      <w:pPr>
        <w:spacing w:after="0" w:line="206"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above, or any appeals stemming therefrom.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have a material adverse effect on our business, financial condition and operating results.</w:t>
      </w:r>
    </w:p>
    <w:p>
      <w:pPr>
        <w:spacing w:after="0" w:line="29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67"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9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79" w:name="page80"/>
    <w:bookmarkEnd w:id="79"/>
    <w:p>
      <w:pPr>
        <w:ind w:right="460"/>
        <w:spacing w:after="0" w:line="271" w:lineRule="auto"/>
        <w:rPr>
          <w:sz w:val="20"/>
          <w:szCs w:val="20"/>
          <w:color w:val="auto"/>
        </w:rPr>
      </w:pPr>
      <w:r>
        <w:rPr>
          <w:rFonts w:ascii="Arial" w:cs="Arial" w:eastAsia="Arial" w:hAnsi="Arial"/>
          <w:sz w:val="18"/>
          <w:szCs w:val="18"/>
          <w:b w:val="1"/>
          <w:bCs w:val="1"/>
          <w:i w:val="1"/>
          <w:iCs w:val="1"/>
          <w:color w:val="auto"/>
        </w:rPr>
        <w:t>If we breach any license agreement related to our product candidates, we could lose the ability to continue the development and commercialization of our product candidates.</w:t>
      </w:r>
    </w:p>
    <w:p>
      <w:pPr>
        <w:spacing w:after="0" w:line="6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under which we license cell lines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w:t>
      </w:r>
    </w:p>
    <w:p>
      <w:pPr>
        <w:spacing w:after="0" w:line="202"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2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5" w:lineRule="exact"/>
        <w:rPr>
          <w:sz w:val="20"/>
          <w:szCs w:val="20"/>
          <w:color w:val="auto"/>
        </w:rPr>
      </w:pPr>
    </w:p>
    <w:p>
      <w:pPr>
        <w:ind w:right="840" w:firstLine="518"/>
        <w:spacing w:after="0" w:line="24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0" w:lineRule="exact"/>
        <w:rPr>
          <w:sz w:val="20"/>
          <w:szCs w:val="20"/>
          <w:color w:val="auto"/>
        </w:rPr>
      </w:pPr>
    </w:p>
    <w:p>
      <w:pPr>
        <w:ind w:left="780" w:right="300" w:hanging="259"/>
        <w:spacing w:after="0" w:line="245"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technologies that are not covered by the claims of the patents that we license or may own in the future;</w:t>
      </w:r>
    </w:p>
    <w:p>
      <w:pPr>
        <w:spacing w:after="0" w:line="90" w:lineRule="exact"/>
        <w:rPr>
          <w:rFonts w:ascii="Arial" w:cs="Arial" w:eastAsia="Arial" w:hAnsi="Arial"/>
          <w:sz w:val="18"/>
          <w:szCs w:val="18"/>
          <w:color w:val="auto"/>
        </w:rPr>
      </w:pPr>
    </w:p>
    <w:p>
      <w:pPr>
        <w:ind w:left="780" w:right="420" w:hanging="259"/>
        <w:spacing w:after="0" w:line="245"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90" w:lineRule="exact"/>
        <w:rPr>
          <w:rFonts w:ascii="Arial" w:cs="Arial" w:eastAsia="Arial" w:hAnsi="Arial"/>
          <w:sz w:val="18"/>
          <w:szCs w:val="18"/>
          <w:color w:val="auto"/>
        </w:rPr>
      </w:pPr>
    </w:p>
    <w:p>
      <w:pPr>
        <w:ind w:left="780" w:right="600" w:hanging="259"/>
        <w:spacing w:after="0" w:line="245"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file patent applications covering certain of our or their inventions;</w:t>
      </w:r>
    </w:p>
    <w:p>
      <w:pPr>
        <w:spacing w:after="0" w:line="90" w:lineRule="exact"/>
        <w:rPr>
          <w:rFonts w:ascii="Arial" w:cs="Arial" w:eastAsia="Arial" w:hAnsi="Arial"/>
          <w:sz w:val="18"/>
          <w:szCs w:val="18"/>
          <w:color w:val="auto"/>
        </w:rPr>
      </w:pPr>
    </w:p>
    <w:p>
      <w:pPr>
        <w:ind w:left="780" w:hanging="259"/>
        <w:spacing w:after="0" w:line="245"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80" w:name="page81"/>
    <w:bookmarkEnd w:id="80"/>
    <w:p>
      <w:pPr>
        <w:ind w:left="780" w:right="840" w:hanging="259"/>
        <w:spacing w:after="0" w:line="24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or unenforceable, including as a result of legal challenges by our competitors;</w:t>
      </w:r>
    </w:p>
    <w:p>
      <w:pPr>
        <w:spacing w:after="0" w:line="90" w:lineRule="exact"/>
        <w:rPr>
          <w:rFonts w:ascii="Arial" w:cs="Arial" w:eastAsia="Arial" w:hAnsi="Arial"/>
          <w:sz w:val="18"/>
          <w:szCs w:val="18"/>
          <w:color w:val="auto"/>
        </w:rPr>
      </w:pPr>
    </w:p>
    <w:p>
      <w:pPr>
        <w:ind w:left="780" w:right="100" w:hanging="259"/>
        <w:spacing w:after="0" w:line="24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03" w:lineRule="exact"/>
        <w:rPr>
          <w:rFonts w:ascii="Arial" w:cs="Arial" w:eastAsia="Arial" w:hAnsi="Arial"/>
          <w:sz w:val="18"/>
          <w:szCs w:val="18"/>
          <w:color w:val="auto"/>
        </w:rPr>
      </w:pPr>
    </w:p>
    <w:p>
      <w:pPr>
        <w:ind w:left="780" w:right="880" w:hanging="259"/>
        <w:spacing w:after="0" w:line="24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98" w:lineRule="exact"/>
        <w:rPr>
          <w:sz w:val="20"/>
          <w:szCs w:val="20"/>
          <w:color w:val="auto"/>
        </w:rPr>
      </w:pPr>
    </w:p>
    <w:p>
      <w:pPr>
        <w:ind w:right="300" w:firstLine="518"/>
        <w:spacing w:after="0" w:line="245"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has been and may continue to be volatile, and you could lose all or part of your investment.</w:t>
      </w:r>
    </w:p>
    <w:p>
      <w:pPr>
        <w:spacing w:after="0" w:line="125" w:lineRule="exact"/>
        <w:rPr>
          <w:sz w:val="20"/>
          <w:szCs w:val="20"/>
          <w:color w:val="auto"/>
        </w:rPr>
      </w:pPr>
    </w:p>
    <w:p>
      <w:pPr>
        <w:ind w:right="260" w:firstLine="518"/>
        <w:spacing w:after="0" w:line="245"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90" w:lineRule="exact"/>
        <w:rPr>
          <w:sz w:val="20"/>
          <w:szCs w:val="20"/>
          <w:color w:val="auto"/>
        </w:rPr>
      </w:pPr>
    </w:p>
    <w:p>
      <w:pPr>
        <w:ind w:left="780" w:hanging="259"/>
        <w:spacing w:after="0" w:line="245"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03" w:lineRule="exact"/>
        <w:rPr>
          <w:rFonts w:ascii="Arial" w:cs="Arial" w:eastAsia="Arial" w:hAnsi="Arial"/>
          <w:sz w:val="18"/>
          <w:szCs w:val="18"/>
          <w:color w:val="auto"/>
        </w:rPr>
      </w:pPr>
    </w:p>
    <w:p>
      <w:pPr>
        <w:ind w:left="780" w:right="900" w:hanging="259"/>
        <w:spacing w:after="0" w:line="245"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03" w:lineRule="exact"/>
        <w:rPr>
          <w:rFonts w:ascii="Arial" w:cs="Arial" w:eastAsia="Arial" w:hAnsi="Arial"/>
          <w:sz w:val="18"/>
          <w:szCs w:val="18"/>
          <w:color w:val="auto"/>
        </w:rPr>
      </w:pPr>
    </w:p>
    <w:p>
      <w:pPr>
        <w:ind w:left="780" w:hanging="25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1" w:name="page82"/>
    <w:bookmarkEnd w:id="81"/>
    <w:p>
      <w:pPr>
        <w:ind w:right="140" w:firstLine="518"/>
        <w:spacing w:after="0" w:line="23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9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25"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288" w:lineRule="exact"/>
        <w:rPr>
          <w:sz w:val="20"/>
          <w:szCs w:val="20"/>
          <w:color w:val="auto"/>
        </w:rPr>
      </w:pPr>
    </w:p>
    <w:p>
      <w:pPr>
        <w:ind w:right="920"/>
        <w:spacing w:after="0" w:line="301" w:lineRule="auto"/>
        <w:rPr>
          <w:sz w:val="20"/>
          <w:szCs w:val="20"/>
          <w:color w:val="auto"/>
        </w:rPr>
      </w:pPr>
      <w:r>
        <w:rPr>
          <w:rFonts w:ascii="Arial" w:cs="Arial" w:eastAsia="Arial" w:hAnsi="Arial"/>
          <w:sz w:val="17"/>
          <w:szCs w:val="17"/>
          <w:b w:val="1"/>
          <w:bCs w:val="1"/>
          <w:i w:val="1"/>
          <w:iCs w:val="1"/>
          <w:color w:val="auto"/>
        </w:rPr>
        <w:t>Our principal stockholders, including entities affiliated with The Column Group, Merck and management, own a significant percentage of our stock and will be able to exert significant control over matters subject to stockholder approval.</w:t>
      </w:r>
    </w:p>
    <w:p>
      <w:pPr>
        <w:spacing w:after="0" w:line="44"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Our executive officers, directors, significant stockholders, including The Column Group and Merck, and their respective affiliates beneficially own a significant amount of our voting stock. Merck has granted a proxy to the chairman of our board of directors to vote Merck’s shares in favor of any action recommended and approved by our board of directors, subject to certain exceptions.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w:t>
      </w:r>
    </w:p>
    <w:p>
      <w:pPr>
        <w:spacing w:after="0" w:line="289"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82" w:lineRule="exact"/>
        <w:rPr>
          <w:sz w:val="20"/>
          <w:szCs w:val="20"/>
          <w:color w:val="auto"/>
        </w:rPr>
      </w:pPr>
    </w:p>
    <w:p>
      <w:pPr>
        <w:ind w:right="340" w:firstLine="518"/>
        <w:spacing w:after="0" w:line="245"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90" w:lineRule="exact"/>
        <w:rPr>
          <w:sz w:val="20"/>
          <w:szCs w:val="20"/>
          <w:color w:val="auto"/>
        </w:rPr>
      </w:pPr>
    </w:p>
    <w:p>
      <w:pPr>
        <w:ind w:left="780" w:right="420" w:hanging="259"/>
        <w:spacing w:after="0" w:line="274" w:lineRule="auto"/>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(the “Sarbanes-Oxley Act”) requiring that our independent registered public accounting firm provide an attestation report on the effectiveness of our internal control over financial reporting;</w:t>
      </w:r>
    </w:p>
    <w:p>
      <w:pPr>
        <w:spacing w:after="0" w:line="66" w:lineRule="exact"/>
        <w:rPr>
          <w:rFonts w:ascii="Arial" w:cs="Arial" w:eastAsia="Arial" w:hAnsi="Arial"/>
          <w:sz w:val="17"/>
          <w:szCs w:val="17"/>
          <w:color w:val="auto"/>
        </w:rPr>
      </w:pPr>
    </w:p>
    <w:p>
      <w:pPr>
        <w:ind w:left="780" w:hanging="259"/>
        <w:spacing w:after="0" w:line="237"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(the “Dodd-Frank Act”) and some of the disclosure requirements of the Dodd-Frank Act relating to compensation of our chief executive officer; and</w:t>
      </w:r>
    </w:p>
    <w:p>
      <w:pPr>
        <w:spacing w:after="0" w:line="97" w:lineRule="exact"/>
        <w:rPr>
          <w:rFonts w:ascii="Arial" w:cs="Arial" w:eastAsia="Arial" w:hAnsi="Arial"/>
          <w:sz w:val="18"/>
          <w:szCs w:val="18"/>
          <w:color w:val="auto"/>
        </w:rPr>
      </w:pPr>
    </w:p>
    <w:p>
      <w:pPr>
        <w:ind w:left="780" w:right="120" w:hanging="25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0" w:right="279" w:bottom="1440" w:gutter="0" w:footer="0" w:header="0"/>
        </w:sectPr>
      </w:pPr>
    </w:p>
    <w:bookmarkStart w:id="82" w:name="page83"/>
    <w:bookmarkEnd w:id="82"/>
    <w:p>
      <w:pPr>
        <w:ind w:right="240" w:firstLine="518"/>
        <w:spacing w:after="0" w:line="248" w:lineRule="auto"/>
        <w:rPr>
          <w:sz w:val="20"/>
          <w:szCs w:val="20"/>
          <w:color w:val="auto"/>
        </w:rPr>
      </w:pPr>
      <w:r>
        <w:rPr>
          <w:rFonts w:ascii="Arial" w:cs="Arial" w:eastAsia="Arial" w:hAnsi="Arial"/>
          <w:sz w:val="17"/>
          <w:szCs w:val="17"/>
          <w:color w:val="auto"/>
        </w:rPr>
        <w:t>We may take advantage of these reporting exemptions until we are no longer an “emerging growth company”, which in certain circumstances could be for up to five years. We will cease to be an “emerging growth company” upon the earliest of: (1) December 31, 2024;</w:t>
      </w:r>
    </w:p>
    <w:p>
      <w:pPr>
        <w:spacing w:after="0" w:line="1" w:lineRule="exact"/>
        <w:rPr>
          <w:sz w:val="20"/>
          <w:szCs w:val="20"/>
          <w:color w:val="auto"/>
        </w:rPr>
      </w:pPr>
    </w:p>
    <w:p>
      <w:pPr>
        <w:ind w:right="240" w:firstLine="8"/>
        <w:spacing w:after="0"/>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2" w:lineRule="exact"/>
        <w:rPr>
          <w:sz w:val="20"/>
          <w:szCs w:val="20"/>
          <w:color w:val="auto"/>
        </w:rPr>
      </w:pPr>
    </w:p>
    <w:p>
      <w:pPr>
        <w:ind w:right="80" w:firstLine="518"/>
        <w:spacing w:after="0" w:line="250"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85"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292"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6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may increase our legal and financial compliance costs and may make some activities more time-consuming and costly. The increased costs will increase our net loss. For example,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83" w:name="page84"/>
    <w:bookmarkEnd w:id="83"/>
    <w:p>
      <w:pPr>
        <w:ind w:right="100" w:firstLine="518"/>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0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Global Select Market, the SEC or other regulatory authorities. In addition, our common stock may not be able to remain listed on the Nasdaq Global Select Market or any other securities exchange.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Substantially all of the shares of our common stock not sold in our IPO were available for sale in the public market beginning after the end of the 180th day after the date of our IPO following the expiration of lock-up agreements, subject, in the case of our affiliates, to the conditions of Rule 144 under the Securities Act, as amended. Moreover, certain holders of our common stock have rights, subject to certain conditions, to require us to file registration statements covering their shares or to include their shares in registration statements that we may file for ourselves or other stockholders. Shares issued to Merck in the private placement that occurred concurrently with our IPO will be available for sale in the public market beginning on March 17,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5" w:lineRule="exact"/>
        <w:rPr>
          <w:sz w:val="20"/>
          <w:szCs w:val="20"/>
          <w:color w:val="auto"/>
        </w:rPr>
      </w:pPr>
    </w:p>
    <w:p>
      <w:pPr>
        <w:ind w:right="520" w:firstLine="518"/>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5"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6" w:lineRule="exact"/>
        <w:rPr>
          <w:sz w:val="20"/>
          <w:szCs w:val="20"/>
          <w:color w:val="auto"/>
        </w:rPr>
      </w:pPr>
    </w:p>
    <w:p>
      <w:pPr>
        <w:jc w:val="both"/>
        <w:ind w:firstLine="518"/>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84" w:name="page85"/>
    <w:bookmarkEnd w:id="84"/>
    <w:p>
      <w:pPr>
        <w:ind w:right="440"/>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2"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94" w:lineRule="exact"/>
        <w:rPr>
          <w:sz w:val="20"/>
          <w:szCs w:val="20"/>
          <w:color w:val="auto"/>
        </w:rPr>
      </w:pPr>
    </w:p>
    <w:p>
      <w:pPr>
        <w:ind w:left="780" w:right="460" w:hanging="259"/>
        <w:spacing w:after="0" w:line="245"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90" w:lineRule="exact"/>
        <w:rPr>
          <w:rFonts w:ascii="Arial" w:cs="Arial" w:eastAsia="Arial" w:hAnsi="Arial"/>
          <w:sz w:val="18"/>
          <w:szCs w:val="18"/>
          <w:color w:val="auto"/>
        </w:rPr>
      </w:pPr>
    </w:p>
    <w:p>
      <w:pPr>
        <w:ind w:left="780" w:right="360" w:hanging="259"/>
        <w:spacing w:after="0" w:line="245"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90" w:lineRule="exact"/>
        <w:rPr>
          <w:rFonts w:ascii="Arial" w:cs="Arial" w:eastAsia="Arial" w:hAnsi="Arial"/>
          <w:sz w:val="18"/>
          <w:szCs w:val="18"/>
          <w:color w:val="auto"/>
        </w:rPr>
      </w:pPr>
    </w:p>
    <w:p>
      <w:pPr>
        <w:ind w:left="780" w:right="180" w:hanging="259"/>
        <w:spacing w:after="0" w:line="245"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90" w:lineRule="exact"/>
        <w:rPr>
          <w:rFonts w:ascii="Arial" w:cs="Arial" w:eastAsia="Arial" w:hAnsi="Arial"/>
          <w:sz w:val="18"/>
          <w:szCs w:val="18"/>
          <w:color w:val="auto"/>
        </w:rPr>
      </w:pPr>
    </w:p>
    <w:p>
      <w:pPr>
        <w:ind w:left="780" w:right="1060" w:hanging="259"/>
        <w:spacing w:after="0" w:line="245"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90" w:lineRule="exact"/>
        <w:rPr>
          <w:rFonts w:ascii="Arial" w:cs="Arial" w:eastAsia="Arial" w:hAnsi="Arial"/>
          <w:sz w:val="18"/>
          <w:szCs w:val="18"/>
          <w:color w:val="auto"/>
        </w:rPr>
      </w:pPr>
    </w:p>
    <w:p>
      <w:pPr>
        <w:ind w:left="780" w:hanging="25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03" w:lineRule="exact"/>
        <w:rPr>
          <w:rFonts w:ascii="Arial" w:cs="Arial" w:eastAsia="Arial" w:hAnsi="Arial"/>
          <w:sz w:val="18"/>
          <w:szCs w:val="18"/>
          <w:color w:val="auto"/>
        </w:rPr>
      </w:pPr>
    </w:p>
    <w:p>
      <w:pPr>
        <w:ind w:left="780" w:right="280" w:hanging="259"/>
        <w:spacing w:after="0" w:line="245"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 Merck has also granted a proxy to the chairman of our board of directors to vote Merck’s shares in favor of any action recommended and approved by our board of directors, subject to certain exceptions.</w:t>
      </w:r>
    </w:p>
    <w:p>
      <w:pPr>
        <w:spacing w:after="0" w:line="206"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85" w:name="page86"/>
    <w:bookmarkEnd w:id="85"/>
    <w:p>
      <w:pPr>
        <w:ind w:right="120"/>
        <w:spacing w:after="0" w:line="274"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 For example, in December 2018 the Court of Chancery of the State of Delaware determined that the exclusive forum provision of federal district courts of the United States for resolving any complaint asserting a cause of action arising under the Securities Act is not enforceable. However, this decision may be reviewed and ultimately overturned by the Delaware Supreme Court. If this ultimate adjudication were to occur, the federal district court exclusive forum provision in our amended and restated certificate of incorporation would no longer be applicable.</w:t>
      </w:r>
    </w:p>
    <w:p>
      <w:pPr>
        <w:spacing w:after="0" w:line="29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12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April 2019, our Registration Statement on Form S-1 (No. 333-227608) was declared effective by the SEC pursuant to which we issued and sold an aggregate of 7,521,394 shares of common stock (inclusive of 6,666,667 shares of common stock and 854,727 shares of common stock pursuant to the underwriters’ exercise of their over-allotment option) at a public offering price of $16.00 per share for aggregate net cash proceeds of $ 107.8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6" w:right="259" w:bottom="1440" w:gutter="0" w:footer="0" w:header="0"/>
        </w:sectPr>
      </w:pPr>
    </w:p>
    <w:bookmarkStart w:id="86" w:name="page87"/>
    <w:bookmarkEnd w:id="86"/>
    <w:p>
      <w:pPr>
        <w:ind w:right="20" w:firstLine="518"/>
        <w:spacing w:after="0"/>
        <w:rPr>
          <w:sz w:val="20"/>
          <w:szCs w:val="20"/>
          <w:color w:val="auto"/>
        </w:rPr>
      </w:pPr>
      <w:r>
        <w:rPr>
          <w:rFonts w:ascii="Arial" w:cs="Arial" w:eastAsia="Arial" w:hAnsi="Arial"/>
          <w:sz w:val="18"/>
          <w:szCs w:val="18"/>
          <w:color w:val="auto"/>
        </w:rPr>
        <w:t>The sale and issuance of 6,666,667 shares in the IPO closed on April 8, 2019 and the sale of 854,727 additional shares pursuant to the underwriters’ over-allotment option closed on May 7, 2019. Goldman Sachs &amp; Co. LLC, Citigroup Global Markets Inc. and Cowen and Company, LLC acted as joint book-running managers for the offering.</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has been no material change in the planned use of proceeds from our initial public offering from that described in the Prospectus.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70"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6. Exhibits.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70" w:lineRule="exact"/>
        <w:rPr>
          <w:sz w:val="20"/>
          <w:szCs w:val="20"/>
          <w:color w:val="auto"/>
        </w:rPr>
      </w:pPr>
    </w:p>
    <w:p>
      <w:pPr>
        <w:jc w:val="right"/>
        <w:ind w:right="130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420"/>
          </w:cols>
          <w:pgMar w:left="240" w:top="332" w:right="239" w:bottom="1440" w:gutter="0" w:footer="0" w:header="0"/>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9"/>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9"/>
              </w:rPr>
              <w:t>Number</w:t>
            </w:r>
          </w:p>
        </w:tc>
        <w:tc>
          <w:tcPr>
            <w:tcW w:w="5580" w:type="dxa"/>
            <w:vAlign w:val="bottom"/>
            <w:gridSpan w:val="8"/>
          </w:tcPr>
          <w:p>
            <w:pPr>
              <w:ind w:left="230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5580" w:type="dxa"/>
            <w:vAlign w:val="bottom"/>
            <w:gridSpan w:val="8"/>
          </w:tcPr>
          <w:p>
            <w:pPr>
              <w:spacing w:after="0"/>
              <w:rPr>
                <w:rFonts w:ascii="Arial" w:cs="Arial" w:eastAsia="Arial" w:hAnsi="Arial"/>
                <w:sz w:val="18"/>
                <w:szCs w:val="18"/>
                <w:color w:val="0000EE"/>
              </w:rPr>
            </w:pPr>
            <w:hyperlink r:id="rId115">
              <w:r>
                <w:rPr>
                  <w:rFonts w:ascii="Arial" w:cs="Arial" w:eastAsia="Arial" w:hAnsi="Arial"/>
                  <w:sz w:val="18"/>
                  <w:szCs w:val="18"/>
                  <w:color w:val="0000EE"/>
                </w:rPr>
                <w:t>Amended and Restated Certificate of Incorporation</w:t>
              </w:r>
            </w:hyperlink>
          </w:p>
        </w:tc>
      </w:tr>
      <w:tr>
        <w:trPr>
          <w:trHeight w:val="236"/>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4040" w:type="dxa"/>
            <w:vAlign w:val="bottom"/>
            <w:tcBorders>
              <w:top w:val="single" w:sz="8" w:color="0000EE"/>
            </w:tcBorders>
            <w:gridSpan w:val="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Amended and Restated Bylaws</w:t>
              </w:r>
            </w:hyperlink>
          </w:p>
        </w:tc>
        <w:tc>
          <w:tcPr>
            <w:tcW w:w="1540" w:type="dxa"/>
            <w:vAlign w:val="bottom"/>
            <w:gridSpan w:val="4"/>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4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31.1*</w:t>
            </w:r>
          </w:p>
        </w:tc>
        <w:tc>
          <w:tcPr>
            <w:tcW w:w="5580" w:type="dxa"/>
            <w:vAlign w:val="bottom"/>
            <w:gridSpan w:val="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Certification of Chief Executive Officer and Acting Chief Financial</w:t>
              </w:r>
            </w:hyperlink>
          </w:p>
        </w:tc>
      </w:tr>
      <w:tr>
        <w:trPr>
          <w:trHeight w:val="182"/>
        </w:trPr>
        <w:tc>
          <w:tcPr>
            <w:tcW w:w="940" w:type="dxa"/>
            <w:vAlign w:val="bottom"/>
          </w:tcPr>
          <w:p>
            <w:pPr>
              <w:spacing w:after="0"/>
              <w:rPr>
                <w:sz w:val="15"/>
                <w:szCs w:val="15"/>
                <w:color w:val="auto"/>
              </w:rPr>
            </w:pPr>
          </w:p>
        </w:tc>
        <w:tc>
          <w:tcPr>
            <w:tcW w:w="51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Officer Pursuant to Rules 13a-14(a) and 15d-14(a) under the</w:t>
              </w:r>
            </w:hyperlink>
          </w:p>
        </w:tc>
        <w:tc>
          <w:tcPr>
            <w:tcW w:w="420" w:type="dxa"/>
            <w:vAlign w:val="bottom"/>
            <w:gridSpan w:val="2"/>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2"/>
        </w:trPr>
        <w:tc>
          <w:tcPr>
            <w:tcW w:w="940" w:type="dxa"/>
            <w:vAlign w:val="bottom"/>
          </w:tcPr>
          <w:p>
            <w:pPr>
              <w:spacing w:after="0"/>
              <w:rPr>
                <w:sz w:val="15"/>
                <w:szCs w:val="15"/>
                <w:color w:val="auto"/>
              </w:rPr>
            </w:pPr>
          </w:p>
        </w:tc>
        <w:tc>
          <w:tcPr>
            <w:tcW w:w="55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Securities Exchange Act of 1934, as Adopted Pursuant to Section 302</w:t>
              </w:r>
            </w:hyperlink>
          </w:p>
        </w:tc>
      </w:tr>
      <w:tr>
        <w:trPr>
          <w:trHeight w:val="182"/>
        </w:trPr>
        <w:tc>
          <w:tcPr>
            <w:tcW w:w="940" w:type="dxa"/>
            <w:vAlign w:val="bottom"/>
          </w:tcPr>
          <w:p>
            <w:pPr>
              <w:spacing w:after="0"/>
              <w:rPr>
                <w:sz w:val="15"/>
                <w:szCs w:val="15"/>
                <w:color w:val="auto"/>
              </w:rPr>
            </w:pPr>
          </w:p>
        </w:tc>
        <w:tc>
          <w:tcPr>
            <w:tcW w:w="28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of the Sarbanes-Oxley Act of 2002.</w:t>
              </w:r>
            </w:hyperlink>
          </w:p>
        </w:tc>
        <w:tc>
          <w:tcPr>
            <w:tcW w:w="2780" w:type="dxa"/>
            <w:vAlign w:val="bottom"/>
            <w:gridSpan w:val="6"/>
          </w:tcPr>
          <w:p>
            <w:pPr>
              <w:spacing w:after="0"/>
              <w:rPr>
                <w:sz w:val="15"/>
                <w:szCs w:val="15"/>
                <w:color w:val="auto"/>
              </w:rPr>
            </w:pPr>
          </w:p>
        </w:tc>
      </w:tr>
      <w:tr>
        <w:trPr>
          <w:trHeight w:val="196"/>
        </w:trPr>
        <w:tc>
          <w:tcPr>
            <w:tcW w:w="94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32.1*</w:t>
            </w:r>
          </w:p>
        </w:tc>
        <w:tc>
          <w:tcPr>
            <w:tcW w:w="5580" w:type="dxa"/>
            <w:vAlign w:val="bottom"/>
            <w:gridSpan w:val="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Certification of Chief Executive Officer and Acting Chief Financial</w:t>
              </w:r>
            </w:hyperlink>
          </w:p>
        </w:tc>
      </w:tr>
      <w:tr>
        <w:trPr>
          <w:trHeight w:val="20"/>
        </w:trPr>
        <w:tc>
          <w:tcPr>
            <w:tcW w:w="940" w:type="dxa"/>
            <w:vAlign w:val="bottom"/>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2"/>
        </w:trPr>
        <w:tc>
          <w:tcPr>
            <w:tcW w:w="940" w:type="dxa"/>
            <w:vAlign w:val="bottom"/>
          </w:tcPr>
          <w:p>
            <w:pPr>
              <w:spacing w:after="0"/>
              <w:rPr>
                <w:sz w:val="15"/>
                <w:szCs w:val="15"/>
                <w:color w:val="auto"/>
              </w:rPr>
            </w:pPr>
          </w:p>
        </w:tc>
        <w:tc>
          <w:tcPr>
            <w:tcW w:w="5580" w:type="dxa"/>
            <w:vAlign w:val="bottom"/>
            <w:gridSpan w:val="8"/>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Officer Pursuant to 18 U.S.C. Section 1350, as Adopted Pursuant to</w:t>
              </w:r>
            </w:hyperlink>
          </w:p>
        </w:tc>
      </w:tr>
      <w:tr>
        <w:trPr>
          <w:trHeight w:val="182"/>
        </w:trPr>
        <w:tc>
          <w:tcPr>
            <w:tcW w:w="94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91">
              <w:r>
                <w:rPr>
                  <w:rFonts w:ascii="Arial" w:cs="Arial" w:eastAsia="Arial" w:hAnsi="Arial"/>
                  <w:sz w:val="18"/>
                  <w:szCs w:val="18"/>
                  <w:color w:val="0000EE"/>
                  <w:w w:val="99"/>
                </w:rPr>
                <w:t>Section 906 of the Sarbanes-Oxley Act of 2002.</w:t>
              </w:r>
            </w:hyperlink>
          </w:p>
        </w:tc>
        <w:tc>
          <w:tcPr>
            <w:tcW w:w="1600" w:type="dxa"/>
            <w:vAlign w:val="bottom"/>
            <w:tcBorders>
              <w:top w:val="single" w:sz="8" w:color="0000EE"/>
            </w:tcBorders>
            <w:gridSpan w:val="4"/>
          </w:tcPr>
          <w:p>
            <w:pPr>
              <w:spacing w:after="0"/>
              <w:rPr>
                <w:sz w:val="15"/>
                <w:szCs w:val="15"/>
                <w:color w:val="auto"/>
              </w:rPr>
            </w:pPr>
          </w:p>
        </w:tc>
        <w:tc>
          <w:tcPr>
            <w:tcW w:w="180" w:type="dxa"/>
            <w:vAlign w:val="bottom"/>
          </w:tcPr>
          <w:p>
            <w:pPr>
              <w:spacing w:after="0"/>
              <w:rPr>
                <w:sz w:val="15"/>
                <w:szCs w:val="15"/>
                <w:color w:val="auto"/>
              </w:rPr>
            </w:pPr>
          </w:p>
        </w:tc>
      </w:tr>
      <w:tr>
        <w:trPr>
          <w:trHeight w:val="236"/>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5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5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5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5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5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6"/>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5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9677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Borders>
              <w:top w:val="single" w:sz="8" w:color="auto"/>
            </w:tcBorders>
          </w:tcPr>
          <w:p>
            <w:pPr>
              <w:jc w:val="center"/>
              <w:ind w:right="70"/>
              <w:spacing w:after="0" w:line="173" w:lineRule="exact"/>
              <w:rPr>
                <w:sz w:val="20"/>
                <w:szCs w:val="20"/>
                <w:color w:val="auto"/>
              </w:rPr>
            </w:pPr>
            <w:r>
              <w:rPr>
                <w:rFonts w:ascii="Arial" w:cs="Arial" w:eastAsia="Arial" w:hAnsi="Arial"/>
                <w:sz w:val="18"/>
                <w:szCs w:val="18"/>
                <w:b w:val="1"/>
                <w:bCs w:val="1"/>
                <w:color w:val="auto"/>
                <w:w w:val="99"/>
              </w:rPr>
              <w:t>Schedule</w:t>
            </w:r>
          </w:p>
        </w:tc>
        <w:tc>
          <w:tcPr>
            <w:tcW w:w="15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r>
      <w:tr>
        <w:trPr>
          <w:trHeight w:val="239"/>
        </w:trPr>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7"/>
              </w:rPr>
              <w:t>Form</w:t>
            </w:r>
          </w:p>
        </w:tc>
        <w:tc>
          <w:tcPr>
            <w:tcW w:w="1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File Number</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210"/>
        </w:trPr>
        <w:tc>
          <w:tcPr>
            <w:tcW w:w="108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001-38853</w:t>
            </w:r>
          </w:p>
        </w:tc>
        <w:tc>
          <w:tcPr>
            <w:tcW w:w="1160" w:type="dxa"/>
            <w:vAlign w:val="bottom"/>
          </w:tcPr>
          <w:p>
            <w:pPr>
              <w:jc w:val="center"/>
              <w:spacing w:after="0"/>
              <w:rPr>
                <w:sz w:val="20"/>
                <w:szCs w:val="20"/>
                <w:color w:val="auto"/>
              </w:rPr>
            </w:pPr>
            <w:r>
              <w:rPr>
                <w:rFonts w:ascii="Arial" w:cs="Arial" w:eastAsia="Arial" w:hAnsi="Arial"/>
                <w:sz w:val="18"/>
                <w:szCs w:val="18"/>
                <w:color w:val="auto"/>
              </w:rPr>
              <w:t>3.1</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4/8/19</w:t>
            </w:r>
          </w:p>
        </w:tc>
      </w:tr>
      <w:tr>
        <w:trPr>
          <w:trHeight w:val="255"/>
        </w:trPr>
        <w:tc>
          <w:tcPr>
            <w:tcW w:w="1080" w:type="dxa"/>
            <w:vAlign w:val="bottom"/>
          </w:tcPr>
          <w:p>
            <w:pPr>
              <w:jc w:val="center"/>
              <w:ind w:right="70"/>
              <w:spacing w:after="0"/>
              <w:rPr>
                <w:sz w:val="20"/>
                <w:szCs w:val="20"/>
                <w:color w:val="auto"/>
              </w:rPr>
            </w:pPr>
            <w:r>
              <w:rPr>
                <w:rFonts w:ascii="Arial" w:cs="Arial" w:eastAsia="Arial" w:hAnsi="Arial"/>
                <w:sz w:val="18"/>
                <w:szCs w:val="18"/>
                <w:color w:val="auto"/>
                <w:w w:val="99"/>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333-227608</w:t>
            </w:r>
          </w:p>
        </w:tc>
        <w:tc>
          <w:tcPr>
            <w:tcW w:w="1160" w:type="dxa"/>
            <w:vAlign w:val="bottom"/>
          </w:tcPr>
          <w:p>
            <w:pPr>
              <w:jc w:val="center"/>
              <w:spacing w:after="0"/>
              <w:rPr>
                <w:sz w:val="20"/>
                <w:szCs w:val="20"/>
                <w:color w:val="auto"/>
              </w:rPr>
            </w:pPr>
            <w:r>
              <w:rPr>
                <w:rFonts w:ascii="Arial" w:cs="Arial" w:eastAsia="Arial" w:hAnsi="Arial"/>
                <w:sz w:val="18"/>
                <w:szCs w:val="18"/>
                <w:color w:val="auto"/>
              </w:rPr>
              <w:t>3.4</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9/28/18</w:t>
            </w:r>
          </w:p>
        </w:tc>
      </w:tr>
    </w:tbl>
    <w:p>
      <w:pPr>
        <w:spacing w:after="0" w:line="3181" w:lineRule="exact"/>
        <w:rPr>
          <w:sz w:val="20"/>
          <w:szCs w:val="20"/>
          <w:color w:val="auto"/>
        </w:rPr>
      </w:pPr>
    </w:p>
    <w:p>
      <w:pPr>
        <w:sectPr>
          <w:pgSz w:w="11900" w:h="16838" w:orient="portrait"/>
          <w:cols w:equalWidth="0" w:num="2">
            <w:col w:w="6520" w:space="40"/>
            <w:col w:w="4860"/>
          </w:cols>
          <w:pgMar w:left="240" w:top="332" w:right="239" w:bottom="1440" w:gutter="0" w:footer="0" w:header="0"/>
          <w:type w:val="continuous"/>
        </w:sectPr>
      </w:pPr>
    </w:p>
    <w:p>
      <w:pPr>
        <w:spacing w:after="0" w:line="136"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NGM Biopharmaceuticals, Inc.</w:t>
      </w:r>
    </w:p>
    <w:p>
      <w:pPr>
        <w:spacing w:after="0" w:line="30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23495</wp:posOffset>
            </wp:positionV>
            <wp:extent cx="33318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J. Woodhouse, Ph.D.</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Executive Officer, Acting Chief Financial Officer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333" w:right="2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PERIODIC REPORT UNDER SECTION 302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11" w:lineRule="exact"/>
        <w:rPr>
          <w:sz w:val="20"/>
          <w:szCs w:val="20"/>
          <w:color w:val="auto"/>
        </w:rPr>
      </w:pPr>
    </w:p>
    <w:p>
      <w:pPr>
        <w:ind w:left="760" w:hanging="75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Form 10-Q of NGM Biopharmaceuticals, Inc.;</w:t>
      </w:r>
    </w:p>
    <w:p>
      <w:pPr>
        <w:spacing w:after="0" w:line="211" w:lineRule="exact"/>
        <w:rPr>
          <w:rFonts w:ascii="Arial" w:cs="Arial" w:eastAsia="Arial" w:hAnsi="Arial"/>
          <w:sz w:val="18"/>
          <w:szCs w:val="18"/>
          <w:color w:val="auto"/>
        </w:rPr>
      </w:pPr>
    </w:p>
    <w:p>
      <w:pPr>
        <w:jc w:val="both"/>
        <w:ind w:left="760" w:hanging="75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760" w:hanging="75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760" w:hanging="752"/>
        <w:spacing w:after="0" w:line="245"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1520" w:hanging="757"/>
        <w:spacing w:after="0"/>
        <w:tabs>
          <w:tab w:leader="none" w:pos="1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520" w:hanging="757"/>
        <w:spacing w:after="0"/>
        <w:tabs>
          <w:tab w:leader="none" w:pos="1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520" w:hanging="757"/>
        <w:spacing w:after="0"/>
        <w:tabs>
          <w:tab w:leader="none" w:pos="1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760" w:hanging="752"/>
        <w:spacing w:after="0" w:line="245"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520" w:hanging="757"/>
        <w:spacing w:after="0"/>
        <w:tabs>
          <w:tab w:leader="none" w:pos="1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520" w:hanging="730"/>
        <w:spacing w:after="0" w:line="245" w:lineRule="auto"/>
        <w:tabs>
          <w:tab w:leader="none" w:pos="15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54"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-1905</wp:posOffset>
            </wp:positionV>
            <wp:extent cx="32975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29755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color w:val="auto"/>
        </w:rPr>
        <w:t>David J. Woodhouse, Ph.D.</w:t>
      </w:r>
    </w:p>
    <w:p>
      <w:pPr>
        <w:spacing w:after="0" w:line="18"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Chief Executive Officer and Acting Chief Financial Officer</w:t>
      </w:r>
    </w:p>
    <w:p>
      <w:pPr>
        <w:sectPr>
          <w:pgSz w:w="11900" w:h="16838" w:orient="portrait"/>
          <w:cols w:equalWidth="0" w:num="1">
            <w:col w:w="11420"/>
          </w:cols>
          <w:pgMar w:left="240" w:top="118"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David J. Woodhouse, Chief Executive Officer and Acting Chief Financial Officer of NGM Biopharmaceuticals, Inc. (the “Company”) hereby certifies that, to the best of his knowledge:</w:t>
      </w:r>
    </w:p>
    <w:p>
      <w:pPr>
        <w:spacing w:after="0" w:line="202" w:lineRule="exact"/>
        <w:rPr>
          <w:sz w:val="20"/>
          <w:szCs w:val="20"/>
          <w:color w:val="auto"/>
        </w:rPr>
      </w:pPr>
    </w:p>
    <w:p>
      <w:pPr>
        <w:ind w:left="880" w:right="20" w:hanging="872"/>
        <w:spacing w:after="0" w:line="245"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2019, to which this Certification is attached as Exhibit 32.1 (the “Periodic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880" w:hanging="872"/>
        <w:spacing w:after="0" w:line="245"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has set his hands hereto as of the twelfth day of November, 2019.</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6233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J. Woodhouse, Ph.D.</w:t>
      </w:r>
    </w:p>
    <w:p>
      <w:pPr>
        <w:spacing w:after="0"/>
        <w:rPr>
          <w:sz w:val="20"/>
          <w:szCs w:val="20"/>
          <w:color w:val="auto"/>
        </w:rPr>
      </w:pPr>
      <w:r>
        <w:rPr>
          <w:rFonts w:ascii="Arial" w:cs="Arial" w:eastAsia="Arial" w:hAnsi="Arial"/>
          <w:sz w:val="18"/>
          <w:szCs w:val="18"/>
          <w:i w:val="1"/>
          <w:iCs w:val="1"/>
          <w:color w:val="auto"/>
        </w:rPr>
        <w:t>Chief Executive Officer and Acting Chief Financial Officer</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“This certification accompanies the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4"/>
    </w:lvl>
  </w:abstractNum>
  <w:abstractNum w:abstractNumId="4">
    <w:nsid w:val="6763845E"/>
    <w:multiLevelType w:val="hybridMultilevel"/>
    <w:lvl w:ilvl="0">
      <w:lvlJc w:val="left"/>
      <w:lvlText w:val="%1."/>
      <w:numFmt w:val="decimal"/>
      <w:start w:val="7"/>
    </w:lvl>
  </w:abstractNum>
  <w:abstractNum w:abstractNumId="5">
    <w:nsid w:val="75A2A8D4"/>
    <w:multiLevelType w:val="hybridMultilevel"/>
    <w:lvl w:ilvl="0">
      <w:lvlJc w:val="left"/>
      <w:lvlText w:val="%1."/>
      <w:numFmt w:val="decimal"/>
      <w:start w:val="9"/>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15" Type="http://schemas.openxmlformats.org/officeDocument/2006/relationships/hyperlink" Target="http://www.sec.gov/Archives/edgar/data/1426332/000119312519100757/d731361dex31.htm" TargetMode="External"/><Relationship Id="rId116" Type="http://schemas.openxmlformats.org/officeDocument/2006/relationships/hyperlink" Target="http://www.sec.gov/Archives/edgar/data/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2019-12-28T01:55:03Z</dcterms:created>
  <dcterms:modified xsi:type="dcterms:W3CDTF">2019-12-28T01:55:03Z</dcterms:modified>
</cp:coreProperties>
</file>