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06/15/2020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5,600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21.15</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1,064,405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06/15/2020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19,400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21.79</w:t>
            </w:r>
            <w:r>
              <w:rPr>
                <w:rFonts w:ascii="Arial" w:cs="Arial" w:eastAsia="Arial" w:hAnsi="Arial"/>
                <w:sz w:val="22"/>
                <w:szCs w:val="22"/>
                <w:color w:val="008000"/>
                <w:w w:val="94"/>
                <w:vertAlign w:val="superscript"/>
              </w:rPr>
              <w:t>(4)</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1,045,005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May 15, 2020.</w:t>
      </w:r>
    </w:p>
    <w:p>
      <w:pPr>
        <w:spacing w:after="0" w:line="50" w:lineRule="exact"/>
        <w:rPr>
          <w:rFonts w:ascii="Arial" w:cs="Arial" w:eastAsia="Arial" w:hAnsi="Arial"/>
          <w:sz w:val="13"/>
          <w:szCs w:val="13"/>
          <w:color w:val="008000"/>
        </w:rPr>
      </w:pPr>
    </w:p>
    <w:p>
      <w:pPr>
        <w:ind w:left="40" w:right="52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$20.44 to $21.435. The reporting person has provided to the issuer, and undertakes to provide to the staff of the Commission or any security holder of the issuer, upon request, full information regarding the number of shares sold at each separate price within the range.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1,562 shares purchased through the Issuer's ESPP on November 15, 2019.</w:t>
      </w:r>
    </w:p>
    <w:p>
      <w:pPr>
        <w:spacing w:after="0" w:line="50" w:lineRule="exact"/>
        <w:rPr>
          <w:rFonts w:ascii="Arial" w:cs="Arial" w:eastAsia="Arial" w:hAnsi="Arial"/>
          <w:sz w:val="13"/>
          <w:szCs w:val="13"/>
          <w:color w:val="008000"/>
        </w:rPr>
      </w:pPr>
    </w:p>
    <w:p>
      <w:pPr>
        <w:ind w:left="40" w:right="58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$21.45 to $22.06.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06/17/2020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2020-06-17T17:32:24Z</dcterms:created>
  <dcterms:modified xsi:type="dcterms:W3CDTF">2020-06-17T17:32:24Z</dcterms:modified>
</cp:coreProperties>
</file>