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838"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10"/>
            <w:vMerge w:val="continue"/>
          </w:tcPr>
          <w:p>
            <w:pPr>
              <w:spacing w:after="0" w:line="20" w:lineRule="exact"/>
              <w:rPr>
                <w:sz w:val="1"/>
                <w:szCs w:val="1"/>
                <w:color w:val="auto"/>
              </w:rPr>
            </w:pPr>
          </w:p>
        </w:tc>
        <w:tc>
          <w:tcPr>
            <w:tcW w:w="3660" w:type="dxa"/>
            <w:vAlign w:val="bottom"/>
            <w:gridSpan w:val="9"/>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60" w:type="dxa"/>
            <w:vAlign w:val="bottom"/>
            <w:gridSpan w:val="10"/>
            <w:vMerge w:val="continue"/>
          </w:tcPr>
          <w:p>
            <w:pPr>
              <w:spacing w:after="0"/>
              <w:rPr>
                <w:sz w:val="12"/>
                <w:szCs w:val="12"/>
                <w:color w:val="auto"/>
              </w:rPr>
            </w:pPr>
          </w:p>
        </w:tc>
        <w:tc>
          <w:tcPr>
            <w:tcW w:w="3660" w:type="dxa"/>
            <w:vAlign w:val="bottom"/>
            <w:gridSpan w:val="9"/>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gridSpan w:val="4"/>
            <w:vMerge w:val="restart"/>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gridSpan w:val="8"/>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29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2"/>
          </w:tcPr>
          <w:p>
            <w:pPr>
              <w:spacing w:after="0"/>
              <w:rPr>
                <w:sz w:val="11"/>
                <w:szCs w:val="11"/>
                <w:color w:val="auto"/>
              </w:rPr>
            </w:pPr>
          </w:p>
        </w:tc>
        <w:tc>
          <w:tcPr>
            <w:tcW w:w="2720" w:type="dxa"/>
            <w:vAlign w:val="bottom"/>
            <w:tcBorders>
              <w:bottom w:val="single" w:sz="8" w:color="2C2C2C"/>
            </w:tcBorders>
            <w:gridSpan w:val="6"/>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60" w:type="dxa"/>
            <w:vAlign w:val="bottom"/>
          </w:tcPr>
          <w:p>
            <w:pPr>
              <w:spacing w:after="0"/>
              <w:rPr>
                <w:sz w:val="15"/>
                <w:szCs w:val="15"/>
                <w:color w:val="auto"/>
              </w:rPr>
            </w:pPr>
          </w:p>
        </w:tc>
        <w:tc>
          <w:tcPr>
            <w:tcW w:w="1360" w:type="dxa"/>
            <w:vAlign w:val="bottom"/>
            <w:gridSpan w:val="6"/>
          </w:tcPr>
          <w:p>
            <w:pPr>
              <w:ind w:left="24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60" w:type="dxa"/>
            <w:vAlign w:val="bottom"/>
            <w:gridSpan w:val="2"/>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360" w:type="dxa"/>
            <w:vAlign w:val="bottom"/>
            <w:gridSpan w:val="6"/>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11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 (D)</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6"/>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4"/>
          </w:tcPr>
          <w:p>
            <w:pPr>
              <w:ind w:left="640"/>
              <w:spacing w:after="0"/>
              <w:rPr>
                <w:sz w:val="20"/>
                <w:szCs w:val="20"/>
                <w:color w:val="auto"/>
              </w:rPr>
            </w:pPr>
            <w:r>
              <w:rPr>
                <w:rFonts w:ascii="Arial" w:cs="Arial" w:eastAsia="Arial" w:hAnsi="Arial"/>
                <w:sz w:val="17"/>
                <w:szCs w:val="17"/>
                <w:color w:val="0000FF"/>
              </w:rPr>
              <w:t>08/27/2020</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w w:val="74"/>
              </w:rPr>
              <w:t>P</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36,359</w:t>
            </w:r>
            <w:r>
              <w:rPr>
                <w:rFonts w:ascii="Arial" w:cs="Arial" w:eastAsia="Arial" w:hAnsi="Arial"/>
                <w:sz w:val="22"/>
                <w:szCs w:val="22"/>
                <w:color w:val="008000"/>
                <w:vertAlign w:val="superscript"/>
              </w:rPr>
              <w:t>(1)</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17.79</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1,736,801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4"/>
          </w:tcPr>
          <w:p>
            <w:pPr>
              <w:ind w:left="640"/>
              <w:spacing w:after="0"/>
              <w:rPr>
                <w:sz w:val="20"/>
                <w:szCs w:val="20"/>
                <w:color w:val="auto"/>
              </w:rPr>
            </w:pPr>
            <w:r>
              <w:rPr>
                <w:rFonts w:ascii="Arial" w:cs="Arial" w:eastAsia="Arial" w:hAnsi="Arial"/>
                <w:sz w:val="17"/>
                <w:szCs w:val="17"/>
                <w:color w:val="0000FF"/>
              </w:rPr>
              <w:t>08/28/2020</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w w:val="74"/>
              </w:rPr>
              <w:t>P</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26,135</w:t>
            </w:r>
            <w:r>
              <w:rPr>
                <w:rFonts w:ascii="Arial" w:cs="Arial" w:eastAsia="Arial" w:hAnsi="Arial"/>
                <w:sz w:val="22"/>
                <w:szCs w:val="22"/>
                <w:color w:val="008000"/>
                <w:vertAlign w:val="superscript"/>
              </w:rPr>
              <w:t>(4)</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17.89</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1,762,936</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0000FF"/>
                <w:w w:val="87"/>
              </w:rPr>
              <w:t>16,166,907</w:t>
            </w:r>
            <w:r>
              <w:rPr>
                <w:rFonts w:ascii="Arial" w:cs="Arial" w:eastAsia="Arial" w:hAnsi="Arial"/>
                <w:sz w:val="22"/>
                <w:szCs w:val="22"/>
                <w:color w:val="008000"/>
                <w:w w:val="87"/>
                <w:vertAlign w:val="superscript"/>
              </w:rPr>
              <w:t>(5)</w:t>
            </w:r>
          </w:p>
        </w:tc>
        <w:tc>
          <w:tcPr>
            <w:tcW w:w="1140" w:type="dxa"/>
            <w:vAlign w:val="bottom"/>
            <w:tcBorders>
              <w:bottom w:val="single" w:sz="8" w:color="2C2C2C"/>
            </w:tcBorders>
            <w:gridSpan w:val="2"/>
          </w:tcPr>
          <w:p>
            <w:pPr>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(6)(7)(8)(9)(10)(11)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w w:val="92"/>
              </w:rPr>
              <w:t>15,000</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Arial" w:cs="Arial" w:eastAsia="Arial" w:hAnsi="Arial"/>
                <w:sz w:val="34"/>
                <w:szCs w:val="34"/>
                <w:color w:val="0000FF"/>
                <w:w w:val="83"/>
                <w:vertAlign w:val="subscript"/>
              </w:rPr>
              <w:t>D</w:t>
            </w:r>
            <w:r>
              <w:rPr>
                <w:rFonts w:ascii="Arial" w:cs="Arial" w:eastAsia="Arial" w:hAnsi="Arial"/>
                <w:sz w:val="11"/>
                <w:szCs w:val="11"/>
                <w:color w:val="008000"/>
                <w:w w:val="83"/>
              </w:rPr>
              <w:t>(12)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w w:val="92"/>
              </w:rPr>
              <w:t>44,000</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Arial" w:cs="Arial" w:eastAsia="Arial" w:hAnsi="Arial"/>
                <w:sz w:val="34"/>
                <w:szCs w:val="34"/>
                <w:color w:val="0000FF"/>
                <w:w w:val="83"/>
                <w:vertAlign w:val="subscript"/>
              </w:rPr>
              <w:t>D</w:t>
            </w:r>
            <w:r>
              <w:rPr>
                <w:rFonts w:ascii="Arial" w:cs="Arial" w:eastAsia="Arial" w:hAnsi="Arial"/>
                <w:sz w:val="11"/>
                <w:szCs w:val="11"/>
                <w:color w:val="008000"/>
                <w:w w:val="83"/>
              </w:rPr>
              <w:t>(13)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7"/>
                <w:szCs w:val="17"/>
                <w:color w:val="0000FF"/>
                <w:w w:val="91"/>
              </w:rPr>
              <w:t>190,000</w:t>
            </w:r>
          </w:p>
        </w:tc>
        <w:tc>
          <w:tcPr>
            <w:tcW w:w="30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8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6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gridSpan w:val="2"/>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COLUMN GROUP GP, LP</w:t>
              </w:r>
            </w:hyperlink>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gridSpan w:val="2"/>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-6726555</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109855</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3"/>
        </w:trPr>
        <w:tc>
          <w:tcPr>
            <w:tcW w:w="1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FRANCISCO</w:t>
            </w:r>
          </w:p>
        </w:tc>
        <w:tc>
          <w:tcPr>
            <w:tcW w:w="1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2"/>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COLUMN GROUP II,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Column Group II GP,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w w:val="93"/>
              </w:rPr>
            </w:pPr>
            <w:hyperlink r:id="rId20">
              <w:r>
                <w:rPr>
                  <w:rFonts w:ascii="Arial" w:cs="Arial" w:eastAsia="Arial" w:hAnsi="Arial"/>
                  <w:sz w:val="21"/>
                  <w:szCs w:val="21"/>
                  <w:u w:val="single" w:color="auto"/>
                  <w:color w:val="0000EE"/>
                  <w:w w:val="93"/>
                </w:rPr>
                <w:t>Column Group Management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PONOI CAPITAL,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Ponoi Management, LLC</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-10178415</wp:posOffset>
            </wp:positionV>
            <wp:extent cx="2783840" cy="10526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783840" cy="10526395"/>
                    </a:xfrm>
                    <a:prstGeom prst="rect">
                      <a:avLst/>
                    </a:prstGeom>
                    <a:noFill/>
                  </pic:spPr>
                </pic:pic>
              </a:graphicData>
            </a:graphic>
          </wp:anchor>
        </w:drawing>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9979"/>
          </w:cols>
          <w:pgMar w:left="480" w:top="131" w:right="1440" w:bottom="0" w:gutter="0" w:footer="0" w:header="0"/>
        </w:sectPr>
      </w:pPr>
    </w:p>
    <w:bookmarkStart w:id="2" w:name="page3"/>
    <w:bookmarkEnd w:id="2"/>
    <w:p>
      <w:pPr>
        <w:ind w:left="100"/>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Ponoi Capital II,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-138430</wp:posOffset>
            </wp:positionV>
            <wp:extent cx="2783840" cy="5584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2783840" cy="5584825"/>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6">
              <w:r>
                <w:rPr>
                  <w:rFonts w:ascii="Arial" w:cs="Arial" w:eastAsia="Arial" w:hAnsi="Arial"/>
                  <w:sz w:val="21"/>
                  <w:szCs w:val="21"/>
                  <w:u w:val="single" w:color="auto"/>
                  <w:color w:val="0000EE"/>
                </w:rPr>
                <w:t>Ponoi II Management, LLC</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76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1260" w:type="dxa"/>
            <w:vAlign w:val="bottom"/>
          </w:tcPr>
          <w:p>
            <w:pPr>
              <w:spacing w:after="0"/>
              <w:rPr>
                <w:rFonts w:ascii="Arial" w:cs="Arial" w:eastAsia="Arial" w:hAnsi="Arial"/>
                <w:sz w:val="21"/>
                <w:szCs w:val="21"/>
                <w:u w:val="single" w:color="auto"/>
                <w:color w:val="0000EE"/>
              </w:rPr>
            </w:pPr>
            <w:hyperlink r:id="rId27">
              <w:r>
                <w:rPr>
                  <w:rFonts w:ascii="Arial" w:cs="Arial" w:eastAsia="Arial" w:hAnsi="Arial"/>
                  <w:sz w:val="21"/>
                  <w:szCs w:val="21"/>
                  <w:u w:val="single" w:color="auto"/>
                  <w:color w:val="0000EE"/>
                </w:rPr>
                <w:t>Kutzkey Tim</w:t>
              </w:r>
            </w:hyperlink>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17,075 shares of Common Stock held directly by The Column Group III, LP ("TCG III LP") and 19,284 shares of Common Stock held directly by The Column Group III-A, LP ("TCG III-A LP").</w:t>
      </w:r>
    </w:p>
    <w:p>
      <w:pPr>
        <w:spacing w:after="0" w:line="15" w:lineRule="exact"/>
        <w:rPr>
          <w:rFonts w:ascii="Arial" w:cs="Arial" w:eastAsia="Arial" w:hAnsi="Arial"/>
          <w:sz w:val="13"/>
          <w:szCs w:val="13"/>
          <w:color w:val="008000"/>
        </w:rPr>
      </w:pPr>
    </w:p>
    <w:p>
      <w:pPr>
        <w:ind w:left="20" w:right="1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12,274 shares of Common Stock held directly by TCG III LP and 13,861 shares of Common Stock held directly by TCG III-A LP.</w:t>
      </w:r>
    </w:p>
    <w:p>
      <w:pPr>
        <w:spacing w:after="0" w:line="50" w:lineRule="exact"/>
        <w:rPr>
          <w:rFonts w:ascii="Arial" w:cs="Arial" w:eastAsia="Arial" w:hAnsi="Arial"/>
          <w:sz w:val="13"/>
          <w:szCs w:val="13"/>
          <w:color w:val="008000"/>
        </w:rPr>
      </w:pPr>
    </w:p>
    <w:p>
      <w:pPr>
        <w:ind w:left="20" w:right="18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2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46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16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20" w:firstLine="7"/>
        <w:spacing w:after="0" w:line="250"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21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50" w:lineRule="exact"/>
        <w:rPr>
          <w:rFonts w:ascii="Arial" w:cs="Arial" w:eastAsia="Arial" w:hAnsi="Arial"/>
          <w:sz w:val="13"/>
          <w:szCs w:val="13"/>
          <w:color w:val="008000"/>
        </w:rPr>
      </w:pPr>
    </w:p>
    <w:p>
      <w:pPr>
        <w:ind w:left="20" w:right="60" w:firstLine="7"/>
        <w:spacing w:after="0" w:line="245"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 who is a managing partner at The Column Group which invests through TCG II LP, Ponoi LP, Ponoi II LP, TCG III LP and TCG III-A LP (collectively, the "Funds"), among other entities. Under the partnership agreements of the Funds and his agreement with TCGM LP, Mr. Svennilson is deemed to hold certain of the securities for the economic benefit of the Funds and TCGM LP. The Funds and their respective general partners, TCGM LP and the individual managing partners of such entities may be deemed indirect beneficial owners of such securities. Such reporting persons disclaim beneficial ownership of the securities except to the extent of their pecuniary interest therein.</w:t>
      </w:r>
    </w:p>
    <w:p>
      <w:pPr>
        <w:spacing w:after="0" w:line="29"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David V. Goeddel and Alena Z. Goeddel 2004 Trust for which David V. Goeddel and Alena Z. Goeddel serve as co-trustee.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Due to SEC restrictions on the number of reporting owners, this is Form 1 of 2.</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08/31/2020</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540" w:type="dxa"/>
            <w:vAlign w:val="bottom"/>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654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80" w:top="118" w:right="519" w:bottom="0" w:gutter="0" w:footer="0" w:header="0"/>
        </w:sectPr>
      </w:pPr>
    </w:p>
    <w:bookmarkStart w:id="3" w:name="page4"/>
    <w:bookmarkEnd w:id="3"/>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6"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3" Type="http://schemas.openxmlformats.org/officeDocument/2006/relationships/image" Target="media/image8.png"/><Relationship Id="rId25" Type="http://schemas.openxmlformats.org/officeDocument/2006/relationships/image" Target="media/image9.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14627" TargetMode="External"/><Relationship Id="rId18" Type="http://schemas.openxmlformats.org/officeDocument/2006/relationships/hyperlink" Target="http://www.sec.gov/cgi-bin/browse-edgar?action=getcompany&amp;CIK=0001600420" TargetMode="External"/><Relationship Id="rId19" Type="http://schemas.openxmlformats.org/officeDocument/2006/relationships/hyperlink" Target="http://www.sec.gov/cgi-bin/browse-edgar?action=getcompany&amp;CIK=0001645333" TargetMode="External"/><Relationship Id="rId20" Type="http://schemas.openxmlformats.org/officeDocument/2006/relationships/hyperlink" Target="http://www.sec.gov/cgi-bin/browse-edgar?action=getcompany&amp;CIK=0001645340" TargetMode="External"/><Relationship Id="rId21" Type="http://schemas.openxmlformats.org/officeDocument/2006/relationships/hyperlink" Target="http://www.sec.gov/cgi-bin/browse-edgar?action=getcompany&amp;CIK=0001707230" TargetMode="External"/><Relationship Id="rId22" Type="http://schemas.openxmlformats.org/officeDocument/2006/relationships/hyperlink" Target="http://www.sec.gov/cgi-bin/browse-edgar?action=getcompany&amp;CIK=0001720702" TargetMode="External"/><Relationship Id="rId24" Type="http://schemas.openxmlformats.org/officeDocument/2006/relationships/hyperlink" Target="http://www.sec.gov/cgi-bin/browse-edgar?action=getcompany&amp;CIK=0001732601" TargetMode="External"/><Relationship Id="rId26" Type="http://schemas.openxmlformats.org/officeDocument/2006/relationships/hyperlink" Target="http://www.sec.gov/cgi-bin/browse-edgar?action=getcompany&amp;CIK=0001746488" TargetMode="External"/><Relationship Id="rId27" Type="http://schemas.openxmlformats.org/officeDocument/2006/relationships/hyperlink" Target="http://www.sec.gov/cgi-bin/browse-edgar?action=getcompany&amp;CIK=00016141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2020-08-31T16:02:34Z</dcterms:created>
  <dcterms:modified xsi:type="dcterms:W3CDTF">2020-08-31T16:02:34Z</dcterms:modified>
</cp:coreProperties>
</file>