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4"/>
          <w:szCs w:val="24"/>
          <w:color w:val="auto"/>
        </w:rPr>
      </w:pPr>
    </w:p>
    <w:p>
      <w:pPr>
        <w:ind w:left="3720" w:right="1800" w:hanging="3712"/>
        <w:spacing w:after="0" w:line="287" w:lineRule="auto"/>
        <w:tabs>
          <w:tab w:leader="none" w:pos="5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5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ind w:left="37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4003040</wp:posOffset>
            </wp:positionH>
            <wp:positionV relativeFrom="paragraph">
              <wp:posOffset>-15875</wp:posOffset>
            </wp:positionV>
            <wp:extent cx="742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NGM BIOPHARMACEUTICALS,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p>
      <w:pPr>
        <w:spacing w:after="0" w:line="208"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26-1679911</w:t>
      </w:r>
    </w:p>
    <w:p>
      <w:pPr>
        <w:spacing w:after="0" w:line="25"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500" w:space="720"/>
            <w:col w:w="4020"/>
          </w:cols>
          <w:pgMar w:left="320" w:top="423"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333 Oyster Point Boulevard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(650) 243-5555</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22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0"/>
        </w:trPr>
        <w:tc>
          <w:tcPr>
            <w:tcW w:w="4640" w:type="dxa"/>
            <w:vAlign w:val="bottom"/>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2260" w:type="dxa"/>
            <w:vAlign w:val="bottom"/>
          </w:tcPr>
          <w:p>
            <w:pPr>
              <w:jc w:val="center"/>
              <w:ind w:left="79"/>
              <w:spacing w:after="0"/>
              <w:rPr>
                <w:sz w:val="20"/>
                <w:szCs w:val="20"/>
                <w:color w:val="auto"/>
              </w:rPr>
            </w:pPr>
            <w:r>
              <w:rPr>
                <w:rFonts w:ascii="Arial" w:cs="Arial" w:eastAsia="Arial" w:hAnsi="Arial"/>
                <w:sz w:val="16"/>
                <w:szCs w:val="16"/>
                <w:color w:val="auto"/>
              </w:rPr>
              <w:t>NGM</w:t>
            </w:r>
          </w:p>
        </w:tc>
        <w:tc>
          <w:tcPr>
            <w:tcW w:w="4340" w:type="dxa"/>
            <w:vAlign w:val="bottom"/>
          </w:tcPr>
          <w:p>
            <w:pPr>
              <w:jc w:val="center"/>
              <w:ind w:left="19"/>
              <w:spacing w:after="0"/>
              <w:rPr>
                <w:sz w:val="20"/>
                <w:szCs w:val="20"/>
                <w:color w:val="auto"/>
              </w:rPr>
            </w:pPr>
            <w:r>
              <w:rPr>
                <w:rFonts w:ascii="Arial" w:cs="Arial" w:eastAsia="Arial" w:hAnsi="Arial"/>
                <w:sz w:val="16"/>
                <w:szCs w:val="16"/>
                <w:color w:val="auto"/>
              </w:rPr>
              <w:t>The Nasdaq Stock Market LLC</w:t>
            </w:r>
          </w:p>
        </w:tc>
      </w:tr>
    </w:tbl>
    <w:p>
      <w:pPr>
        <w:spacing w:after="0" w:line="6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2" w:lineRule="exact"/>
        <w:rPr>
          <w:sz w:val="24"/>
          <w:szCs w:val="24"/>
          <w:color w:val="auto"/>
        </w:rPr>
      </w:pPr>
    </w:p>
    <w:p>
      <w:pPr>
        <w:ind w:right="3860"/>
        <w:spacing w:after="0" w:line="190"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jc w:val="both"/>
        <w:ind w:right="20"/>
        <w:spacing w:after="0" w:line="15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 w:lineRule="exact"/>
        <w:rPr>
          <w:sz w:val="24"/>
          <w:szCs w:val="24"/>
          <w:color w:val="auto"/>
        </w:rPr>
      </w:pPr>
    </w:p>
    <w:p>
      <w:pPr>
        <w:jc w:val="both"/>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18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2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80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8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2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80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8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940" w:type="dxa"/>
            <w:vAlign w:val="bottom"/>
          </w:tcPr>
          <w:p>
            <w:pPr>
              <w:ind w:left="2800"/>
              <w:spacing w:after="0"/>
              <w:rPr>
                <w:sz w:val="20"/>
                <w:szCs w:val="20"/>
                <w:color w:val="auto"/>
              </w:rPr>
            </w:pPr>
            <w:r>
              <w:rPr>
                <w:rFonts w:ascii="Arial" w:cs="Arial" w:eastAsia="Arial" w:hAnsi="Arial"/>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45" w:lineRule="exact"/>
        <w:rPr>
          <w:sz w:val="24"/>
          <w:szCs w:val="24"/>
          <w:color w:val="auto"/>
        </w:rPr>
      </w:pPr>
    </w:p>
    <w:p>
      <w:pPr>
        <w:jc w:val="both"/>
        <w:spacing w:after="0" w:line="15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3" w:lineRule="exact"/>
        <w:rPr>
          <w:sz w:val="24"/>
          <w:szCs w:val="24"/>
          <w:color w:val="auto"/>
        </w:rPr>
      </w:pPr>
    </w:p>
    <w:p>
      <w:pPr>
        <w:jc w:val="both"/>
        <w:spacing w:after="0" w:line="222"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as of June 30, 2020, the last business day of the registrant’s most recently completed second fiscal quarter, was approximately $457 million, calculated based on the closing price of the registrant’s common stock as reported by the Nasdaq Global Select Market. Excludes an aggregate of 45,585,585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As of March 10, 2021, the number of outstanding shares of the registrant’s common stock, par value $0.001 per share, was 76,692,401.</w:t>
      </w:r>
    </w:p>
    <w:p>
      <w:pPr>
        <w:spacing w:after="0" w:line="105"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jc w:val="both"/>
        <w:spacing w:after="0" w:line="230" w:lineRule="auto"/>
        <w:rPr>
          <w:sz w:val="20"/>
          <w:szCs w:val="20"/>
          <w:color w:val="auto"/>
        </w:rPr>
      </w:pPr>
      <w:r>
        <w:rPr>
          <w:rFonts w:ascii="Arial" w:cs="Arial" w:eastAsia="Arial" w:hAnsi="Arial"/>
          <w:sz w:val="13"/>
          <w:szCs w:val="13"/>
          <w:color w:val="auto"/>
        </w:rPr>
        <w:t>Portions of the registrant’s definitive Proxy Statement for the 2021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type w:val="continuous"/>
        </w:sectPr>
      </w:pPr>
    </w:p>
    <w:bookmarkStart w:id="1" w:name="page2"/>
    <w:bookmarkEnd w:id="1"/>
    <w:p>
      <w:pPr>
        <w:jc w:val="center"/>
        <w:ind w:left="960"/>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left="960"/>
        <w:spacing w:after="0"/>
        <w:rPr>
          <w:sz w:val="20"/>
          <w:szCs w:val="20"/>
          <w:color w:val="auto"/>
        </w:rPr>
      </w:pPr>
      <w:r>
        <w:rPr>
          <w:rFonts w:ascii="Arial" w:cs="Arial" w:eastAsia="Arial" w:hAnsi="Arial"/>
          <w:sz w:val="18"/>
          <w:szCs w:val="18"/>
          <w:b w:val="1"/>
          <w:bCs w:val="1"/>
          <w:color w:val="auto"/>
        </w:rPr>
        <w:t>2020 ANNUAL REPORT ON FORM 10-K</w:t>
      </w:r>
    </w:p>
    <w:p>
      <w:pPr>
        <w:jc w:val="center"/>
        <w:ind w:left="9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9020" w:type="dxa"/>
            <w:vAlign w:val="bottom"/>
          </w:tcPr>
          <w:p>
            <w:pPr>
              <w:spacing w:after="0"/>
              <w:rPr>
                <w:sz w:val="18"/>
                <w:szCs w:val="18"/>
                <w:color w:val="auto"/>
              </w:rPr>
            </w:pPr>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902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1A.</w:t>
              </w:r>
            </w:hyperlink>
          </w:p>
        </w:tc>
        <w:tc>
          <w:tcPr>
            <w:tcW w:w="9020" w:type="dxa"/>
            <w:vAlign w:val="bottom"/>
          </w:tcPr>
          <w:p>
            <w:pPr>
              <w:ind w:left="1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Risk Factors.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1B.</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Unresolved Staff Comments.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2.</w:t>
              </w:r>
            </w:hyperlink>
          </w:p>
        </w:tc>
        <w:tc>
          <w:tcPr>
            <w:tcW w:w="9020" w:type="dxa"/>
            <w:vAlign w:val="bottom"/>
          </w:tcPr>
          <w:p>
            <w:pPr>
              <w:ind w:left="100"/>
              <w:spacing w:after="0"/>
              <w:rPr>
                <w:rFonts w:ascii="Arial" w:cs="Arial" w:eastAsia="Arial" w:hAnsi="Arial"/>
                <w:sz w:val="18"/>
                <w:szCs w:val="18"/>
                <w:color w:val="0000EE"/>
              </w:rPr>
            </w:pPr>
            <w:hyperlink w:anchor="page108">
              <w:r>
                <w:rPr>
                  <w:rFonts w:ascii="Arial" w:cs="Arial" w:eastAsia="Arial" w:hAnsi="Arial"/>
                  <w:sz w:val="18"/>
                  <w:szCs w:val="18"/>
                  <w:u w:val="single" w:color="auto"/>
                  <w:color w:val="0000EE"/>
                </w:rPr>
                <w:t>Properties</w:t>
              </w:r>
              <w:r>
                <w:rPr>
                  <w:rFonts w:ascii="Arial" w:cs="Arial" w:eastAsia="Arial" w:hAnsi="Arial"/>
                  <w:sz w:val="18"/>
                  <w:szCs w:val="18"/>
                  <w:color w:val="0000EE"/>
                </w:rPr>
                <w:t>.</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3.</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Legal Proceedings.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4.</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Mine Safety Disclosures.</w:t>
              </w:r>
            </w:hyperlink>
          </w:p>
        </w:tc>
      </w:tr>
      <w:tr>
        <w:trPr>
          <w:trHeight w:val="364"/>
        </w:trPr>
        <w:tc>
          <w:tcPr>
            <w:tcW w:w="1260" w:type="dxa"/>
            <w:vAlign w:val="bottom"/>
            <w:gridSpan w:val="3"/>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PART II</w:t>
              </w:r>
            </w:hyperlink>
          </w:p>
        </w:tc>
        <w:tc>
          <w:tcPr>
            <w:tcW w:w="9020" w:type="dxa"/>
            <w:vAlign w:val="bottom"/>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5.</w:t>
              </w:r>
            </w:hyperlink>
          </w:p>
        </w:tc>
        <w:tc>
          <w:tcPr>
            <w:tcW w:w="9020" w:type="dxa"/>
            <w:vAlign w:val="bottom"/>
          </w:tcPr>
          <w:p>
            <w:pPr>
              <w:ind w:left="100"/>
              <w:spacing w:after="0"/>
              <w:rPr>
                <w:rFonts w:ascii="Arial" w:cs="Arial" w:eastAsia="Arial" w:hAnsi="Arial"/>
                <w:sz w:val="18"/>
                <w:szCs w:val="18"/>
                <w:u w:val="single" w:color="auto"/>
                <w:color w:val="0000EE"/>
                <w:w w:val="99"/>
              </w:rPr>
            </w:pPr>
            <w:hyperlink w:anchor="page108">
              <w:r>
                <w:rPr>
                  <w:rFonts w:ascii="Arial" w:cs="Arial" w:eastAsia="Arial" w:hAnsi="Arial"/>
                  <w:sz w:val="18"/>
                  <w:szCs w:val="18"/>
                  <w:u w:val="single" w:color="auto"/>
                  <w:color w:val="0000EE"/>
                  <w:w w:val="99"/>
                </w:rPr>
                <w:t>Market for Registrant’s Common Equity, Related Stockholder Matters and Issuer Purchases of Equity Securities.</w:t>
              </w:r>
            </w:hyperlink>
          </w:p>
        </w:tc>
      </w:tr>
      <w:tr>
        <w:trPr>
          <w:trHeight w:val="203"/>
        </w:trPr>
        <w:tc>
          <w:tcPr>
            <w:tcW w:w="180" w:type="dxa"/>
            <w:vAlign w:val="bottom"/>
          </w:tcPr>
          <w:p>
            <w:pPr>
              <w:spacing w:after="0"/>
              <w:rPr>
                <w:sz w:val="17"/>
                <w:szCs w:val="17"/>
                <w:color w:val="auto"/>
              </w:rPr>
            </w:pPr>
          </w:p>
        </w:tc>
        <w:tc>
          <w:tcPr>
            <w:tcW w:w="560" w:type="dxa"/>
            <w:vAlign w:val="bottom"/>
            <w:tcBorders>
              <w:bottom w:val="single" w:sz="8" w:color="0000EE"/>
            </w:tcBorders>
          </w:tcPr>
          <w:p>
            <w:pPr>
              <w:spacing w:after="0" w:line="202" w:lineRule="exact"/>
              <w:rPr>
                <w:sz w:val="20"/>
                <w:szCs w:val="20"/>
                <w:color w:val="auto"/>
              </w:rPr>
            </w:pPr>
            <w:r>
              <w:rPr>
                <w:rFonts w:ascii="Arial" w:cs="Arial" w:eastAsia="Arial" w:hAnsi="Arial"/>
                <w:sz w:val="18"/>
                <w:szCs w:val="18"/>
                <w:color w:val="0000EE"/>
                <w:w w:val="98"/>
              </w:rPr>
              <w:t>Item 6.</w:t>
            </w:r>
          </w:p>
        </w:tc>
        <w:tc>
          <w:tcPr>
            <w:tcW w:w="520" w:type="dxa"/>
            <w:vAlign w:val="bottom"/>
          </w:tcPr>
          <w:p>
            <w:pPr>
              <w:spacing w:after="0"/>
              <w:rPr>
                <w:sz w:val="17"/>
                <w:szCs w:val="17"/>
                <w:color w:val="auto"/>
              </w:rPr>
            </w:pPr>
          </w:p>
        </w:tc>
        <w:tc>
          <w:tcPr>
            <w:tcW w:w="9020" w:type="dxa"/>
            <w:vAlign w:val="bottom"/>
          </w:tcPr>
          <w:p>
            <w:pPr>
              <w:ind w:left="100"/>
              <w:spacing w:after="0" w:line="202" w:lineRule="exact"/>
              <w:rPr>
                <w:rFonts w:ascii="Arial" w:cs="Arial" w:eastAsia="Arial" w:hAnsi="Arial"/>
                <w:sz w:val="18"/>
                <w:szCs w:val="18"/>
                <w:color w:val="0000EE"/>
              </w:rPr>
            </w:pPr>
            <w:hyperlink w:anchor="page110">
              <w:r>
                <w:rPr>
                  <w:rFonts w:ascii="Arial" w:cs="Arial" w:eastAsia="Arial" w:hAnsi="Arial"/>
                  <w:sz w:val="18"/>
                  <w:szCs w:val="18"/>
                  <w:u w:val="single" w:color="auto"/>
                  <w:color w:val="0000EE"/>
                </w:rPr>
                <w:t>Selected Financial Data</w:t>
              </w:r>
              <w:r>
                <w:rPr>
                  <w:rFonts w:ascii="Arial" w:cs="Arial" w:eastAsia="Arial" w:hAnsi="Arial"/>
                  <w:sz w:val="18"/>
                  <w:szCs w:val="18"/>
                  <w:color w:val="0000EE"/>
                </w:rPr>
                <w:t>.</w:t>
              </w:r>
            </w:hyperlink>
          </w:p>
        </w:tc>
      </w:tr>
      <w:tr>
        <w:trPr>
          <w:trHeight w:val="263"/>
        </w:trPr>
        <w:tc>
          <w:tcPr>
            <w:tcW w:w="180" w:type="dxa"/>
            <w:vAlign w:val="bottom"/>
          </w:tcPr>
          <w:p>
            <w:pPr>
              <w:spacing w:after="0"/>
              <w:rPr>
                <w:sz w:val="22"/>
                <w:szCs w:val="22"/>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Item 7.</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Management’s Discussion and Analysis of Financial Condition and Results of Operations.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Item 7A.</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Quantitative and Qualitative Disclosures About Market Risk.</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8.</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Financial Statements and Supplementary Data.</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Item 9.</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Changes in and Disagreements with Accountants on Accounting and Financial Disclosure.</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Item 9A.</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Controls and Procedures.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Item 9B.</w:t>
              </w:r>
            </w:hyperlink>
          </w:p>
        </w:tc>
        <w:tc>
          <w:tcPr>
            <w:tcW w:w="9020" w:type="dxa"/>
            <w:vAlign w:val="bottom"/>
          </w:tcPr>
          <w:p>
            <w:pPr>
              <w:ind w:left="100"/>
              <w:spacing w:after="0"/>
              <w:rPr>
                <w:rFonts w:ascii="Arial" w:cs="Arial" w:eastAsia="Arial" w:hAnsi="Arial"/>
                <w:sz w:val="18"/>
                <w:szCs w:val="18"/>
                <w:color w:val="0000EE"/>
              </w:rPr>
            </w:pPr>
            <w:hyperlink w:anchor="page157">
              <w:r>
                <w:rPr>
                  <w:rFonts w:ascii="Arial" w:cs="Arial" w:eastAsia="Arial" w:hAnsi="Arial"/>
                  <w:sz w:val="18"/>
                  <w:szCs w:val="18"/>
                  <w:u w:val="single" w:color="auto"/>
                  <w:color w:val="0000EE"/>
                </w:rPr>
                <w:t>Other Information</w:t>
              </w:r>
              <w:r>
                <w:rPr>
                  <w:rFonts w:ascii="Arial" w:cs="Arial" w:eastAsia="Arial" w:hAnsi="Arial"/>
                  <w:sz w:val="18"/>
                  <w:szCs w:val="18"/>
                  <w:color w:val="0000EE"/>
                </w:rPr>
                <w:t>.</w:t>
              </w:r>
            </w:hyperlink>
          </w:p>
        </w:tc>
      </w:tr>
      <w:tr>
        <w:trPr>
          <w:trHeight w:val="364"/>
        </w:trPr>
        <w:tc>
          <w:tcPr>
            <w:tcW w:w="1260" w:type="dxa"/>
            <w:vAlign w:val="bottom"/>
            <w:gridSpan w:val="3"/>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PART III</w:t>
              </w:r>
            </w:hyperlink>
          </w:p>
        </w:tc>
        <w:tc>
          <w:tcPr>
            <w:tcW w:w="9020" w:type="dxa"/>
            <w:vAlign w:val="bottom"/>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color w:val="0000EE"/>
              </w:rPr>
            </w:pPr>
            <w:hyperlink w:anchor="page158">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Directors, Executive Officers and Corporate Governance.</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color w:val="0000EE"/>
              </w:rPr>
            </w:pPr>
            <w:hyperlink w:anchor="page158">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Executive Compensation.</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color w:val="0000EE"/>
              </w:rPr>
            </w:pPr>
            <w:hyperlink w:anchor="page158">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Security Ownership of Certain Beneficial Owners and Management and Related Stockholder Matters.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color w:val="0000EE"/>
              </w:rPr>
            </w:pPr>
            <w:hyperlink w:anchor="page158">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Certain Relationships and Related Transactions, and Director Independence.</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color w:val="0000EE"/>
              </w:rPr>
            </w:pPr>
            <w:hyperlink w:anchor="page158">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Principal Accounting Fees and Services.</w:t>
              </w:r>
            </w:hyperlink>
          </w:p>
        </w:tc>
      </w:tr>
      <w:tr>
        <w:trPr>
          <w:trHeight w:val="365"/>
        </w:trPr>
        <w:tc>
          <w:tcPr>
            <w:tcW w:w="1260" w:type="dxa"/>
            <w:vAlign w:val="bottom"/>
            <w:gridSpan w:val="3"/>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PART IV</w:t>
              </w:r>
            </w:hyperlink>
          </w:p>
        </w:tc>
        <w:tc>
          <w:tcPr>
            <w:tcW w:w="9020" w:type="dxa"/>
            <w:vAlign w:val="bottom"/>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color w:val="0000EE"/>
              </w:rPr>
            </w:pPr>
            <w:hyperlink w:anchor="page159">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9020" w:type="dxa"/>
            <w:vAlign w:val="bottom"/>
          </w:tcPr>
          <w:p>
            <w:pPr>
              <w:ind w:left="10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Exhibits, Financial Statement Schedules.</w:t>
              </w:r>
            </w:hyperlink>
          </w:p>
        </w:tc>
      </w:tr>
      <w:tr>
        <w:trPr>
          <w:trHeight w:val="243"/>
        </w:trPr>
        <w:tc>
          <w:tcPr>
            <w:tcW w:w="180" w:type="dxa"/>
            <w:vAlign w:val="bottom"/>
          </w:tcPr>
          <w:p>
            <w:pPr>
              <w:spacing w:after="0"/>
              <w:rPr>
                <w:sz w:val="21"/>
                <w:szCs w:val="21"/>
                <w:color w:val="auto"/>
              </w:rPr>
            </w:pPr>
          </w:p>
        </w:tc>
        <w:tc>
          <w:tcPr>
            <w:tcW w:w="1080" w:type="dxa"/>
            <w:vAlign w:val="bottom"/>
            <w:gridSpan w:val="2"/>
          </w:tcPr>
          <w:p>
            <w:pPr>
              <w:spacing w:after="0"/>
              <w:rPr>
                <w:rFonts w:ascii="Arial" w:cs="Arial" w:eastAsia="Arial" w:hAnsi="Arial"/>
                <w:sz w:val="18"/>
                <w:szCs w:val="18"/>
                <w:color w:val="0000EE"/>
              </w:rPr>
            </w:pPr>
            <w:hyperlink w:anchor="page161">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9020" w:type="dxa"/>
            <w:vAlign w:val="bottom"/>
          </w:tcPr>
          <w:p>
            <w:pPr>
              <w:ind w:left="100"/>
              <w:spacing w:after="0"/>
              <w:rPr>
                <w:rFonts w:ascii="Arial" w:cs="Arial" w:eastAsia="Arial" w:hAnsi="Arial"/>
                <w:sz w:val="18"/>
                <w:szCs w:val="18"/>
                <w:color w:val="0000EE"/>
              </w:rPr>
            </w:pPr>
            <w:hyperlink w:anchor="page161">
              <w:r>
                <w:rPr>
                  <w:rFonts w:ascii="Arial" w:cs="Arial" w:eastAsia="Arial" w:hAnsi="Arial"/>
                  <w:sz w:val="18"/>
                  <w:szCs w:val="18"/>
                  <w:u w:val="single" w:color="auto"/>
                  <w:color w:val="0000EE"/>
                </w:rPr>
                <w:t>Form 10-K Summary</w:t>
              </w:r>
              <w:r>
                <w:rPr>
                  <w:rFonts w:ascii="Arial" w:cs="Arial" w:eastAsia="Arial" w:hAnsi="Arial"/>
                  <w:sz w:val="18"/>
                  <w:szCs w:val="18"/>
                  <w:color w:val="0000EE"/>
                </w:rPr>
                <w:t>.</w:t>
              </w:r>
            </w:hyperlink>
          </w:p>
        </w:tc>
      </w:tr>
      <w:tr>
        <w:trPr>
          <w:trHeight w:val="365"/>
        </w:trPr>
        <w:tc>
          <w:tcPr>
            <w:tcW w:w="1260" w:type="dxa"/>
            <w:vAlign w:val="bottom"/>
            <w:gridSpan w:val="3"/>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SIGNATURES</w:t>
              </w:r>
            </w:hyperlink>
          </w:p>
        </w:tc>
        <w:tc>
          <w:tcPr>
            <w:tcW w:w="9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257175</wp:posOffset>
            </wp:positionV>
            <wp:extent cx="260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37465</wp:posOffset>
            </wp:positionV>
            <wp:extent cx="420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108</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109</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126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127</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155</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155</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155</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156</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156</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157</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157</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159</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160</w:t>
      </w:r>
    </w:p>
    <w:p>
      <w:pPr>
        <w:spacing w:after="0" w:line="200" w:lineRule="exact"/>
        <w:rPr>
          <w:sz w:val="20"/>
          <w:szCs w:val="20"/>
          <w:color w:val="auto"/>
        </w:rPr>
      </w:pPr>
    </w:p>
    <w:p>
      <w:pPr>
        <w:sectPr>
          <w:pgSz w:w="11900" w:h="16838" w:orient="portrait"/>
          <w:cols w:equalWidth="0" w:num="2">
            <w:col w:w="10280" w:space="420"/>
            <w:col w:w="540"/>
          </w:cols>
          <w:pgMar w:left="320" w:top="549" w:right="339" w:bottom="1440" w:gutter="0" w:footer="0" w:header="0"/>
        </w:sectPr>
      </w:pPr>
    </w:p>
    <w:p>
      <w:pPr>
        <w:spacing w:after="0" w:line="361" w:lineRule="exact"/>
        <w:rPr>
          <w:sz w:val="20"/>
          <w:szCs w:val="20"/>
          <w:color w:val="auto"/>
        </w:rPr>
      </w:pPr>
    </w:p>
    <w:p>
      <w:pPr>
        <w:jc w:val="both"/>
        <w:ind w:firstLine="337"/>
        <w:spacing w:after="0"/>
        <w:rPr>
          <w:sz w:val="20"/>
          <w:szCs w:val="20"/>
          <w:color w:val="auto"/>
        </w:rPr>
      </w:pPr>
      <w:r>
        <w:rPr>
          <w:rFonts w:ascii="Arial" w:cs="Arial" w:eastAsia="Arial" w:hAnsi="Arial"/>
          <w:sz w:val="18"/>
          <w:szCs w:val="18"/>
          <w:color w:val="auto"/>
        </w:rPr>
        <w:t>Unless the context suggests otherwise, references in this Annual Report on Form 10-K (the “Annual Report”) to “us,” “our,” “NGM,” “NGM Biopharmaceuticals,” “we,” the “Company” and similar designations refer to NGM Biopharmaceuticals, Inc. and, where appropriate, its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This Annual Report on Form 10-K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207" w:lineRule="exact"/>
        <w:rPr>
          <w:sz w:val="20"/>
          <w:szCs w:val="20"/>
          <w:color w:val="auto"/>
        </w:rPr>
      </w:pPr>
    </w:p>
    <w:p>
      <w:pPr>
        <w:jc w:val="both"/>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those of our collaboration partner, Merck Sharp &amp; Dohme Corp., or Merck, and the initiation of, enrollment in, availability of data for and other events related to such clinical trials;</w:t>
      </w:r>
    </w:p>
    <w:p>
      <w:pPr>
        <w:spacing w:after="0" w:line="2" w:lineRule="exact"/>
        <w:rPr>
          <w:rFonts w:ascii="Arial" w:cs="Arial" w:eastAsia="Arial" w:hAnsi="Arial"/>
          <w:sz w:val="18"/>
          <w:szCs w:val="18"/>
          <w:color w:val="auto"/>
        </w:rPr>
      </w:pPr>
    </w:p>
    <w:p>
      <w:pPr>
        <w:jc w:val="both"/>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when or on what terms Merck will exercise, if at all, its option to extend the research phase under our research collaboration, product development and license agreement with Merck, or the Collaboration Agreement, and whether or when, if at all, we will reach agreement with Merck on the terms of a modified collaboration generally;</w:t>
      </w:r>
    </w:p>
    <w:p>
      <w:pPr>
        <w:spacing w:after="0" w:line="2" w:lineRule="exact"/>
        <w:rPr>
          <w:rFonts w:ascii="Arial" w:cs="Arial" w:eastAsia="Arial" w:hAnsi="Arial"/>
          <w:sz w:val="18"/>
          <w:szCs w:val="18"/>
          <w:color w:val="auto"/>
        </w:rPr>
      </w:pPr>
    </w:p>
    <w:p>
      <w:pPr>
        <w:jc w:val="both"/>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future research and other funding under the Collaboration Agreement, the possibility that Merck will designate any of our product candidates for further development at the end of the research phase of the collaboration and the possibility that Merck will decide to exercise any of its options to license certain programs upon completion of a proof-of-concept study in humans;</w:t>
      </w:r>
    </w:p>
    <w:p>
      <w:pPr>
        <w:spacing w:after="0" w:line="2" w:lineRule="exact"/>
        <w:rPr>
          <w:rFonts w:ascii="Arial" w:cs="Arial" w:eastAsia="Arial" w:hAnsi="Arial"/>
          <w:sz w:val="18"/>
          <w:szCs w:val="18"/>
          <w:color w:val="auto"/>
        </w:rPr>
      </w:pPr>
    </w:p>
    <w:p>
      <w:pPr>
        <w:jc w:val="both"/>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Merck’s ability to obtain and maintain regulatory approvals for aldafermin, MK-3655, NGM621, NGM120, NGM707, NGM438 and any of our future product candidates, and any related restrictions, limitations and/or warnings in the label of an approved product candidate;</w:t>
      </w:r>
    </w:p>
    <w:p>
      <w:pPr>
        <w:spacing w:after="0" w:line="2"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non-alcoholic steatohepatitis, or NASH, patients with moderate to advanced fibrosis;</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 side effects and our ability to effectively manage these side effects;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MK-3655 may have the potential to be a treatment for patients with NASH with early to moderate fibrosis;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9"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potential commercialization of aldafermin, MK-3655, NGM621, NGM120, NGM707, NGM438 or any other future approved product;</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800" w:right="2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with respect to the availability of the accelerated approval pathway for any marketing applications that we and/or Merck may submit to the U.S. Food and Drug Administration, or FDA;</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 in a timely manner from, third-party suppliers and manufacturers;</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9"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 particularly in light of our ongoing negotiations with Merck on the terms of a modified collaboration, following which we expect that, after the end of the current research phase, the level of annual research support Merck may provide will be meaningfully lower than the annual research support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800"/>
        <w:spacing w:after="0"/>
        <w:rPr>
          <w:sz w:val="20"/>
          <w:szCs w:val="20"/>
          <w:color w:val="auto"/>
        </w:rPr>
      </w:pPr>
      <w:r>
        <w:rPr>
          <w:rFonts w:ascii="Arial" w:cs="Arial" w:eastAsia="Arial" w:hAnsi="Arial"/>
          <w:sz w:val="18"/>
          <w:szCs w:val="18"/>
          <w:color w:val="auto"/>
        </w:rPr>
        <w:t>Merck provided during the initial five-year term and is providing during the current two-year extension of the research phase;</w:t>
      </w:r>
    </w:p>
    <w:p>
      <w:pPr>
        <w:spacing w:after="0" w:line="9" w:lineRule="exact"/>
        <w:rPr>
          <w:sz w:val="20"/>
          <w:szCs w:val="20"/>
          <w:color w:val="auto"/>
        </w:rPr>
      </w:pPr>
    </w:p>
    <w:p>
      <w:pPr>
        <w:ind w:left="800" w:hanging="401"/>
        <w:spacing w:after="0" w:line="23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 or JOBS Act; and</w:t>
      </w:r>
    </w:p>
    <w:p>
      <w:pPr>
        <w:spacing w:after="0" w:line="1"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10-K. The below summary is qualified in its entirety by that more complete discussion of such risks and uncertainties. You should carefully consider the risks and uncertainties described under “Risk Factors” in Part I, Item 1A of this Annual Report on Form 10-K as part of your evaluation of an investment in our common stock.</w:t>
      </w:r>
    </w:p>
    <w:p>
      <w:pPr>
        <w:spacing w:after="0" w:line="313" w:lineRule="exact"/>
        <w:rPr>
          <w:sz w:val="20"/>
          <w:szCs w:val="20"/>
          <w:color w:val="auto"/>
        </w:rPr>
      </w:pPr>
    </w:p>
    <w:p>
      <w:pPr>
        <w:jc w:val="both"/>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most advanced product candidate, aldafermin, is still only in Phase 2 development and may fail to demonstrate safety and efficacy in ongoing and future clinical trials, may never achieve regulatory approval and may not be able to be successfully commercialized due to competition or other factors;</w:t>
      </w:r>
    </w:p>
    <w:p>
      <w:pPr>
        <w:spacing w:after="0" w:line="9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similarly, clinical trials of our other product candidates may fail to produce positive results or to demonstrate safety and efficacy to the satisfaction of regulatory authorities;</w:t>
      </w:r>
    </w:p>
    <w:p>
      <w:pPr>
        <w:spacing w:after="0" w:line="88" w:lineRule="exact"/>
        <w:rPr>
          <w:rFonts w:ascii="Arial" w:cs="Arial" w:eastAsia="Arial" w:hAnsi="Arial"/>
          <w:sz w:val="18"/>
          <w:szCs w:val="18"/>
          <w:color w:val="auto"/>
        </w:rPr>
      </w:pPr>
    </w:p>
    <w:p>
      <w:pPr>
        <w:jc w:val="both"/>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aldafermin and MK-3655 are being developed for the treatment of NASH, an indication for which there are no approved products, which makes it difficult to predict the timing, cost and potential success of their clinical development and regulatory approval for the treatment of NASH;</w:t>
      </w:r>
    </w:p>
    <w:p>
      <w:pPr>
        <w:spacing w:after="0" w:line="9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88"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know whether Merck will elect to extend the research phase of our collaboration and the level of research funding support we may obtain during any such extension or whether we may otherwise be able to reach agreement with Merck on the terms of a modified collaboration, and regardless of whether we and Merck reach agreement on the terms of a modified collaboration, our collaboration with Merck involves numerous risks, any of which could materially and adversely affect our business and financial condition;</w:t>
      </w:r>
    </w:p>
    <w:p>
      <w:pPr>
        <w:spacing w:after="0" w:line="9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depend on our collaboration with Merck, and in the future may depend on collaborations with additional third parties, for the development and commercialization of our product candidates;</w:t>
      </w:r>
    </w:p>
    <w:p>
      <w:pPr>
        <w:spacing w:after="0" w:line="88" w:lineRule="exact"/>
        <w:rPr>
          <w:rFonts w:ascii="Arial" w:cs="Arial" w:eastAsia="Arial" w:hAnsi="Arial"/>
          <w:sz w:val="18"/>
          <w:szCs w:val="18"/>
          <w:color w:val="auto"/>
        </w:rPr>
      </w:pPr>
    </w:p>
    <w:p>
      <w:pPr>
        <w:jc w:val="both"/>
        <w:ind w:left="800" w:right="2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operations, which may not be available to us on acceptable terms, or at all, and as a result, we may not have the resources to complete the development and commercialization of our current and potential future product candidates;</w:t>
      </w:r>
    </w:p>
    <w:p>
      <w:pPr>
        <w:spacing w:after="0" w:line="9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to successfully complete rigorous preclinical and clinical testing of our product candidates before we can seek regulatory approval, which could delay or prevent commercialization of our product candidates;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identify new product candidates to expand our development pipeline;</w:t>
      </w:r>
    </w:p>
    <w:p>
      <w:pPr>
        <w:spacing w:after="0" w:line="117"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process of manufacturing aldafermin and our other biologic product candidates is complex, highly regulated and subject to many manufacturing risks, including difficulties in production, particularly in scaling up and validating initial production and ensuring the avoidance of contamination, any of which could substantially increase our costs and limit supply of our product candidates and any future products needed for clinical trials and commercialization;</w:t>
      </w:r>
    </w:p>
    <w:p>
      <w:pPr>
        <w:spacing w:after="0" w:line="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401" w:hanging="401"/>
        <w:spacing w:after="0" w:line="246" w:lineRule="auto"/>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w:t>
      </w:r>
    </w:p>
    <w:p>
      <w:pPr>
        <w:spacing w:after="0" w:line="88" w:lineRule="exact"/>
        <w:rPr>
          <w:rFonts w:ascii="Arial" w:cs="Arial" w:eastAsia="Arial" w:hAnsi="Arial"/>
          <w:sz w:val="18"/>
          <w:szCs w:val="18"/>
          <w:color w:val="auto"/>
        </w:rPr>
      </w:pPr>
    </w:p>
    <w:p>
      <w:pPr>
        <w:jc w:val="both"/>
        <w:ind w:left="401" w:hanging="401"/>
        <w:spacing w:after="0"/>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could materially and adversely affect our operations, as well as the businesses or operations of our manufacturers, clinical research organizations or other third parties with whom we conduct business;</w:t>
      </w:r>
    </w:p>
    <w:p>
      <w:pPr>
        <w:spacing w:after="0" w:line="94" w:lineRule="exact"/>
        <w:rPr>
          <w:rFonts w:ascii="Arial" w:cs="Arial" w:eastAsia="Arial" w:hAnsi="Arial"/>
          <w:sz w:val="18"/>
          <w:szCs w:val="18"/>
          <w:color w:val="auto"/>
        </w:rPr>
      </w:pPr>
    </w:p>
    <w:p>
      <w:pPr>
        <w:ind w:left="401" w:right="20" w:hanging="401"/>
        <w:spacing w:after="0" w:line="246" w:lineRule="auto"/>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88" w:lineRule="exact"/>
        <w:rPr>
          <w:rFonts w:ascii="Arial" w:cs="Arial" w:eastAsia="Arial" w:hAnsi="Arial"/>
          <w:sz w:val="18"/>
          <w:szCs w:val="18"/>
          <w:color w:val="auto"/>
        </w:rPr>
      </w:pPr>
    </w:p>
    <w:p>
      <w:pPr>
        <w:ind w:left="401" w:right="20" w:hanging="401"/>
        <w:spacing w:after="0" w:line="246" w:lineRule="auto"/>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88" w:lineRule="exact"/>
        <w:rPr>
          <w:rFonts w:ascii="Arial" w:cs="Arial" w:eastAsia="Arial" w:hAnsi="Arial"/>
          <w:sz w:val="18"/>
          <w:szCs w:val="18"/>
          <w:color w:val="auto"/>
        </w:rPr>
      </w:pPr>
    </w:p>
    <w:p>
      <w:pPr>
        <w:ind w:left="401" w:right="20" w:hanging="401"/>
        <w:spacing w:after="0" w:line="246" w:lineRule="auto"/>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88" w:lineRule="exact"/>
        <w:rPr>
          <w:rFonts w:ascii="Arial" w:cs="Arial" w:eastAsia="Arial" w:hAnsi="Arial"/>
          <w:sz w:val="18"/>
          <w:szCs w:val="18"/>
          <w:color w:val="auto"/>
        </w:rPr>
      </w:pPr>
    </w:p>
    <w:p>
      <w:pPr>
        <w:ind w:left="401" w:hanging="401"/>
        <w:spacing w:after="0" w:line="246" w:lineRule="auto"/>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third parties that are necessary to develop, manufacture and commercialize some or all of our product candidates;</w:t>
      </w:r>
    </w:p>
    <w:p>
      <w:pPr>
        <w:spacing w:after="0" w:line="88" w:lineRule="exact"/>
        <w:rPr>
          <w:rFonts w:ascii="Arial" w:cs="Arial" w:eastAsia="Arial" w:hAnsi="Arial"/>
          <w:sz w:val="18"/>
          <w:szCs w:val="18"/>
          <w:color w:val="auto"/>
        </w:rPr>
      </w:pPr>
    </w:p>
    <w:p>
      <w:pPr>
        <w:ind w:left="401" w:hanging="401"/>
        <w:spacing w:after="0"/>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third parties we rely on could experience a cybersecurity incident that could harm our business; and</w:t>
      </w:r>
    </w:p>
    <w:p>
      <w:pPr>
        <w:spacing w:after="0" w:line="117" w:lineRule="exact"/>
        <w:rPr>
          <w:rFonts w:ascii="Arial" w:cs="Arial" w:eastAsia="Arial" w:hAnsi="Arial"/>
          <w:sz w:val="18"/>
          <w:szCs w:val="18"/>
          <w:color w:val="auto"/>
        </w:rPr>
      </w:pPr>
    </w:p>
    <w:p>
      <w:pPr>
        <w:ind w:left="401" w:hanging="401"/>
        <w:spacing w:after="0"/>
        <w:tabs>
          <w:tab w:leader="none" w:pos="4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340360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1"/>
          </w:cols>
          <w:pgMar w:left="719" w:top="46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Our Business</w:t>
      </w:r>
    </w:p>
    <w:p>
      <w:pPr>
        <w:spacing w:after="0" w:line="261"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liver and metabolic diseases, retinal diseases and cancer. These diseases represent a significant burden for patients and healthcare systems and, in some cases, are leading causes of morbidity and mortality. Since the commencement of our operations in 2008, we have generated a robust portfolio of product candidates in various stages of active development ranging from early discovery to late-stage development. We aspire to operate one of the most productive research and development engines in the biopharmaceutical industry.</w:t>
      </w:r>
    </w:p>
    <w:p>
      <w:pPr>
        <w:spacing w:after="0" w:line="232"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most advanced product candidate, aldafermin (formerly NGM282), is wholly-owned by us and is in Phase 2b development for the treatment of patients with non-alcoholic steatohepatitis, or NASH, with liver fibrosis stage 2, 3 or 4, or F2, F3 or F4. Two additional product candidates we discovered are in Phase 2 or Phase 2b trials: MK-3655 for the treatment of NASH and NGM621 for the treatment of geographic atrophy, or GA. In addition, our growing oncology portfolio includes NGM120, which is in a Phase 1b placebo controlled-study for the treatment of cancer anorexia/cachexia syndrome, also referred to as cancer-related cachexia or CACS, and for the treatment of cancer, and two recently announced novel immunotherapies to treat cancer, NGM707 and NGM438, which are in preclinical investigational new drug application-, or IND-, enabling studies. We have additional undisclosed programs that are in various stages of development ranging from functional validation to preclinical development. Our six most advanced product candidates and their stages of development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-4445</wp:posOffset>
            </wp:positionV>
            <wp:extent cx="5760720" cy="2726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07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i w:val="1"/>
          <w:iCs w:val="1"/>
          <w:color w:val="auto"/>
        </w:rPr>
        <w:t>FGF = fibroblast growth factor; FGFR1c/KLB = fibroblast growth factor receptor 1c-beta-klotho; C3 = Component 3; CACS= cancer anorexia-cachexia syndrome; GFRAL = glial cell-derived neurotrophic factor receptor alpha-like; ILT2 = Immunoglobulin-like transcript 2; ILT4 = Immunoglobulin-like transcript 4; LAIR1 = Leukocyte-associated immunoglobulin-like receptor 1</w:t>
      </w:r>
    </w:p>
    <w:p>
      <w:pPr>
        <w:spacing w:after="0" w:line="214" w:lineRule="exact"/>
        <w:rPr>
          <w:sz w:val="20"/>
          <w:szCs w:val="20"/>
          <w:color w:val="auto"/>
        </w:rPr>
      </w:pPr>
    </w:p>
    <w:p>
      <w:pPr>
        <w:ind w:firstLine="802"/>
        <w:spacing w:after="0" w:line="246" w:lineRule="auto"/>
        <w:rPr>
          <w:sz w:val="20"/>
          <w:szCs w:val="20"/>
          <w:color w:val="auto"/>
        </w:rPr>
      </w:pPr>
      <w:r>
        <w:rPr>
          <w:rFonts w:ascii="Arial" w:cs="Arial" w:eastAsia="Arial" w:hAnsi="Arial"/>
          <w:sz w:val="18"/>
          <w:szCs w:val="18"/>
          <w:color w:val="auto"/>
        </w:rPr>
        <w:t>For more detailed information about our product candidate pipeline and targeted therapeutic areas, see “Key Therapeutic Areas and Our Pipeline Programs”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23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have generated our diverse portfolio of programs using our in-house drug discovery engine that employs unbiased, systematic interrogation of complex disease-associated biology to uncover novel mechanisms of action and to identify proprietary insights into critical biological processes. Leveraging these insights, we deploy our protein and antibody engineering expertise to create highly targeted product candidates that modulate the signal we have identified and to enhance each product candidate’s therapeutic potential. We use this combination of interrogating human biology and engineering powerful biologics to discover and develop promising product candidates and seek to move them rapidly into proof-of-concept studies and late-stage development, with the goal of delivering impactful first-in-class or best-in-class treatments to underserved patients suffering from grievous diseases.</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Key elements of our strategy are:</w:t>
      </w:r>
    </w:p>
    <w:p>
      <w:pPr>
        <w:spacing w:after="0" w:line="82" w:lineRule="exact"/>
        <w:rPr>
          <w:sz w:val="20"/>
          <w:szCs w:val="20"/>
          <w:color w:val="auto"/>
        </w:rPr>
      </w:pPr>
    </w:p>
    <w:p>
      <w:pPr>
        <w:jc w:val="both"/>
        <w:ind w:left="800" w:hanging="401"/>
        <w:spacing w:after="0" w:line="25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Systematically and empirically interrogate complex disease-associated biology. </w:t>
      </w:r>
      <w:r>
        <w:rPr>
          <w:rFonts w:ascii="Arial" w:cs="Arial" w:eastAsia="Arial" w:hAnsi="Arial"/>
          <w:sz w:val="18"/>
          <w:szCs w:val="18"/>
          <w:color w:val="auto"/>
        </w:rPr>
        <w:t>We pursue drug discovery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multi-step process geared towards translating powerful human biology into first-in-class medicines. This process seeks to address the challenges in drug discovery in diseases that involve complex, integrated biological pathways.</w:t>
      </w:r>
    </w:p>
    <w:p>
      <w:pPr>
        <w:spacing w:after="0" w:line="168" w:lineRule="exact"/>
        <w:rPr>
          <w:rFonts w:ascii="Arial" w:cs="Arial" w:eastAsia="Arial" w:hAnsi="Arial"/>
          <w:sz w:val="18"/>
          <w:szCs w:val="18"/>
          <w:color w:val="auto"/>
        </w:rPr>
      </w:pPr>
    </w:p>
    <w:p>
      <w:pPr>
        <w:jc w:val="both"/>
        <w:ind w:left="800" w:hanging="401"/>
        <w:spacing w:after="0" w:line="24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Remain biologics-focused, but modality flexible, leveraging a versatile biologics platform to design unique solutions for complex problems. </w:t>
      </w:r>
      <w:r>
        <w:rPr>
          <w:rFonts w:ascii="Arial" w:cs="Arial" w:eastAsia="Arial" w:hAnsi="Arial"/>
          <w:sz w:val="18"/>
          <w:szCs w:val="18"/>
          <w:color w:val="auto"/>
        </w:rPr>
        <w:t>Our process pairs a research approach that generates novel insights into pathways demonstrating powerful</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biological effect with the expertise in protein and antibody engineering to transform those insights into product candidates. We have an unbiased antibody generation approach and use a wide spectrum of modalities and technologies to optimize the properties of our antibody product candidates and native proteins.</w:t>
      </w:r>
    </w:p>
    <w:p>
      <w:pPr>
        <w:spacing w:after="0" w:line="176" w:lineRule="exact"/>
        <w:rPr>
          <w:rFonts w:ascii="Arial" w:cs="Arial" w:eastAsia="Arial" w:hAnsi="Arial"/>
          <w:sz w:val="18"/>
          <w:szCs w:val="18"/>
          <w:color w:val="auto"/>
        </w:rPr>
      </w:pPr>
    </w:p>
    <w:p>
      <w:pPr>
        <w:jc w:val="both"/>
        <w:ind w:left="800" w:hanging="401"/>
        <w:spacing w:after="0" w:line="24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Follow a multi-pronged therapeutic area approach that is informed by biological insights. </w:t>
      </w:r>
      <w:r>
        <w:rPr>
          <w:rFonts w:ascii="Arial" w:cs="Arial" w:eastAsia="Arial" w:hAnsi="Arial"/>
          <w:sz w:val="18"/>
          <w:szCs w:val="18"/>
          <w:color w:val="auto"/>
        </w:rPr>
        <w:t>Our research areas of focus span</w:t>
      </w:r>
      <w:r>
        <w:rPr>
          <w:rFonts w:ascii="Arial" w:cs="Arial" w:eastAsia="Arial" w:hAnsi="Arial"/>
          <w:sz w:val="18"/>
          <w:szCs w:val="18"/>
          <w:b w:val="1"/>
          <w:bCs w:val="1"/>
          <w:color w:val="auto"/>
        </w:rPr>
        <w:t xml:space="preserve"> </w:t>
      </w:r>
      <w:r>
        <w:rPr>
          <w:rFonts w:ascii="Arial" w:cs="Arial" w:eastAsia="Arial" w:hAnsi="Arial"/>
          <w:sz w:val="18"/>
          <w:szCs w:val="18"/>
          <w:color w:val="auto"/>
        </w:rPr>
        <w:t>the biology of liver and metabolic diseases, retinal diseases and cancer. Our collaboration with Merck Sharp &amp; Dohme Corp., or Merck, has created an incentive for us to develop multiple candidates through human proof-of-concept studies but does not limit the therapeutic areas that we can explore. This enables us to develop multiple, diverse programs simultaneously.</w:t>
      </w:r>
    </w:p>
    <w:p>
      <w:pPr>
        <w:spacing w:after="0" w:line="173" w:lineRule="exact"/>
        <w:rPr>
          <w:rFonts w:ascii="Arial" w:cs="Arial" w:eastAsia="Arial" w:hAnsi="Arial"/>
          <w:sz w:val="18"/>
          <w:szCs w:val="18"/>
          <w:color w:val="auto"/>
        </w:rPr>
      </w:pPr>
    </w:p>
    <w:p>
      <w:pPr>
        <w:jc w:val="both"/>
        <w:ind w:left="800" w:hanging="401"/>
        <w:spacing w:after="0" w:line="242"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Build a diversified pipeline, honed with disciplined prioritization. </w:t>
      </w:r>
      <w:r>
        <w:rPr>
          <w:rFonts w:ascii="Arial" w:cs="Arial" w:eastAsia="Arial" w:hAnsi="Arial"/>
          <w:sz w:val="18"/>
          <w:szCs w:val="18"/>
          <w:color w:val="auto"/>
        </w:rPr>
        <w:t>We have built a broad and diversified portfolio with six</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publicly-disclosed product candidates, each covering different targets, in various stages of active development in three therapeutic areas. We seek to allocate our capital efficiently and strategically and fund our portfolio based on each program’s scientific and other merits. We are constantly evaluating our current as well as potential programs competing for resources. Our discipline has been demonstrated by the suspension of development activities on multiple product candidates in order to concentrate our resources on what we consider our most promising product candidates.</w:t>
      </w:r>
    </w:p>
    <w:p>
      <w:pPr>
        <w:spacing w:after="0" w:line="178" w:lineRule="exact"/>
        <w:rPr>
          <w:rFonts w:ascii="Arial" w:cs="Arial" w:eastAsia="Arial" w:hAnsi="Arial"/>
          <w:sz w:val="18"/>
          <w:szCs w:val="18"/>
          <w:color w:val="auto"/>
        </w:rPr>
      </w:pPr>
    </w:p>
    <w:p>
      <w:pPr>
        <w:jc w:val="both"/>
        <w:ind w:left="800" w:hanging="401"/>
        <w:spacing w:after="0" w:line="24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Recruit and retain industry-leading research and development talent. </w:t>
      </w:r>
      <w:r>
        <w:rPr>
          <w:rFonts w:ascii="Arial" w:cs="Arial" w:eastAsia="Arial" w:hAnsi="Arial"/>
          <w:sz w:val="18"/>
          <w:szCs w:val="18"/>
          <w:color w:val="auto"/>
        </w:rPr>
        <w:t>We have an experienced and talented team of scientists</w:t>
      </w:r>
      <w:r>
        <w:rPr>
          <w:rFonts w:ascii="Arial" w:cs="Arial" w:eastAsia="Arial" w:hAnsi="Arial"/>
          <w:sz w:val="18"/>
          <w:szCs w:val="18"/>
          <w:b w:val="1"/>
          <w:bCs w:val="1"/>
          <w:color w:val="auto"/>
        </w:rPr>
        <w:t xml:space="preserve"> </w:t>
      </w:r>
      <w:r>
        <w:rPr>
          <w:rFonts w:ascii="Arial" w:cs="Arial" w:eastAsia="Arial" w:hAnsi="Arial"/>
          <w:sz w:val="18"/>
          <w:szCs w:val="18"/>
          <w:color w:val="auto"/>
        </w:rPr>
        <w:t>and drug developers who use their capabilities in discovery sciences, protein and antibody engineering, pharmacology, translational medicine and preclinical and clinical development to discover and develop innovative therapeutics in house. We aim to attract outstanding professionals necessary to sustain and enhance our scientific excellence, rigor and innovation, our creative clinical development and our high level of productivity.</w:t>
      </w:r>
    </w:p>
    <w:p>
      <w:pPr>
        <w:spacing w:after="0" w:line="176" w:lineRule="exact"/>
        <w:rPr>
          <w:rFonts w:ascii="Arial" w:cs="Arial" w:eastAsia="Arial" w:hAnsi="Arial"/>
          <w:sz w:val="18"/>
          <w:szCs w:val="18"/>
          <w:color w:val="auto"/>
        </w:rPr>
      </w:pPr>
    </w:p>
    <w:p>
      <w:pPr>
        <w:jc w:val="both"/>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collaboration with Merck and pursue other collaborations with strategic partners when beneficial to advance development and commercialize any approved products. </w:t>
      </w:r>
      <w:r>
        <w:rPr>
          <w:rFonts w:ascii="Arial" w:cs="Arial" w:eastAsia="Arial" w:hAnsi="Arial"/>
          <w:sz w:val="18"/>
          <w:szCs w:val="18"/>
          <w:color w:val="auto"/>
        </w:rPr>
        <w:t>Partnering has been and is expected to continue to be a key</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our strategy as we plan to continue to develop a broad portfolio of product candidates and, if approved, to commercialize the resulting products alone or with partners. As described in more detail below, our existing collaboration with Merck has to date provided us with substantial financial support and we are currently in discussions with Merck with respect to modifying certain terms of the collaboration. For any programs wholly-owned by us and not subject to the Merck collaboration, such as aldafermin, we may decide to pursue a strategic partner to progress, in whole or in part, the program or commercialize any resulting approved product.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Merck Collaboration</w:t>
      </w:r>
    </w:p>
    <w:p>
      <w:pPr>
        <w:spacing w:after="0" w:line="23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2015, we entered into a broad, strategic collaboration with Merck in order to advance novel biologic therapeutics for the treatment of diseases with significant unmet medical needs. Since that time, the Merck collaboration has provided us with robust financial support to broaden and accelerate our existing research efforts, while allowing us to retain our research independence, together with the opportunity to retain meaningful economic rights in any collaboration product candidate Merck elects to advance. For such product candidates, the collaboration also currently allows us access to Merck’s mid- and late-stage development expertise and the resources to enable large global trials, as well as the global commercial and distribution capabilities that we believe our products, if approved, will require. The collaboration to date has enabled us to develop more product candidates for major indications than we could likely have advanced on our own. The aldafermin program is not included in the Collaboration Agreement and it remains wholly-owned and controlled by us.</w:t>
      </w:r>
    </w:p>
    <w:p>
      <w:pPr>
        <w:spacing w:after="0" w:line="27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original research phase of the collaboration was for five years. In March 2019, Merck exercised its option to extend the research phase of the collaboration through March 16, 2022. As part of the extension through March 16, 2022, Merck agreed to continue to fund our research and development efforts of up to $ 75.0 million each year consistent with the initial five-year term and, in lieu of a $20.0 million extension fee payable to us, Merck agreed to make additional payments totaling up to $20.0 million in support of our research and development activities during 2021 and in the first quarter of 2022.</w:t>
      </w:r>
    </w:p>
    <w:p>
      <w:pPr>
        <w:spacing w:after="0" w:line="94"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Under the terms of the collaboration, Merck was required to notify us no later than March 17, 2021 of its unilateral decision whether to exercise its option to extend the research phase of the collaboration for an additional two-year term through March 16, 2024. In March 2021, Merck initiated discussions with us with respect to elements of the ongoing collaboration that might be optimized to better address the evolving interests and priorities of both NGM and Merck during the remainder of the current research phase through March 16, 2022 and during any extension of the current research phase and any tail period (which tail period is discussed below under “Our Collaboration with Merck”). In this regard, the parties are negotiating in good faith certain modifications to the terms of the collaboration. Such modifications may include, among other things, focusing NGM’s research and development under the collaboration on therapeutic areas of particular interest to Merck, while enabling NGM to conduct research and development outside of these therapeutic areas which would, if mutually agreed to, allow NGM to discover and develop product candidates on its own or with third parties in other areas of interest. In order to allow negotiations to proceed, the parties have agreed to extend the March 17, 2021 deadline for Merck to deliver its extension notification decision until June 30, 2021. While we cannot predict whether or when Merck will elect to extend the research phase of the collaboration or on what terms, or whether or when we will reach agreement with Merck on the terms of a modified collaboration generally,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our funding obligations with respect to the development of our current and potential future product candidates will substantially increase following March 16, 2022, the end of the current two-year extension of the research phase, regardless of whether we are able to reach agreement with Merck on modified terms.</w:t>
      </w:r>
    </w:p>
    <w:p>
      <w:pPr>
        <w:spacing w:after="0" w:line="10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Merck generally has a one-time right to exercise its option to an exclusive, worldwide license for any collaboration product candidate and related program when we or Merck complete a human proof-of-concept trial. In November 2018, Merck exercised its option to license MK-3655, an agonistic antibody selectively activating fibroblast growth factor receptor 1c-beta-klotho, or FGFR1c/KLB, which is a potential treatment for NASH. In November 2020, Merck initiated a Phase 2b randomized, double-blind study of MK-3655 in patients with NASH with F2 or F3 liver fibrosis. Under the current terms of the Collaboration Agreement, for a program that Merck licenses, such as MK-3655, we retain an option, when a product candidate has advanced to Phase 3 clinical trials, to participate in up to 50% of the economic return from that product candidate if it becomes an approved medicine by agreeing to share up to 50% of the costs of future development. If we do not elect this option, we will instead receive milestone and royalty payments and we will not be required to share in development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802"/>
        <w:spacing w:after="0"/>
        <w:rPr>
          <w:sz w:val="20"/>
          <w:szCs w:val="20"/>
          <w:color w:val="auto"/>
        </w:rPr>
      </w:pPr>
      <w:r>
        <w:rPr>
          <w:rFonts w:ascii="Arial" w:cs="Arial" w:eastAsia="Arial" w:hAnsi="Arial"/>
          <w:sz w:val="18"/>
          <w:szCs w:val="18"/>
          <w:color w:val="auto"/>
        </w:rPr>
        <w:t>For more detailed information about the Collaboration Agreement see “Our Collaboration with Merck” below as well as the sections titled “Risk Factors” in Part I, Item 1A of this Annual Report on Form 10-K and “Management’s Discussion and Analysis of Financial Condition and Results of Operations—Overview of Our Business” in Part II, Item 7 of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23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study investigators, clinical research staff and employees, while maintaining business continuity. Following guidance from federal, state and local authorities, we continue to operate with a primarily remote work model. Only individuals conducting essential in-person laboratory work and other essential business functions are working on site and only for work that cannot be conducted remotely. There have been relatively minor impacts on productivity overall, but future developments could more materially and adversely impact our productivity. In addition, in 2020, we experienced higher-than-normal employee turnover and an increased rate of hiring new employees. We cannot predict whether these trends will continue or be exacerbated, when we will be permitted to return to an office-based working model or whether we will be required to adopt a more restrictive work model.</w:t>
      </w:r>
    </w:p>
    <w:p>
      <w:pPr>
        <w:spacing w:after="0" w:line="208" w:lineRule="exact"/>
        <w:rPr>
          <w:sz w:val="20"/>
          <w:szCs w:val="20"/>
          <w:color w:val="auto"/>
        </w:rPr>
      </w:pPr>
    </w:p>
    <w:p>
      <w:pPr>
        <w:jc w:val="both"/>
        <w:ind w:firstLine="802"/>
        <w:spacing w:after="0" w:line="206" w:lineRule="exact"/>
        <w:rPr>
          <w:sz w:val="20"/>
          <w:szCs w:val="20"/>
          <w:color w:val="auto"/>
        </w:rPr>
      </w:pPr>
      <w:r>
        <w:rPr>
          <w:rFonts w:ascii="Arial" w:cs="Arial" w:eastAsia="Arial" w:hAnsi="Arial"/>
          <w:sz w:val="18"/>
          <w:szCs w:val="18"/>
          <w:color w:val="auto"/>
        </w:rPr>
        <w:t>We have experienced, from time to time, a slower pace of clinical trial site initiation and clinical trial enrollment and a higher dropout rate than originally anticipated in certain of our clinical trials. We have been proactively working to mitigate these and other effects of the COVID-19 pandemic by monitoring site initiations, patient enrollment and patient study adherence to provide support to patients and trial staff, often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and/or patient-by-patient basis. Most of our clinical trial sites, both within and outside of the United States, continue to screen patients in our clinical trials, and new patients are being enrolled when appropriate. While the COVID-19 pandemic has not yet resulted in a significant impact to our disclosed clinical development timelines, and we believe the higher-than-planned enrollment we achieved in our ALPINE 2/3 trial has mitigated the effects of the increased dropout rate, as the pandemic continues, there may be continuing negative impacts on our ability to initiate new clinical trial sites, maintain enrollment of existing patients and enroll new patients, which may result in increased clinical trial costs and negatively impact our timelines and our ability to obtain regulatory approvals of our product candidates in a timely fashion, if at all.</w:t>
      </w:r>
    </w:p>
    <w:p>
      <w:pPr>
        <w:spacing w:after="0" w:line="22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while we have not experienced any disruption to drug or related component supply for our ongoing clinical trials, we could experience disruptions to our supply chain and operations due to the continuing pandemic and associated delays in the manufacturing and supply of drug substance and drug product for our clinical trials, which could adversely affect our ability to conduct ongoing and future clinical trials of our product candidates. For example, our aldafermin drug product manufacturer has advised us that it could be required under orders of the U.S. government to allocate manufacturing capacity to the manufacture or distribution of COVID-19 vaccines. If any of our manufacturers become subject to acts or orders of U.S. or foreign government entities to allocate manufacturing capacity to the manufacture or distribution of COVID-19 vaccines or medical supplies needed to treat COVID-19 patients, this could also delay our clinical trials, perhaps substantially, particularly our ongoing and planned aldafermin trials, which could materially and adversely affect our business.</w:t>
      </w:r>
    </w:p>
    <w:p>
      <w:pPr>
        <w:spacing w:after="0" w:line="208"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For information regarding the current and potential impacts of the effects of the COVID-19 pandemic on the conduct of our clinical trials and related development timelines and on our drug supply for our ongoing clinical trials, see the sections titled “Risk Factors” in Part I, Item 1A of this Annual Report on Form 10-K and “Management’s Discussion and Analysis of Financial Condition and Results of Operations— Overview of Our Business” in Part II, Item 7 of this Annual Report on Form 10-K.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Therapeutic Areas and Pipeline Programs</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Our discovery engine supports our ability to span multiple therapeutic areas. Currently our diverse pipeline of six product candidates can be divided into three therapeutic areas: liver and metabolic diseases, retinal diseases and oncology.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Area: Liver and Metabolic Diseases</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We have spent the last decade discovering and developing a portfolio of clinical-stage drug candidates that target various forms of cardio-metabolic and liver diseases, most specifically NASH. We have identified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 w:name="page10"/>
    <w:bookmarkEnd w:id="9"/>
    <w:p>
      <w:pPr>
        <w:jc w:val="both"/>
        <w:ind w:right="20"/>
        <w:spacing w:after="0" w:line="246" w:lineRule="auto"/>
        <w:rPr>
          <w:sz w:val="20"/>
          <w:szCs w:val="20"/>
          <w:color w:val="auto"/>
        </w:rPr>
      </w:pPr>
      <w:r>
        <w:rPr>
          <w:rFonts w:ascii="Arial" w:cs="Arial" w:eastAsia="Arial" w:hAnsi="Arial"/>
          <w:sz w:val="18"/>
          <w:szCs w:val="18"/>
          <w:color w:val="auto"/>
        </w:rPr>
        <w:t>multiple hormonal pathways of interest and each of these drug candidates stem from novel insights we have made in the regulation of cardio-metabolic processes and liver function.</w:t>
      </w:r>
    </w:p>
    <w:p>
      <w:pPr>
        <w:spacing w:after="0" w:line="8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most advanced product candidate is aldafermin, a proprietary engineered analog of the human hormone fibroblast growth factor 19, or FGF19, which plays a critical role in controlling bile acid, lipid and glucose metabolism, and is administered through a once-daily subcutaneous injection. In clinical studies, aldafermin has demonstrated the ability to rapidly improve NASH and reverse liver fibrosis. Aldafermin is currently being studied in the ongoing Phase 2b ALPINE 2/3 trial in patients with NASH with F2 and F3 liver fibrosis, which completed enrollment in September 2020, and in the ongoing ALPINE 4 trial in patients with NASH with F4 liver fibrosis and well-compensated cirrhosis, which commenced enrollment in February 2020. We expect to report topline data from the ALPINE 2/3 trial in the second quarter of 2021. Aldafermin was excluded from the Collaboration Agreement at the inception of the collaboration and remains wholly-owned by NGM.</w:t>
      </w:r>
    </w:p>
    <w:p>
      <w:pPr>
        <w:spacing w:after="0" w:line="10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this therapeutic area, Merck is developing MK-3655 which we discovered as part of the collaboration. MK-3655 is a proprietary agonistic antibody selectively activating fibroblast growth factor receptor 1c-beta-klotho, or FGFR1c/KLB, which regulates insulin sensitivity, blood glucose and liver fat. We believe MK-3655 has the potential to be a once-monthly injectable insulin sensitizer for the treatment of NASH. In November 2018, Merck exercised its option for a license to further research, develop and commercialize MK-3655 and other FGFR1c/KLB agonists pursuant to our Collaboration Agreement. Merck initiated the Phase 2b trial of MK-3655 in patients with NASH with F2 or F3 liver fibrosis in the fourth quarter of 2020 and is currently enrolling patients in that trial.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NASH Disease Overview</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NASH and metabolic diseases are among the largest unmet medical needs globally and represent a leading cause of morbidity and mortality and a significant burden for patients and healthcare systems. They also represent areas of underinvestment by the pharmaceutical industry, driven in part by the biological complexity of the diseases and the substantial costs necessary to develop new therapeutics. Metabolic syndrome is exhibited by 34% of adults in the United States and comprises a constellation of co-morbid conditions, including type 2 diabetes, obesity, high blood pressure, poorly regulated lipids and non-alcoholic fatty liver disease, or NAFLD, a precursor to NASH. NAFLD is characterized by abnormal amounts of fat in the liver, a condition known as steatosis. This abnormal fat in the liver contributes to the progression in certain NAFLD patients to NASH by developing a necroinflammatory state in the liver that ultimately drives scarring, also known as fibrosis, and, for many, progresses to cirrhosis, liver cancer and liver failure.</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Most patients with NASH are diagnosed in their forties or fifties; however, NASH develops across all ages, including in children. The development of NASH is thought to be linked to an increase in childhood obesity. Most patients with NASH are asymptomatic, although some may present with fatigue, malaise and vague right-upper quadrant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or NAS, and fibrosis stage (F0 to F4). The NAS is a validated score of liver histology that is used to grade disease activity in patients with NAFLD and NASH. The NAS is the sum of the liver biopsy’s individual scores for steatosis (abnormal amounts of fat in the liver) (on scale of 0–3), lobular inflammation (chronic inflammatory infiltrate) (on a scale of 0–3) and hepatocellular ballooning (a type of injury to liver cells) (on a scale of 0–2), with fibrosis stage (F0–F4) scored separately.</w:t>
      </w:r>
    </w:p>
    <w:p>
      <w:pPr>
        <w:spacing w:after="0" w:line="9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obesity and diabetes. In the United States alone, the prevalence of NASH was estimated to total 19.3 million cases in 2020 and is expected to reach 27 million cases in the United States by 2030, with similar trends occurring globally. Patients with NASH with F2, F3 or F4 fibrosis were believed to encompass approximately 8.3 million patients in the United States in 2020 and that number is expected to grow to 14.1 million by 2030. The population of cirrhotic patients with NASH in the United States is expected to reach 3.5 million in 2030.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 w:name="page11"/>
    <w:bookmarkEnd w:id="10"/>
    <w:p>
      <w:pPr>
        <w:ind w:left="800"/>
        <w:spacing w:after="0"/>
        <w:rPr>
          <w:sz w:val="20"/>
          <w:szCs w:val="20"/>
          <w:color w:val="auto"/>
        </w:rPr>
      </w:pPr>
      <w:r>
        <w:rPr>
          <w:rFonts w:ascii="Arial" w:cs="Arial" w:eastAsia="Arial" w:hAnsi="Arial"/>
          <w:sz w:val="18"/>
          <w:szCs w:val="18"/>
          <w:b w:val="1"/>
          <w:bCs w:val="1"/>
          <w:color w:val="auto"/>
        </w:rPr>
        <w:t>NASH: A Serious and Growing Disease, with Negative Outcomes Linked to Severity of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302895</wp:posOffset>
            </wp:positionV>
            <wp:extent cx="4397375" cy="2254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addition to living with the burden of illness, NASH with advanced fibrosis can be very expensive for patients, their families and society. Advanced liver fibrosis is generally considered fibrosis stage F3 and F4. The annual economic burden associated with NAFLD and NASH in the United States was estimated to be over $100 billion in 2016. If a patient progresses through the earlier stages of fibrosis to F4 fibrosis, or cirrhosis, there is an increased occurrence of negative liver-related outcomes, including a more than 60% risk of cirrhosis-related complications such as ascites, jaundice, hepatic encephalopathy, variceal bleeds, liver cancer or liver transplant. The median survival for a cirrhotic patient is approximately seven years. We believe that NASH therapies will have the most meaningful impact if they can both reverse fibrosis and prevent patients from worsening to cirrhosis.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Although the mechanism underlying the development and progression from simple steatosis to NASH and cirrhosis is poorly understood, insulin resistance and inflammatory mediators, including lipotoxicity, cytokines and oxidative stress, are believed to promote the development of NASH and its extrahepatic complications. Excess lipotoxic metabolites or fat metabolites in the liver are believed to provide the primary insult in the pathogenesis of NASH, and this metabolic dysregulation can create inflammatory and fibrotic damage. Evidence also supports a role for bile acids in the pathogenesis of liver inflammation and fibrosis. Accumulation of bile acids, and more toxic hydrophobic bile acids in particular, within hepatocytes can cause mitochondrial dysfunction, endoplasmic reticulum stress and immune cell infiltration that can ultimately lead to inflammation, cell death and liver injury.</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presence of diabetes also is associated with more severe liver disease and, in patients with NAFLD and NASH, type 2 diabetes is associated with more severe hepatic and adipose tissue insulin resistance, and more advanced liver steatosis, inflammation and fibrosis by liver histology. In addition, insulin administration may increase steatosis, making the treatment of patients with type 2 diabetes and NASH challenging.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jc w:val="both"/>
        <w:ind w:firstLine="802"/>
        <w:spacing w:after="0" w:line="236" w:lineRule="auto"/>
        <w:rPr>
          <w:sz w:val="20"/>
          <w:szCs w:val="20"/>
          <w:color w:val="auto"/>
        </w:rPr>
      </w:pPr>
      <w:r>
        <w:rPr>
          <w:rFonts w:ascii="Arial" w:cs="Arial" w:eastAsia="Arial" w:hAnsi="Arial"/>
          <w:sz w:val="18"/>
          <w:szCs w:val="18"/>
          <w:color w:val="auto"/>
        </w:rPr>
        <w:t>The natural history of NASH is variable from patient to patient and, while the NAS is a valuable tool for diagnosing the disease, it does not appear to be predictive of disease progression. The presence of fibrosis currently is the only factor that is highly predictive for identifying those patients who will progress to cirrhosis. On average, patients with NASH advance one fibrosis stage approximately every seven years. The mortality rate of patients with NASH with fibrosis has been estimated at 1.5% to 3.5% per year, and the leading cause of death (estimated at approximately 53%) of patients with NASH is liver-related. Each stage of worsening of fibrosis correlates to an exponential increase in liver-related mortality rates. Patients with F3 and F4 fibrosis have an approximately 17 times greater risk and 42 times greater risk, respectively, of liver-related mortality than those patients with NASH without fibrosis. Therefore, we expect that treatments that can drive the regression of fibrosis are more likely to have a meaningful impact on clinical outcomes for patients with NASH with F2 to F4 fibrosis.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Aldafermin: A Rapid and Potent Approach to Treating NASH</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Aldafermin is an engineered analog of human hormone FGF19 that is administered through a once-daily subcutaneous injection and has demonstrated the ability to rapidly improve NASH and reverse liver fibrosis in preclinical and clinical studies. We believe the combination of breadth, magnitude and speed of effect demonstrated by aldafermin in the studies we have conducted will result in a therapeutic agent that, if approved, would provide a needed medicine for physicians to treat patients with NASH with moderate to advanced fibrosis.</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initially identified FGF19 by using our proprietary rodent gastric bypass surgery model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inhibits the production of bile acids in the liver. Systemic FGF19 levels are decreased in patients with NASH, type 2 diabetes or metabolic syndrome, and are normalized after gastric bypass surgery in diabetic human subjects.</w:t>
      </w:r>
    </w:p>
    <w:p>
      <w:pPr>
        <w:spacing w:after="0" w:line="9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 xml:space="preserve">The activities ascribed to FGF19 appear to be mediated primarily through two different receptor complexes: fibroblast growth factor receptor 4-beta-klotho, or FGFR4/KLB, and FGFR1c/KLB. FGFR4/KLB receptor complexes are found primarily in the liver and FGFR1c/KLB receptor complexes are found primarily in adipose tissue and the central nervous system. When activated, FGFR4/KLB inhibits the expression of the cholesterol 7alpha-hydroxylase 1, or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patients with NASH progress to F2 and F3 fibrosis stages, serum levels of bile acids double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8"/>
          <w:szCs w:val="18"/>
          <w:i w:val="1"/>
          <w:iCs w:val="1"/>
          <w:color w:val="auto"/>
        </w:rPr>
        <w:t xml:space="preserve">de novo </w:t>
      </w:r>
      <w:r>
        <w:rPr>
          <w:rFonts w:ascii="Arial" w:cs="Arial" w:eastAsia="Arial" w:hAnsi="Arial"/>
          <w:sz w:val="18"/>
          <w:szCs w:val="18"/>
          <w:color w:val="auto"/>
        </w:rPr>
        <w:t>lipogenesis and an increase in fatty acid oxidation.</w:t>
      </w:r>
    </w:p>
    <w:p>
      <w:pPr>
        <w:spacing w:after="0" w:line="9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designed aldafermin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aldafermin to have a more rapid and direct impact on fibrosis as compared to other agents that only address the metabolic dysfunction of NASH, as illustrated in the figure below.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423545</wp:posOffset>
            </wp:positionV>
            <wp:extent cx="5760720" cy="3437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Clinical Experience with Aldafermin in Patients with NASH</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Our clinical development program for aldafermin was designed to first assess its safety and tolerability and then test for activity in humans in a variety of disease settings we believed might benefit from the signaling activity of the FGF19 pathway. Each of the trials we have conducted has provided insights into the activity of aldafermin in humans and informed our development plans for NASH. A consistent profile of activity and tolerability has emerged for the compound across these studies.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Aldafermin Phase 2 Clinical Trial in Patients with NASH: Efficacy Results</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Phase 2 aldafermin study in patients with histologically-confirmed NASH included four successive cohorts:</w:t>
      </w:r>
    </w:p>
    <w:p>
      <w:pPr>
        <w:ind w:left="860" w:hanging="393"/>
        <w:spacing w:after="0" w:line="246"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Cohort 1: a 12-week, multi-center, double-blind, randomized, placebo-controlled study that assessed the efficacy and safety of aldafermin 3 mg and 6 mg once daily through non-invasive measures only;</w:t>
      </w:r>
    </w:p>
    <w:p>
      <w:pPr>
        <w:spacing w:after="0" w:line="88"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Cohort 2: a 12-week, open-label, single-blind expansion study that assessed the efficacy and safety of aldafermin 0.3 mg, 1 mg and 3 mg once daily, with the 3 mg dose group including histology endpoints;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Cohort 3: a 12-week, open-label, single-blind expansion study that assessed the efficacy and safety of aldafermin 1 mg once daily, including non-invasive and histology endpoints; and</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Cohort 4: a 24-week, multi-center, double-blind, randomized, placebo-controlled study that assessed the efficacy and safety of aldafermin 1 mg once daily, including non-invasive and histology endpoints, with liver biopsies performed at baseline and following 24 weeks of treatment.</w:t>
      </w:r>
    </w:p>
    <w:p>
      <w:pPr>
        <w:spacing w:after="0" w:line="311" w:lineRule="exact"/>
        <w:rPr>
          <w:sz w:val="20"/>
          <w:szCs w:val="20"/>
          <w:color w:val="auto"/>
        </w:rPr>
      </w:pPr>
    </w:p>
    <w:p>
      <w:pPr>
        <w:ind w:firstLine="802"/>
        <w:spacing w:after="0" w:line="246" w:lineRule="auto"/>
        <w:rPr>
          <w:sz w:val="20"/>
          <w:szCs w:val="20"/>
          <w:color w:val="auto"/>
        </w:rPr>
      </w:pPr>
      <w:r>
        <w:rPr>
          <w:rFonts w:ascii="Arial" w:cs="Arial" w:eastAsia="Arial" w:hAnsi="Arial"/>
          <w:sz w:val="18"/>
          <w:szCs w:val="18"/>
          <w:color w:val="auto"/>
        </w:rPr>
        <w:t>Key eligibility criteria were similar across study cohorts and included adult patients with biopsy-confirmed NASH, NAS ≥4 (with at least one point in each NAS component of steatosis, lobular inflammation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37" w:lineRule="auto"/>
        <w:rPr>
          <w:sz w:val="20"/>
          <w:szCs w:val="20"/>
          <w:color w:val="auto"/>
        </w:rPr>
      </w:pPr>
      <w:r>
        <w:rPr>
          <w:rFonts w:ascii="Arial" w:cs="Arial" w:eastAsia="Arial" w:hAnsi="Arial"/>
          <w:sz w:val="18"/>
          <w:szCs w:val="18"/>
          <w:color w:val="auto"/>
        </w:rPr>
        <w:t xml:space="preserve">hepatocellular ballooning), presence of liver fibrosis and ≥8% liver fat content, or LFC, as measured by magnetic resonance imaging proton density fat fraction, or MRI-PDFF, an imaging biomarker. Cohorts 1, 2 and 3 enrolled F1-F3 liver fibrosis patients. Cohort 4 enrolled only F2-F3 liver fibrosis patients. Additionally, Cohorts 2-4 studied statin use for those patients that experienced a low-density lipoprotein, or LDL, cholesterol increase during the first two weeks of aldafermin treatment, as further described below. Results from Cohort 1 were presented at the International Liver Congress™ in 2017 and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Data from Cohorts 2 and 3 were presented at the International Liver Congress in 2018 and The Liver Meeting® in 2018 and published in </w:t>
      </w:r>
      <w:r>
        <w:rPr>
          <w:rFonts w:ascii="Arial" w:cs="Arial" w:eastAsia="Arial" w:hAnsi="Arial"/>
          <w:sz w:val="18"/>
          <w:szCs w:val="18"/>
          <w:i w:val="1"/>
          <w:iCs w:val="1"/>
          <w:color w:val="auto"/>
        </w:rPr>
        <w:t>Hepatology</w:t>
      </w:r>
      <w:r>
        <w:rPr>
          <w:rFonts w:ascii="Arial" w:cs="Arial" w:eastAsia="Arial" w:hAnsi="Arial"/>
          <w:sz w:val="18"/>
          <w:szCs w:val="18"/>
          <w:color w:val="auto"/>
        </w:rPr>
        <w:t xml:space="preserve"> in 2019. Data from Cohort 4 was published in </w:t>
      </w:r>
      <w:r>
        <w:rPr>
          <w:rFonts w:ascii="Arial" w:cs="Arial" w:eastAsia="Arial" w:hAnsi="Arial"/>
          <w:sz w:val="18"/>
          <w:szCs w:val="18"/>
          <w:i w:val="1"/>
          <w:iCs w:val="1"/>
          <w:color w:val="auto"/>
        </w:rPr>
        <w:t>Gastroenterology a</w:t>
      </w:r>
      <w:r>
        <w:rPr>
          <w:rFonts w:ascii="Arial" w:cs="Arial" w:eastAsia="Arial" w:hAnsi="Arial"/>
          <w:sz w:val="18"/>
          <w:szCs w:val="18"/>
          <w:color w:val="auto"/>
        </w:rPr>
        <w:t>nd presented at The Digital International Liver Congress and the Liver Meeting in 2020.</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the Phase 2 trial, aldafermin activity was measured across a variety of imaging and serum biomarker measures, or non-invasive measures, as well as histological measures, in order to provide a comprehensive assessment of aldafermin’s activity on NASH disease pathology at different time points. For each of Cohorts 1-4, the primary endpoint was the absolute change from baseline to end of treatment in LFC. Responders were defined as patients who achieved a 5% or larger reduction in absolute LFC as measured by MRI-PDFF. Key secondary endpoints included assessments of safety and tolerability, percentage change from baseline (or relative change) in absolute LFC, normalization of LFC to less than 5% and changes from baseline and normalization in alanine aminotransaminase, or ALT, and aspartate aminotransaminase, or AST, biomarkers associated with hepatic inflammation and injury. Exploratory endpoints included the evaluation of biomarkers of NASH pathogenesis and fibrosis, including PRO-C3, the pro-peptide of Type III collagen and an exploratory biomarker of fibrogenesis, as well as assessment of changes in liver histology in a sub-population of patients (the 3 mg aldafermin dose group in Cohort 2 and all patients in Cohorts 3 and 4 who were treated with 1 mg aldafermin).</w:t>
      </w:r>
    </w:p>
    <w:p>
      <w:pPr>
        <w:spacing w:after="0" w:line="98"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The table below summarizes the data generated in each of Cohorts 1-4 and shows the consistent effect across each of the non-invasive measures of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125730</wp:posOffset>
            </wp:positionV>
            <wp:extent cx="5760720" cy="2657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bx=biopsy</w:t>
      </w:r>
    </w:p>
    <w:p>
      <w:pPr>
        <w:spacing w:after="0" w:line="32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August 2020, we announced final data from Cohort 4, including a new analysis of Cohort 4 data from patients with NASH with F3 liver fibrosis. Cohort 4 was statistically powered to demonstrate the effect of 1 mg aldafermin treatment versus placebo on the primary endpoint of change in LFC, which achieved statistical significance. In addition, the study assessed secondary and exploratory endpoints of liver histology and biomarkers of disease activity. The histology results revealed that treatment with aldafermin led to clinically meaningful improvements at 24 weeks versus placebo in fibrosis improvement of ≥1 stage with no worsening of NASH (38% of aldafermin-treated patients vs. 18% placebo) and in resolution of NASH with no worsening of liver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spacing w:after="0" w:line="246" w:lineRule="auto"/>
        <w:rPr>
          <w:sz w:val="20"/>
          <w:szCs w:val="20"/>
          <w:color w:val="auto"/>
        </w:rPr>
      </w:pPr>
      <w:r>
        <w:rPr>
          <w:rFonts w:ascii="Arial" w:cs="Arial" w:eastAsia="Arial" w:hAnsi="Arial"/>
          <w:sz w:val="18"/>
          <w:szCs w:val="18"/>
          <w:color w:val="auto"/>
        </w:rPr>
        <w:t>fibrosis (24% of aldafermin-treated patients vs. 9% placebo). The study also demonstrated a statistically significant impact on the combined endpoint of both fibrosis improvement and resolution of NASH (22% in aldafermin-treated patients vs. 0% placebo).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Cohort 4 Histology Data</w:t>
      </w:r>
      <w:r>
        <w:rPr>
          <w:rFonts w:ascii="Arial" w:cs="Arial" w:eastAsia="Arial" w:hAnsi="Arial"/>
          <w:sz w:val="15"/>
          <w:szCs w:val="15"/>
          <w:b w:val="1"/>
          <w:bCs w:val="1"/>
          <w:color w:val="auto"/>
        </w:rPr>
        <w:t>1</w:t>
      </w:r>
    </w:p>
    <w:p>
      <w:pPr>
        <w:spacing w:after="0" w:line="280" w:lineRule="exact"/>
        <w:rPr>
          <w:sz w:val="20"/>
          <w:szCs w:val="20"/>
          <w:color w:val="auto"/>
        </w:rPr>
      </w:pPr>
    </w:p>
    <w:tbl>
      <w:tblPr>
        <w:tblLayout w:type="fixed"/>
        <w:tblInd w:w="10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ind w:left="320"/>
              <w:spacing w:after="0"/>
              <w:rPr>
                <w:sz w:val="20"/>
                <w:szCs w:val="20"/>
                <w:color w:val="auto"/>
              </w:rPr>
            </w:pPr>
            <w:r>
              <w:rPr>
                <w:rFonts w:ascii="Arial" w:cs="Arial" w:eastAsia="Arial" w:hAnsi="Arial"/>
                <w:sz w:val="13"/>
                <w:szCs w:val="13"/>
                <w:b w:val="1"/>
                <w:bCs w:val="1"/>
                <w:color w:val="auto"/>
              </w:rPr>
              <w:t>Aldafermin</w:t>
            </w:r>
          </w:p>
        </w:tc>
        <w:tc>
          <w:tcPr>
            <w:tcW w:w="1340" w:type="dxa"/>
            <w:vAlign w:val="bottom"/>
          </w:tcPr>
          <w:p>
            <w:pPr>
              <w:ind w:left="440"/>
              <w:spacing w:after="0"/>
              <w:rPr>
                <w:sz w:val="20"/>
                <w:szCs w:val="20"/>
                <w:color w:val="auto"/>
              </w:rPr>
            </w:pPr>
            <w:r>
              <w:rPr>
                <w:rFonts w:ascii="Arial" w:cs="Arial" w:eastAsia="Arial" w:hAnsi="Arial"/>
                <w:sz w:val="13"/>
                <w:szCs w:val="13"/>
                <w:b w:val="1"/>
                <w:bCs w:val="1"/>
                <w:color w:val="auto"/>
              </w:rPr>
              <w:t>Placebo</w:t>
            </w:r>
          </w:p>
        </w:tc>
      </w:tr>
      <w:tr>
        <w:trPr>
          <w:trHeight w:val="164"/>
        </w:trPr>
        <w:tc>
          <w:tcPr>
            <w:tcW w:w="20" w:type="dxa"/>
            <w:vAlign w:val="bottom"/>
          </w:tcPr>
          <w:p>
            <w:pPr>
              <w:spacing w:after="0"/>
              <w:rPr>
                <w:sz w:val="14"/>
                <w:szCs w:val="14"/>
                <w:color w:val="auto"/>
              </w:rPr>
            </w:pPr>
          </w:p>
        </w:tc>
        <w:tc>
          <w:tcPr>
            <w:tcW w:w="612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Proportion of Patients Achieving Endpoints</w:t>
            </w:r>
          </w:p>
        </w:tc>
        <w:tc>
          <w:tcPr>
            <w:tcW w:w="16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1 mg (n=50)</w:t>
            </w: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(n=22)</w:t>
            </w:r>
          </w:p>
        </w:tc>
      </w:tr>
      <w:tr>
        <w:trPr>
          <w:trHeight w:val="223"/>
        </w:trPr>
        <w:tc>
          <w:tcPr>
            <w:tcW w:w="2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Fibrosis improvement (≥1 stage) with no worsening of NASH</w:t>
            </w:r>
            <w:r>
              <w:rPr>
                <w:rFonts w:ascii="Arial" w:cs="Arial" w:eastAsia="Arial" w:hAnsi="Arial"/>
                <w:sz w:val="11"/>
                <w:szCs w:val="11"/>
                <w:color w:val="auto"/>
              </w:rPr>
              <w:t>2</w:t>
            </w:r>
          </w:p>
        </w:tc>
        <w:tc>
          <w:tcPr>
            <w:tcW w:w="1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38%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r>
      <w:tr>
        <w:trPr>
          <w:trHeight w:val="243"/>
        </w:trPr>
        <w:tc>
          <w:tcPr>
            <w:tcW w:w="6300" w:type="dxa"/>
            <w:vAlign w:val="bottom"/>
            <w:gridSpan w:val="3"/>
          </w:tcPr>
          <w:p>
            <w:pPr>
              <w:spacing w:after="0"/>
              <w:rPr>
                <w:sz w:val="20"/>
                <w:szCs w:val="20"/>
                <w:color w:val="auto"/>
              </w:rPr>
            </w:pPr>
            <w:r>
              <w:rPr>
                <w:rFonts w:ascii="Arial" w:cs="Arial" w:eastAsia="Arial" w:hAnsi="Arial"/>
                <w:sz w:val="16"/>
                <w:szCs w:val="16"/>
                <w:color w:val="auto"/>
              </w:rPr>
              <w:t>Resolution of NASH with no worsening of liver fibrosis</w:t>
            </w:r>
            <w:r>
              <w:rPr>
                <w:rFonts w:ascii="Arial" w:cs="Arial" w:eastAsia="Arial" w:hAnsi="Arial"/>
                <w:sz w:val="11"/>
                <w:szCs w:val="11"/>
                <w:color w:val="auto"/>
              </w:rPr>
              <w:t>3</w:t>
            </w:r>
          </w:p>
        </w:tc>
        <w:tc>
          <w:tcPr>
            <w:tcW w:w="1540" w:type="dxa"/>
            <w:vAlign w:val="bottom"/>
          </w:tcPr>
          <w:p>
            <w:pPr>
              <w:ind w:left="620"/>
              <w:spacing w:after="0"/>
              <w:rPr>
                <w:sz w:val="20"/>
                <w:szCs w:val="20"/>
                <w:color w:val="auto"/>
              </w:rPr>
            </w:pPr>
            <w:r>
              <w:rPr>
                <w:rFonts w:ascii="Arial" w:cs="Arial" w:eastAsia="Arial" w:hAnsi="Arial"/>
                <w:sz w:val="16"/>
                <w:szCs w:val="16"/>
                <w:color w:val="auto"/>
              </w:rPr>
              <w:t>24%</w:t>
            </w:r>
          </w:p>
        </w:tc>
        <w:tc>
          <w:tcPr>
            <w:tcW w:w="134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243"/>
        </w:trPr>
        <w:tc>
          <w:tcPr>
            <w:tcW w:w="20" w:type="dxa"/>
            <w:vAlign w:val="bottom"/>
          </w:tcPr>
          <w:p>
            <w:pPr>
              <w:spacing w:after="0"/>
              <w:rPr>
                <w:sz w:val="21"/>
                <w:szCs w:val="21"/>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Fibrosis Improvement and resolution of NASH</w:t>
            </w:r>
            <w:r>
              <w:rPr>
                <w:rFonts w:ascii="Arial" w:cs="Arial" w:eastAsia="Arial" w:hAnsi="Arial"/>
                <w:sz w:val="11"/>
                <w:szCs w:val="11"/>
                <w:color w:val="auto"/>
              </w:rPr>
              <w:t>4</w:t>
            </w:r>
          </w:p>
        </w:tc>
        <w:tc>
          <w:tcPr>
            <w:tcW w:w="1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22%*</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r>
      <w:tr>
        <w:trPr>
          <w:trHeight w:val="305"/>
        </w:trPr>
        <w:tc>
          <w:tcPr>
            <w:tcW w:w="6300" w:type="dxa"/>
            <w:vAlign w:val="bottom"/>
            <w:gridSpan w:val="3"/>
          </w:tcPr>
          <w:p>
            <w:pPr>
              <w:spacing w:after="0"/>
              <w:rPr>
                <w:sz w:val="20"/>
                <w:szCs w:val="20"/>
                <w:color w:val="auto"/>
              </w:rPr>
            </w:pPr>
            <w:r>
              <w:rPr>
                <w:rFonts w:ascii="Arial" w:cs="Arial" w:eastAsia="Arial" w:hAnsi="Arial"/>
                <w:sz w:val="16"/>
                <w:szCs w:val="16"/>
                <w:color w:val="auto"/>
              </w:rPr>
              <w:t>NAS reduction of ≥2 points with no worsening of liver fibrosis</w:t>
            </w:r>
          </w:p>
        </w:tc>
        <w:tc>
          <w:tcPr>
            <w:tcW w:w="1540" w:type="dxa"/>
            <w:vAlign w:val="bottom"/>
          </w:tcPr>
          <w:p>
            <w:pPr>
              <w:ind w:left="620"/>
              <w:spacing w:after="0"/>
              <w:rPr>
                <w:sz w:val="20"/>
                <w:szCs w:val="20"/>
                <w:color w:val="auto"/>
              </w:rPr>
            </w:pPr>
            <w:r>
              <w:rPr>
                <w:rFonts w:ascii="Arial" w:cs="Arial" w:eastAsia="Arial" w:hAnsi="Arial"/>
                <w:sz w:val="16"/>
                <w:szCs w:val="16"/>
                <w:color w:val="auto"/>
              </w:rPr>
              <w:t>62%***</w:t>
            </w:r>
          </w:p>
        </w:tc>
        <w:tc>
          <w:tcPr>
            <w:tcW w:w="1340" w:type="dxa"/>
            <w:vAlign w:val="bottom"/>
          </w:tcPr>
          <w:p>
            <w:pPr>
              <w:jc w:val="center"/>
              <w:spacing w:after="0"/>
              <w:rPr>
                <w:sz w:val="20"/>
                <w:szCs w:val="20"/>
                <w:color w:val="auto"/>
              </w:rPr>
            </w:pPr>
            <w:r>
              <w:rPr>
                <w:rFonts w:ascii="Arial" w:cs="Arial" w:eastAsia="Arial" w:hAnsi="Arial"/>
                <w:sz w:val="16"/>
                <w:szCs w:val="16"/>
                <w:color w:val="auto"/>
              </w:rPr>
              <w:t>9%</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*p=0.015; ***p&lt;0.001</w:t>
      </w:r>
    </w:p>
    <w:p>
      <w:pPr>
        <w:spacing w:after="0" w:line="283"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1"/>
          <w:szCs w:val="11"/>
          <w:color w:val="auto"/>
        </w:rPr>
      </w:pPr>
      <w:r>
        <w:rPr>
          <w:rFonts w:ascii="Arial" w:cs="Arial" w:eastAsia="Arial" w:hAnsi="Arial"/>
          <w:sz w:val="13"/>
          <w:szCs w:val="13"/>
          <w:color w:val="auto"/>
        </w:rPr>
        <w:t>Per protocol, analyzed using the “liver histologic population,” defined as the subset of enrolled patients who had valid, non-missing biopsy data at both baseline and week 24 (n=72).</w:t>
      </w:r>
    </w:p>
    <w:p>
      <w:pPr>
        <w:spacing w:after="0" w:line="175" w:lineRule="exact"/>
        <w:rPr>
          <w:sz w:val="20"/>
          <w:szCs w:val="20"/>
          <w:color w:val="auto"/>
        </w:rPr>
      </w:pPr>
    </w:p>
    <w:p>
      <w:pPr>
        <w:ind w:left="800" w:right="120" w:hanging="401"/>
        <w:spacing w:after="0" w:line="230" w:lineRule="auto"/>
        <w:tabs>
          <w:tab w:leader="none" w:pos="800" w:val="left"/>
        </w:tabs>
        <w:numPr>
          <w:ilvl w:val="0"/>
          <w:numId w:val="10"/>
        </w:numPr>
        <w:rPr>
          <w:rFonts w:ascii="Arial" w:cs="Arial" w:eastAsia="Arial" w:hAnsi="Arial"/>
          <w:sz w:val="11"/>
          <w:szCs w:val="11"/>
          <w:color w:val="auto"/>
        </w:rPr>
      </w:pPr>
      <w:r>
        <w:rPr>
          <w:rFonts w:ascii="Arial" w:cs="Arial" w:eastAsia="Arial" w:hAnsi="Arial"/>
          <w:sz w:val="13"/>
          <w:szCs w:val="13"/>
          <w:color w:val="auto"/>
        </w:rPr>
        <w:t>Defined as patients having an improvement in liver fibrosis ≥1 stage and having no worsening of hepatocellular ballooning, no worsening of lobular inflammation and no worsening of steatosis from baseline to week 24.</w:t>
      </w:r>
    </w:p>
    <w:p>
      <w:pPr>
        <w:spacing w:after="0" w:line="91" w:lineRule="exact"/>
        <w:rPr>
          <w:sz w:val="20"/>
          <w:szCs w:val="20"/>
          <w:color w:val="auto"/>
        </w:rPr>
      </w:pPr>
    </w:p>
    <w:p>
      <w:pPr>
        <w:ind w:left="800" w:right="60" w:hanging="401"/>
        <w:spacing w:after="0" w:line="230" w:lineRule="auto"/>
        <w:tabs>
          <w:tab w:leader="none" w:pos="8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Defined as patients having a non-alcoholic fatty liver disease activity score, or NAS, of 0 or 1 for lobular inflammation and 0 for hepatocellular ballooning, with no worsening of fibrosis (no progression of NASH fibrosis stage) from baseline to week 24 (as defined by Clinical Research Network criteria).</w:t>
      </w:r>
    </w:p>
    <w:p>
      <w:pPr>
        <w:spacing w:after="0" w:line="91"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1"/>
          <w:szCs w:val="11"/>
          <w:color w:val="auto"/>
        </w:rPr>
      </w:pPr>
      <w:r>
        <w:rPr>
          <w:rFonts w:ascii="Arial" w:cs="Arial" w:eastAsia="Arial" w:hAnsi="Arial"/>
          <w:sz w:val="13"/>
          <w:szCs w:val="13"/>
          <w:color w:val="auto"/>
        </w:rPr>
        <w:t>Defined as patients having an improvement in liver fibrosis ≥1 stage and having a NAS of 0 or 1 for lobular inflammation and 0 for hepatocellular ballooning at week 24.</w:t>
      </w:r>
    </w:p>
    <w:p>
      <w:pPr>
        <w:spacing w:after="0" w:line="36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 xml:space="preserve">Efficacy data from a secondary analysis of patients with advanced liver fibrosis enrolled in Cohort 4 demonstrated that 30% of patients with F3 liver fibrosis treated with 1 mg aldafermin achieved fibrosis improvement </w:t>
      </w:r>
      <w:r>
        <w:rPr>
          <w:rFonts w:ascii="Arial" w:cs="Arial" w:eastAsia="Arial" w:hAnsi="Arial"/>
          <w:sz w:val="18"/>
          <w:szCs w:val="18"/>
          <w:u w:val="single" w:color="auto"/>
          <w:color w:val="auto"/>
        </w:rPr>
        <w:t>&gt;</w:t>
      </w:r>
      <w:r>
        <w:rPr>
          <w:rFonts w:ascii="Arial" w:cs="Arial" w:eastAsia="Arial" w:hAnsi="Arial"/>
          <w:sz w:val="18"/>
          <w:szCs w:val="18"/>
          <w:color w:val="auto"/>
        </w:rPr>
        <w:t>1 stage without worsening of NASH, compared to 0% in the placebo arm. A responder analysis conducted in patients with F3 liver fibrosis who achieved ≥30% LFC reductions showed that 46% of patients treated with 1 mg aldafermin had fibrosis improvement of ≥1 stage without worsening of NASH, compared to 0% of placebo patients.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Aldafermin Increases Serum Levels of LDL Cholesterol in Patients with NASH</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 byproduct of aldafermin’s potent inhibition of the primary pathway for bile acid synthesis, also known as the classical pathway, is the elevation of LDL cholesterol in the serum of patients with NASH. Cholesterol serves as the precursor molecule in a multi-step enzymatic pathway that generates various forms of bile acids. CYP7A1 is the rate-limiting enzyme in this pathway and, therefore, serves as a regulatory control point for the classical pathway for bile acid synthesis. We believe a primary role of FGF19 and aldafermin is to inhibit bile acid synthesis through the classical pathway by activating a signaling cascade that inhibits CYP7A1 activity. We believe that as a direct effect of this on-target activity, cellular cholesterol is no longer metabolized to bile acids and instead is shunted into the blood stream, causing an elevation of serum LDL cholesterol.</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believe that elevated serum LDL cholesterol is a confirmatory indication of aldafermin activity in patients with NASH, which correlates with its beneficial effects on liver health. The impacts of these drug-induced changes in cholesterol are unknown. However, sustained and prolonged LDL cholesterol elevations in untreated patients are associated with cardiovascular disease through atherosclerotic plaque development. In Cohorts 2, 3 and 4 of our Phase 2 clinical trial of aldafermin, we demonstrated the ability of concomitant statin use to mitigate the serum LDL cholesterol elevations driven by aldafermin activity. Patients in these cohorts were directed to take 20 mg of rosuvastatin daily for the remainder of the trial once an elevation of LDL cholesterol of at least 10 mg/dl was recorded. The rosuvastatin dose was increased to 40 mg if required to adequately control LDL cholesterol while on treatment.</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Analysis of lipid data presented at The Digital International Liver Congress in August 2020 found that the statin use algorithm applied to optimize the lipid management of both aldafermin and placebo patients in Cohort 4 was associated with an overall reduction in the 10-year atherosclerotic cardiovascular disease, or ASCVD, risk score for patients participating in Cohort 4. The analysis found that the 10-year ASCVD risk score declined from a baseline of 15% to 12% in patients treated with aldafermin at week 24 (compared to a decline from baseline of 12% to 11% in the placebo arm). Over the course of the study, the concomitant use of aldafermin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ind w:right="20"/>
        <w:spacing w:after="0"/>
        <w:rPr>
          <w:sz w:val="20"/>
          <w:szCs w:val="20"/>
          <w:color w:val="auto"/>
        </w:rPr>
      </w:pPr>
      <w:r>
        <w:rPr>
          <w:rFonts w:ascii="Arial" w:cs="Arial" w:eastAsia="Arial" w:hAnsi="Arial"/>
          <w:sz w:val="18"/>
          <w:szCs w:val="18"/>
          <w:color w:val="auto"/>
        </w:rPr>
        <w:t>rosuvastatin in Cohort 4 led to a mean LDL cholesterol decline of 19 mg/dL in the treatment group versus a mean decline of 16 mg/dL in the placebo group. Over the course of the study, in Cohort 4, triglycerides declined 62 mg/dL in the aldafermin treatment arm vs. 29 mg/dL in placebo. Data from Cohort 4 also showed no effect on blood pressure or heart rate in patients in the treatment arm.</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Ongoing Aldafermin Clinical Trials</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To date, aldafermin has been dosed in over 500 patients and healthy volunteers across multiple liver and metabolic diseases, including more than 200 patients with NASH. In addition to the completed Phase 2 clinical trial described above, aldafermin is currently being tested in the ongoing Phase 2b ALPINE 2/3 trial in patients with NASH with F2 and F3 liver fibrosis, which completed enrollment in September 2020, and in the ongoing ALPINE 4 trial in patients with NASH with F4 liver fibrosis and well-compensated cirrhosis, which commenced enrollment in February 2020.</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Aldafermin Phase 2b ALPINE 2/3 Clinical Trial</w:t>
      </w:r>
    </w:p>
    <w:p>
      <w:pPr>
        <w:spacing w:after="0" w:line="23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ALPINE 2/3 clinical trial is a multi-center, double-blind, placebo-controlled study administering 0.3 mg, 1 mg or 3 mg of aldafermin or placebo, once-daily, subcutaneously for 24 weeks to patients with NASH with F2 and F3 liver fibrosis. We enrolled and dosed approximately 170 patients across 30 sites in the United States. Patients receive liver biopsies to qualify for the trial and at the end of the 24-week treatment. The primary objective of the ALPINE 2/3 trial is to evaluate a dose response showing an improvement in liver fibrosis by ≥ 1 stage with no worsening of steatohepatitis at week 24. The enrollment criteria, study design and study conduct are consistent with the U.S. Food and Drug Administration, or FDA, draft industry guidance regarding the development of drugs for NASH that was published in December 2018. We expect to report topline results from our ALPINE 2/3 clinical trial in the second quarter of 2021.</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Aldafermin Phase 2b ALPINE 4 Clinical Trial</w:t>
      </w:r>
    </w:p>
    <w:p>
      <w:pPr>
        <w:spacing w:after="0" w:line="23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ALPINE 4 clinical trial is designed to evaluate the treatment effect of aldafermin in a population of patients with NASH with F4 liver fibrosis and well-compensated cirrhosis. The objective of this trial is to evaluate whether the fibrosis regression we have observed in patients with F2 and F3 fibrosis can also be achieved in compensated cirrhotic patients with NASH, for whom liver mortality rates are high and liver transplant is the only option. We initiated the ALPINE 4 clinical trial in February 2020 and expect to enroll approximately 160 patients across 70 sites in the United States, Europe, Hong Kong and Australia.</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Future Aldafermin Clinical and Commercial Product Development Plans</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There are currently no FDA-approved therapeutics for NASH. The FDA has provided draft guidance to the industry regarding acceptable development pathways for investigational NASH agents as follows:</w:t>
      </w:r>
    </w:p>
    <w:p>
      <w:pPr>
        <w:spacing w:after="0" w:line="197" w:lineRule="exact"/>
        <w:rPr>
          <w:sz w:val="20"/>
          <w:szCs w:val="20"/>
          <w:color w:val="auto"/>
        </w:rPr>
      </w:pPr>
    </w:p>
    <w:p>
      <w:pPr>
        <w:ind w:left="800" w:right="2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agent must be tested in patients with NASH, typically characterized as having a NAS of four or greater and at least one point in each component, with F2 or F3 fibrosis;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 accelerated approval path (Subpart H (drugs)/Subpart E (biologics)), a surrogate endpoint that is “reasonably likely to predict clinical benefit” is acceptable. A subsequent post-marketing confirmatory outcomes study is then required to be conducted to maintain licensure; and</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 Subpart H/E approval, three biopsy-based surrogate endpoints are endorsed by the FDA, defined as the proportion of patients that achieve:</w:t>
      </w:r>
    </w:p>
    <w:p>
      <w:pPr>
        <w:spacing w:after="0" w:line="196" w:lineRule="exact"/>
        <w:rPr>
          <w:rFonts w:ascii="Arial" w:cs="Arial" w:eastAsia="Arial" w:hAnsi="Arial"/>
          <w:sz w:val="18"/>
          <w:szCs w:val="18"/>
          <w:color w:val="auto"/>
        </w:rPr>
      </w:pPr>
    </w:p>
    <w:p>
      <w:pPr>
        <w:ind w:left="1200" w:hanging="396"/>
        <w:spacing w:after="0" w:line="246"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resolution of NASH, defined as a lobular inflammation score = 0 or 1 and a hepatocellular ballooning score = 0, with no worsening of fibrosis; or</w:t>
      </w:r>
    </w:p>
    <w:p>
      <w:pPr>
        <w:spacing w:after="0" w:line="196" w:lineRule="exact"/>
        <w:rPr>
          <w:rFonts w:ascii="Arial" w:cs="Arial" w:eastAsia="Arial" w:hAnsi="Arial"/>
          <w:sz w:val="18"/>
          <w:szCs w:val="18"/>
          <w:color w:val="auto"/>
        </w:rPr>
      </w:pPr>
    </w:p>
    <w:p>
      <w:pPr>
        <w:ind w:left="1200" w:hanging="396"/>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improvement of fibrosis, defined as one stage improvement in fibrosis with no worsening of NASH; or</w:t>
      </w:r>
    </w:p>
    <w:p>
      <w:pPr>
        <w:spacing w:after="0" w:line="225" w:lineRule="exact"/>
        <w:rPr>
          <w:rFonts w:ascii="Arial" w:cs="Arial" w:eastAsia="Arial" w:hAnsi="Arial"/>
          <w:sz w:val="18"/>
          <w:szCs w:val="18"/>
          <w:color w:val="auto"/>
        </w:rPr>
      </w:pPr>
    </w:p>
    <w:p>
      <w:pPr>
        <w:ind w:left="1200" w:hanging="396"/>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resolution of NASH and improvement in fibrosis (as defined above).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 w:name="page17"/>
    <w:bookmarkEnd w:id="16"/>
    <w:p>
      <w:pPr>
        <w:jc w:val="both"/>
        <w:ind w:firstLine="802"/>
        <w:spacing w:after="0" w:line="237" w:lineRule="auto"/>
        <w:rPr>
          <w:sz w:val="20"/>
          <w:szCs w:val="20"/>
          <w:color w:val="auto"/>
        </w:rPr>
      </w:pPr>
      <w:r>
        <w:rPr>
          <w:rFonts w:ascii="Arial" w:cs="Arial" w:eastAsia="Arial" w:hAnsi="Arial"/>
          <w:sz w:val="18"/>
          <w:szCs w:val="18"/>
          <w:color w:val="auto"/>
        </w:rPr>
        <w:t>We believe many agents in development for NASH will opt for a Subpart H/E accelerated approval pathway and rely on surrogate endpoints for initial approval. Fibrosis stage is currently the only measurement that is correlated to liver outcomes and, therefore, the potential for many agents that will rely only on the resolution of a NASH surrogate endpoint to demonstrate clinical benefit will remain uncertain until a confirmatory outcomes study is successfully completed. In addition, while the FDA has provided guidance for accelerated approval of NASH therapies, no product has yet been successful in achieving regulatory approval in the United States. If we seek accelerated approval for aldafermin for NASH based on a surrogate endpoint, the FDA may not accept such endpoint, may require additional studies or analysis or may not approve aldafermin on an accelerated basis, or at all.</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are leveraging the results of Cohort 4 of our Phase 2 clinical trial, as well as guidance from the FDA, to inform early Phase 3 planning and design. We expect that the ALPINE 2/3 clinical trial results, anticipated in the second quarter of 2021, coupled with results from a hepatic impairment study, will provide further information to support our design of a pivotal clinical trial program to enable a biologics license application, or BLA, submission. We believe the clinical data produced with aldafermin in patients with NASH to date supports a product profile that may be unique in the current landscape of NASH therapeutics in development. Our data suggests aldafermin is capable of improving fibrosis in patients after as few as 12 weeks of treatment, while also exerting a positive impact on the other parameters of NASH, including steatosis, lobular inflammation and hepatocellular ballooning. If our initial signals of activity continue in later-stage clinical development, we believe that aldafermin, designed as a once-daily injectable medication, will be well suited to treat patients with NASH with F2, F3 and, potentially, early F4 fibrosis. As a result of these findings, we believe aldafermin could be particularly well suited for more fibrotic, later-stage patients with NASH. This advanced disease population is typically under the care of hepatologists, as contrasted with the typically asymptomatic early-stage NASH population, the majority of whom have not yet been diagnosed.</w:t>
      </w:r>
    </w:p>
    <w:p>
      <w:pPr>
        <w:spacing w:after="0" w:line="9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obtained Fast Track designation for aldafermin for the treatment of NASH in adults.</w:t>
      </w:r>
    </w:p>
    <w:p>
      <w:pPr>
        <w:spacing w:after="0" w:line="104"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Our goal is to position aldafermin to physicians, if aldafermin is approved, as a potent, rapidly-acting medication that can repair NASH-damaged livers to avoid progression to end-stage liver disease and liver transplantation.</w:t>
      </w:r>
    </w:p>
    <w:p>
      <w:pPr>
        <w:spacing w:after="0" w:line="8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clinical trials to date, aldafermin has been delivered as a once-daily injectable using a pre-filled, single-use, glass syringe. We are developing a formulation of aldafermin intended to be suitable for testing in a more commercially attractive multi-use pen injector, similar to the devices currently delivering injectable type 2 diabetes treatments. Longer term, we are pursuing development of a longer half-life version of aldafermin that may enable less frequent dosing. At present, we have programs investigating delayed-release technologies and protein modification to support this strategy. These efforts are currently at the research stage.</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Aldafermin Safety and Tolerability Profile in NASH</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Aldafermin has been generally well tolerated. In patients with NASH receiving various doses of aldafermin (between 1 mg and 6 mg) in Cohorts 1-4 of our completed Phase 2 trial, the most common reported adverse events occurring in more than 10 percent of patients across all four cohorts included diarrhea, headache, abdominal distension, nausea, fatigue, vomiting, constipation, frequent bowel movements, injection site bruising, urinary tract infection, nasopharyngitis, and abdominal pain, injection site reaction, vitamin D deficiency, injection site symptoms (such as pruritus, erythema, or swelling), cough, fecal color discoloration, cholesterol and LDL cholesterol increase, with the majority of adverse events classified as mild to moderate. In Cohort 4 specifically, aldafermin 1mg had an overall adverse event profile that was similar to that of placebo, with no meaningful difference in gastrointestinal, or GI, or pruritus adverse events in aldafermin compared to placebo. The most common adverse events (occurring in more than 10 percent of patients in either treatment arm) were diarrhea, headache, abdominal distension, nausea, fatigue, diabetes mellitus and peripheral edema, were primarily mild to moderate and occurred with comparable frequency in both the aldafermin and placebo arms.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ind w:firstLine="802"/>
        <w:spacing w:after="0" w:line="238" w:lineRule="auto"/>
        <w:rPr>
          <w:sz w:val="20"/>
          <w:szCs w:val="20"/>
          <w:color w:val="auto"/>
        </w:rPr>
      </w:pPr>
      <w:r>
        <w:rPr>
          <w:rFonts w:ascii="Arial" w:cs="Arial" w:eastAsia="Arial" w:hAnsi="Arial"/>
          <w:sz w:val="18"/>
          <w:szCs w:val="18"/>
          <w:color w:val="auto"/>
        </w:rPr>
        <w:t>A single serious adverse event, or SAE, acute pancreatitis, was reported in Cohort 1 and assessed as possibly related to study drug. In Cohorts 2 and 3, six patients receiving aldafermin reported a total of eight SAEs, pleurisy, vertigo, headache, hypertension, cardiac arrest, chest pain, pneumonia and kidney mass, none of which were considered related to study drug. In Cohort 4 specifically, the rate of SAEs experienced were similar as between aldafermin (n=2) and placebo (n=3). The two SAEs in the aldafermin treatment arm, rectal bleeding and liver biopsy complication, were both considered unrelated to study drug.</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Aldafermin Patent Portfolio</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 of December 31, 2020, we owned 23 issued patents in the United States, as well as issued patents in more than 40 foreign countries, including various member states of the European Patent Office, or EPO, covering aldafermin, related compositions-of-matter and methods of use. We also own patent applications covering similar subject matter in the United States, various member states of the EPO and multiple other foreign countries. The earliest issued patents in the United States are expected to expire in 2032, not including any patent term adjustments and any patent term extensions.</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MK-3655 (formerly NGM313): An Insulin Sensitizer for the Treatment of NASH</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MK-3655, previously known as NGM313, is a long-acting agonistic antibody discovered by us that selectively activates FGFR1c/KLB. In November 2018, Merck exercised its option for a license to conduct further research, develop and commercialize MK-3655 and other FGFR1c/KLB agonists pursuant to our Collaboration Agreement. As a result, under the current terms of the Collaboration Agreement, Merck is responsible for further MK-3655 development activities. In Phase 1 clinical testing conducted by us, MK-3655 demonstrated favorable tolerability and data has shown the agent is capable of reducing LFC and improving metabolic biomarkers in obese, insulin resistant subjects with NAFLD after a single dose. We believe that MK-3655 has the potential to be a treatment for those patients with NASH with early to moderate fibrosis with or without type 2 diabetes. In the fourth quarter of 2020, Merck initiated the Phase 2b clinical trial of MK-3655 administered every four weeks by subcutaneous injection to patients with F2 or F3 liver fibrosis and the trial is currently enrolling patients.</w:t>
      </w:r>
    </w:p>
    <w:p>
      <w:pPr>
        <w:spacing w:after="0" w:line="9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FGF21 is a protein hormone secreted by the liver, adipocytes, pancreas and skeletal muscle that regulates metabolic homeostasis. It exerts its effects on metabolic processes by signaling through the receptors known as FGFR1c, FGFR2c and FGFR3c; KLB functions as a co-receptor to enhance the binding of these receptors and is essential for mediating FGF21 activity. Multiple pharmaceutical companies have conducted human testing of therapeutics that are modified versions of FGF21. Early clinical trials of modified FGF21 ligands in humans demonstrated variable improvement in insulin sensitivity, reduction in LFC and improvement in lipid profile, body weight loss, NASH resolution and fibrosis improvement, suggesting potential utility in treating NASH. However, native FGF21 has been shown to have effects that may limit its potential for drug development as a result of potential effects on tremor, cortisol, bone and blood pressure and the potential to cause GI issues. We designed MK-3655 to harness the beneficial metabolic properties of FGF21 without some of its limitations.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MK-3655: An Agonistic Antibody of the FGFR1c/KLB Receptor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148590</wp:posOffset>
            </wp:positionV>
            <wp:extent cx="5623560" cy="2143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2356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8" w:name="page19"/>
    <w:bookmarkEnd w:id="18"/>
    <w:p>
      <w:pPr>
        <w:jc w:val="both"/>
        <w:ind w:firstLine="802"/>
        <w:spacing w:after="0" w:line="237" w:lineRule="auto"/>
        <w:rPr>
          <w:sz w:val="20"/>
          <w:szCs w:val="20"/>
          <w:color w:val="auto"/>
        </w:rPr>
      </w:pPr>
      <w:r>
        <w:rPr>
          <w:rFonts w:ascii="Arial" w:cs="Arial" w:eastAsia="Arial" w:hAnsi="Arial"/>
          <w:sz w:val="18"/>
          <w:szCs w:val="18"/>
          <w:color w:val="auto"/>
        </w:rPr>
        <w:t>We believe that developing a specific, agonistic antibody that selectively activates the FGFR1c/KLB pathway may obviate the risks associated with therapeutics based on the native FGF21 ligand. MK-3655, through its highly specific binding to KLB, results in the exclusive activation of FGFR1c-mediated signaling without triggering signaling through the other FGF receptors, such as FGFR2c or FGFR3c. Moreover, as MK-3655 recognizes an epitope on KLB that is distinct from the FGF19 or FGF21 binding sites, it does not compete with these natural ligands for binding with the FGFR1c/KLB complex. We believe that this non-overlapping binding site reduces the potential for side effects resulting from MK-3655 inhibition of endogenous FGF19 and FGF21 hormone activity.</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Clinical Experience with MK-3655</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MK-3655 Phase 1 Single Ascending Dose, or SAD, and Multiple Ascending Dose, or MAD, Clinical Trial</w:t>
      </w:r>
    </w:p>
    <w:p>
      <w:pPr>
        <w:spacing w:after="0" w:line="122"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Our first-in-human Phase 1 clinical trial of MK-3655 was a blinded, placebo-controlled study in overweight or obese but otherwise healthy adults in which single and multiple once-monthly subcutaneous injections of MK-3655 or placebo were tested to evaluate the safety, tolerability and pharmacokinetics, or PK, of MK-3655. MK-3655 was well tolerated, with signs of biological activity indicative of insulin sensitization after a single dose.</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the MAD portion of the study, three once-monthly doses ranging from 10 mg to 240 mg of MK-3655 were administered and, after 12 weeks, mean decreases from baseline in hemoglobin A1c, or HbA1c (the amount of glucose attached to hemoglobin), fasting glucose, fasting insulin and HOMA-IR (a measure of insulin resistance) were observed at the higher doses relative to placebo. Similar to the SAD portion of the study, a favorable lipid profile was demonstrated at the end of treatment on day 85, as shown in the table below. In patients from the SAD and MAD cohorts that received the highest dose level of MK-3655, an increase in placebo-subtracted body weight at end of treatment of 1.6 kg and 2.4 kg, respectively, was noted. This trend in body weight increase is consistent with the degree of insulin sensitization effects observed at these doses, and there was no evidence of edema, fluid retention or hemodilution associated with MK-3655 treatment. Despite the change in weight, there was no statistically significant increase in waist circumference in these cohorts of subjects receiving MK-3655. The beneficial changes in glucose metabolism, lipid levels and biomarkers of insulin sensitization supported further evaluation of MK-3655 in patients with fatty liver and insulin resistance.</w:t>
      </w:r>
    </w:p>
    <w:p>
      <w:pPr>
        <w:spacing w:after="0" w:line="18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MK-3655 Shown to Impact Key Glucoregulatory and Lipid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148590</wp:posOffset>
            </wp:positionV>
            <wp:extent cx="5220335" cy="2451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2033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both the SAD and MAD cohorts, MK-3655 was well tolerated. There were two SAEs reported in the MK-3655 treatment group, lower GI hemorrhage due to hemorrhoids and cholecystitis, both of which were deemed by the investigators to be unrelated to treatment with MK-3655. The majority of adverse events were mild to moderate in severity, and treatment-related events with the greatest proportion of subjects were GI disorders,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jc w:val="both"/>
        <w:spacing w:after="0" w:line="237" w:lineRule="auto"/>
        <w:rPr>
          <w:sz w:val="20"/>
          <w:szCs w:val="20"/>
          <w:color w:val="auto"/>
        </w:rPr>
      </w:pPr>
      <w:r>
        <w:rPr>
          <w:rFonts w:ascii="Arial" w:cs="Arial" w:eastAsia="Arial" w:hAnsi="Arial"/>
          <w:sz w:val="18"/>
          <w:szCs w:val="18"/>
          <w:color w:val="auto"/>
        </w:rPr>
        <w:t>injection site reactions, upper respiratory tract infections, headache and increased appetite. There were no changes in bone mineral density and bone formation and resorption markers observed in the MAD trial among subjects treated with MK-3655, in contrast to pioglitazone, an insulin sensitizer for the treatment of type 2 diabetes which has demonstrated beneficial activity in patients with NASH, where an increased risk of bone fractures in women has been described. No symptomatic hypoglycemia was observed with MK-3655 treatment. The PK profile suggests that MK-3655 displays nonlinear kinetics following a single dose, which is anticipated for an antibody that displays target-mediated clearance.</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MK-3655 Phase 1b Early Proof-of-Concept Clinical Trial</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conducted a Phase 1b randomized, open-label, parallel group clinical trial to evaluate the safety, tolerability, PK and pharmacodynamics, or PD, of a single MK-3655 dose or of daily oral pioglitazone in 25 obese insulin resistant subjects with NAFLD. The Phase 1b clinical trial evaluated the ability of MK-3655 to decrease LFC to support the clinical development of MK-3655 in patients with NASH, as well as its effect on glucose disposal to assess the potential of MK-3655 in the treatment of patients with type 2 diabetes. A single subcutaneous dose of 240 mg MK-3655 was selected based on the clinical PK and PD data and the tolerability profile from the Phase 1 SAD/MAD trial described above. The highest approved daily oral dose of 45 mg pioglitazone was used in this study to provide the opportunity for maximal efficacy as a comparator in a trial with a short treatment duration of five weeks.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primary objectives of the trial were to evaluate changes from baseline in LFC as measured by MRI-PDFF at day 36 and changes from baseline in whole body insulin sensitivity at day 29 in subjects treated with MK-3655 as compared to pioglitazone. A single dose of MK-3655 resulted in a statistically significant least squares mean change from baseline to day 36 of -6.3% and -37% in absolute and relative LFC, respectively (p&lt;0.0001), while daily dosing of 45 mg pioglitazone resulted in a statistically significant least squares mean change from baseline to day 36 of -4.0% and -25%, respectively (p&lt;0.001). The change from baseline with MK-3655 treatment was not significantly different relative to that observed with pioglitazone (p=0.08), however, the study was not powered to demonstrate statistical significance between groups. In addition, results indicated that a single dose of MK-3655 resulted in a statistically significant mean decrease from baseline of 0.24% in HbA1c at day 36 (p&lt;0.0001), as compared to a decrease of 0.11% with a daily dose of 45 mg of pioglitazone, without hypoglycemia. A reduction in HbA1c of the magnitude observed in this study’s insulin resistant, non-diabetic patient population in this time frame supports the potential of MK-3655 to improve glucose control in type 2 diabetes patients. This was accompanied by statistically significant reductions from baseline in HOMA-IR, serum concentrations of fasting glucose, ALT, AST, triglycerides and LDL cholesterol, and a statistically significant increase in HDL cholesterol levels at day 28 (all p&lt;0.05). PRO-C3 was also significantly reduced with MK-3655 treatment but not with pioglitazone (p&lt;0.01).</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MK-3655-treated patients had a least squares mean increase from baseline in body weight of 1.6 kg at day 36, as compared to 2.4 kg with pioglitazone. This study indicated that MK-3655 was well tolerated, with no SAEs and no adverse event leading to study discontinuation. All adverse events observed during the course of the study were deemed mild, with increased appetite (12%) and injection site reaction (12%) being the only adverse events reported in at least 10% of MK-3655-treated subjects.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Data from the Phase 1 SAD/MAD clinical trial and the Phase 1b clinical trial support the potential for MK-3655 to be the first insulin sensitizer approved for the treatment of NASH, without the safety concerns that impact currently available agents targeting insulin resistance, such as edema, fluid retention, heart failure and bone fractures. Given that the metabolic changes of MK-3655 were seen after only a single dose, it is possible that a more substantial improvement might be observed after longer duration of treatment.</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Ongoing MK-3655 Phase 2b Clinical Trial in NASH</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Because Merck exercised its option to MK-3655 under the Collaboration Agreement, Merck is responsible for all future MK-3655 development under the current terms of the Collaboration Agreement. At the end of 2020, Merck initiated a Phase 2b study of MK-3655 for the treatment of patients with NASH with F2 or F3 fibrosis and is enrolling patients in the trial. The Phase 2b trial is a multi-center, double-blind, placebo-controlled study administering 50 mg, 100 mg and 300 mg doses of MK-3655 administered every four weeks compared to placebo for 52 weeks. Merck designed the trial to enroll approximately 320 patients across 137 sites globally. Patients receive liver biopsies to qualify for the trial and at the end of the 52-week treatment. The primary objective of the Phase 2b study is NASH resolution without worsening of fibrosis at 52 weeks.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ind w:left="800"/>
        <w:spacing w:after="0"/>
        <w:rPr>
          <w:sz w:val="20"/>
          <w:szCs w:val="20"/>
          <w:color w:val="auto"/>
        </w:rPr>
      </w:pPr>
      <w:r>
        <w:rPr>
          <w:rFonts w:ascii="Arial" w:cs="Arial" w:eastAsia="Arial" w:hAnsi="Arial"/>
          <w:sz w:val="18"/>
          <w:szCs w:val="18"/>
          <w:b w:val="1"/>
          <w:bCs w:val="1"/>
          <w:i w:val="1"/>
          <w:iCs w:val="1"/>
          <w:color w:val="auto"/>
        </w:rPr>
        <w:t>MK-3655 Patent Portfolio</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 of December 31, 2020, we owned three issued patents in the United States, as well as pending patent applications in the United States and granted patents and pending patent applications in multiple jurisdictions outside of the United States covering MK-3655, related compositions-of-matter and methods of use. The earliest issued patents in the United States are expected to expire in 2035, not including any patent term adjustments and any patent term extensions.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NASH Competition</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Current Treatments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Currently, there are no therapeutic agents approved by the FDA or the European Medicines Agency, or EMA, for the treatment of NASH. Weight loss through diet and lifestyle management is currently considered the first-line treatment strategy for NASH and is 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Treatments in Development</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many believe that slowing the progression or reversing disease requires treatment periods of at least 12 months.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Product Candidates Pursuing a Metabolic Approach to Treating NASH</w:t>
      </w:r>
    </w:p>
    <w:p>
      <w:pPr>
        <w:spacing w:after="0" w:line="122"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The rationale for these product candidates is an expectation that the improvement of the underlying liver insult of metabolic dysregulation will allow the liver to recover over the long term, which would potentially allow the liver to repair itself and eventually improve fibrosis. Metabolically-oriented mechanism of action classes that have product candidates with histological proof-of-concept data include Madrigal Therapeutic, Inc.’s resmetirom and Viking Therapeutic’s VK2809, both thyroid hormone receptor β-selective (THRβ) agonists; Novo Nordisk AS’s glucagon-like peptide (GLP)-1 agonist, semaglutide; the stearyl-CoA desaturase inhibitor aramchol from Galmed; Inventiva SA’s pan-peroxisome proliferator-activated receptors (PPAR) agonist, lanifibranor; and Akero Therapeutics, Inc.’s efruxifermin, and 89 Bio’s BIO89-100, both analogs of fibroblast growth factor 21 (FGF21); and Genentech/Roche’s BFKB8488A, an FGFR1c/KLB bi-specific agonistic antibody.</w:t>
      </w:r>
    </w:p>
    <w:p>
      <w:pPr>
        <w:spacing w:after="0" w:line="9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patients with NASH or to be used in combination with other agents. Considering the correlation of liver failure outcomes with fibrosis stage, we believe the patients with NASH with moderate to advanced fibrosis (F2 to F4) will require a more potent and fast-acting agent to prevent the progression to end-stage liver disease.</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Product Candidates Pursuing an Anti-Inflammatory and/or Anti-Fibrotic Approach to Treating NASH</w:t>
      </w:r>
    </w:p>
    <w:p>
      <w:pPr>
        <w:spacing w:after="0" w:line="230"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Product candidates targeting various mechanisms with possible anti-inflammatory and anti-fibrotic effects are also in clinical testing for NASH. These classes of compounds have shown mixed results in meaningfully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jc w:val="both"/>
        <w:spacing w:after="0" w:line="236" w:lineRule="auto"/>
        <w:rPr>
          <w:sz w:val="20"/>
          <w:szCs w:val="20"/>
          <w:color w:val="auto"/>
        </w:rPr>
      </w:pPr>
      <w:r>
        <w:rPr>
          <w:rFonts w:ascii="Arial" w:cs="Arial" w:eastAsia="Arial" w:hAnsi="Arial"/>
          <w:sz w:val="18"/>
          <w:szCs w:val="18"/>
          <w:color w:val="auto"/>
        </w:rPr>
        <w:t>improving the fibrosis score of patients. Where fibrosis improvements have been shown, results have either been transient or not accompanied by significant improvements in other histological measures of the disease, which may reflect the difficulty in treating the disease without removing the underlying insult of lipotoxicity or the challenge of impinging on the complex process of hepatocellular death and fibrosis from collagen deposition by intervention through a single pathway. Members of the “anti-inflammatory” or “anti-fibrotic” mechanism of action classes with compounds that have histological proof-of-concept data include farnesoid X receptor (FXR) agonists, such as Intercept Pharmaceuticals, Inc.’s, or Intercept’s, obeticholic acid and Enanta Pharmaceuticals, Inc.’s EDP-305; and a chemokine (C-C motif) receptors 2 (CCR2) and 5 (CCR5) dual antagonist. A New Drug Application, or NDA, for obeticholic acid was filed with the FDA by Intercept in September 2019 and received a complete response letter in June 2020. Intercept has reported that it intends to resubmit its NDA for obeticholic acid by the end of 2021.</w:t>
      </w:r>
    </w:p>
    <w:p>
      <w:pPr>
        <w:spacing w:after="0" w:line="9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An ongoing consideration in NASH clinical development is pursuing combination treatments in an attempt to combine agents with less than optimal activity on their own to achieve a more clinically meaningfully result. Combinations currently being evaluated in proof-of-concept trials include: metabolic/anti-fibrotic combinations such as semaglutide/cilofexor/firsocostat and tropifexor/licogliflozin (FXR agonist/SGLT-2, both from Novartis AG) and anti-inflammatory/anti-fibrotic duos such as cenicriviroc/tropifexor.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Area: Retinal Diseases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Complement C3 is a protein implicated in the pathology of GA. NGM621 is a humanized Immunoglobulin 1, or IgG1, monoclonal antibody engineered to potently bind to, and be a long-acting inhibitor of, complement C3 activity. In preclinical models, NGM621’s high-affinity binding to C3 has demonstrated the potential for potent C3 inhibition. NGM621 is currently being tested in the ongoing Phase 2 CATALINA clinical trial in patients with GA to evaluate its effects on disease progression when given every four weeks or every eight weeks via intravitreal, or IVT, injections. The first patient was dosed in the CATALINA trial, which we designed to be a proof-of-concept trial, in July 2020. Under the current terms of the Collaboration Agreement, Merck has a one-time option to license NGM621 upon completion of a proof-of-concept study in humans.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Atrophy Disease Overview</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GA is the advanced form of one of two types of advanced age-related macular degeneration, or AMD, and is a major cause of blindness for elderly patients in mainly developed countries. GA has no FDA- or EMA-approved treatments and we are not aware of any approved treatments for GA in other countries. GA afflicts over one million patients in the United States, similar to its neovascular counterpart, commonly referred to as wet AMD, and approximately five million patients worldwide. GA is a progressive retinal degenerative disease and can exact an emotional, economic and societal toll on both patients and their caregivers. One in six people with GA becomes legally blind within six years of diagnosis. The decline in visual function experienced by patients with GA is typically bilateral and directly related to the progressive loss of retinal photoreceptors, retinal pigment epithelium, or RPE, and choriocapillaris in the macular, or central, region of the retina. As the pattern and location of the atrophic lesions within the macula varies by patient, the visual deficits they experience vary in severity and impact until the foveal region, a depression in the inner retinal surface that is specialized for maximum visual acuity, is completely affected. The visual symptoms of GA are associated with disease burden and functional consequences for the patient, which can include the inability to drive, read and perform activities of daily living, a reduction in quality of life and increased likelihood of accidents or injuries. Dysregulated activation of the complement system, a key component of the immune system, including complement C3, has been implicated in the onset and progression of GA.</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NGM621: A Potential Treatment for Geographic Atrophy</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 xml:space="preserve">NGM621 is a proprietary humanized inhibitory monoclonal antibody that binds with high affinity to complement C3 and potently blocks downstream complement activation. Human genetics and histopathological data strongly suggest that overactivation of the complement system is linked to the development and progression of AMD overall and GA specifically and causes chronic inflammation, cell injury and death of retinal photoreceptors, RPE and choriocapillaris, leading to irreversible vision loss. </w:t>
      </w:r>
      <w:r>
        <w:rPr>
          <w:rFonts w:ascii="Arial" w:cs="Arial" w:eastAsia="Arial" w:hAnsi="Arial"/>
          <w:sz w:val="18"/>
          <w:szCs w:val="18"/>
          <w:color w:val="333333"/>
        </w:rPr>
        <w:t>The genetic evidence suggests that</w:t>
      </w:r>
      <w:r>
        <w:rPr>
          <w:rFonts w:ascii="Arial" w:cs="Arial" w:eastAsia="Arial" w:hAnsi="Arial"/>
          <w:sz w:val="18"/>
          <w:szCs w:val="18"/>
          <w:color w:val="auto"/>
        </w:rPr>
        <w:t xml:space="preserve"> </w:t>
      </w:r>
      <w:r>
        <w:rPr>
          <w:rFonts w:ascii="Arial" w:cs="Arial" w:eastAsia="Arial" w:hAnsi="Arial"/>
          <w:sz w:val="18"/>
          <w:szCs w:val="18"/>
          <w:color w:val="333333"/>
        </w:rPr>
        <w:t xml:space="preserve">variants in the complement pathway account for the majority of the known genetic risk for GA and AMD. </w:t>
      </w:r>
      <w:r>
        <w:rPr>
          <w:rFonts w:ascii="Arial" w:cs="Arial" w:eastAsia="Arial" w:hAnsi="Arial"/>
          <w:sz w:val="18"/>
          <w:szCs w:val="18"/>
          <w:color w:val="000000"/>
        </w:rPr>
        <w:t>In humans, histopathological</w:t>
      </w:r>
      <w:r>
        <w:rPr>
          <w:rFonts w:ascii="Arial" w:cs="Arial" w:eastAsia="Arial" w:hAnsi="Arial"/>
          <w:sz w:val="18"/>
          <w:szCs w:val="18"/>
          <w:color w:val="333333"/>
        </w:rPr>
        <w:t xml:space="preserve"> </w:t>
      </w:r>
      <w:r>
        <w:rPr>
          <w:rFonts w:ascii="Arial" w:cs="Arial" w:eastAsia="Arial" w:hAnsi="Arial"/>
          <w:sz w:val="18"/>
          <w:szCs w:val="18"/>
          <w:color w:val="000000"/>
        </w:rPr>
        <w:t>analysis of eyes afflicted with GA show a deposition of complement proteins, including C3, on photoreceptors preceding their degeneration. Accordingly, there is both genetic and physiological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jc w:val="both"/>
        <w:ind w:right="20"/>
        <w:spacing w:after="0" w:line="246" w:lineRule="auto"/>
        <w:rPr>
          <w:sz w:val="20"/>
          <w:szCs w:val="20"/>
          <w:color w:val="auto"/>
        </w:rPr>
      </w:pPr>
      <w:r>
        <w:rPr>
          <w:rFonts w:ascii="Arial" w:cs="Arial" w:eastAsia="Arial" w:hAnsi="Arial"/>
          <w:sz w:val="18"/>
          <w:szCs w:val="18"/>
          <w:color w:val="auto"/>
        </w:rPr>
        <w:t>evidence implicating the role of complement in the pathology of the disease and suggesting that inhibition of complement activation may effectively slow the progression of photoreceptor loss.</w:t>
      </w:r>
    </w:p>
    <w:p>
      <w:pPr>
        <w:spacing w:after="0" w:line="8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 central component of the mammalian immune system, complement can be activated by three main pathways, the classical, lectin and alternative pathways, that converge on complement C3, a master regulator of the complement cascade. NGM621 inhibits complement activation at the level of C3, which affords the opportunity to block an array of potentially detrimental downstream effects. Complement C3 is the most upstream point of convergence for all three complement activation pathways and encouraging preclinical and clinical data support inhibition of complement C3 as a promising therapeutic strategy in GA.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Complement Cascade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80010</wp:posOffset>
            </wp:positionV>
            <wp:extent cx="3154680" cy="2811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546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NGM621 binds with high affinity to intact human C3 (K</w:t>
      </w:r>
      <w:r>
        <w:rPr>
          <w:rFonts w:ascii="Arial" w:cs="Arial" w:eastAsia="Arial" w:hAnsi="Arial"/>
          <w:sz w:val="15"/>
          <w:szCs w:val="15"/>
          <w:color w:val="auto"/>
        </w:rPr>
        <w:t>D</w:t>
      </w:r>
      <w:r>
        <w:rPr>
          <w:rFonts w:ascii="Arial" w:cs="Arial" w:eastAsia="Arial" w:hAnsi="Arial"/>
          <w:sz w:val="18"/>
          <w:szCs w:val="18"/>
          <w:color w:val="auto"/>
        </w:rPr>
        <w:t>=0.34 nM) but shows significantly lower affinity (&gt;100-fold) to C3 cleavage fragments C3a, C3b, C3c and C3d. This novel binding profile, characterized by high affinity and specificity for intact C3, translates into potent NGM621-mediated inhibition of complement activation via both the alternative (IC</w:t>
      </w:r>
      <w:r>
        <w:rPr>
          <w:rFonts w:ascii="Arial" w:cs="Arial" w:eastAsia="Arial" w:hAnsi="Arial"/>
          <w:sz w:val="15"/>
          <w:szCs w:val="15"/>
          <w:color w:val="auto"/>
        </w:rPr>
        <w:t>50</w:t>
      </w:r>
      <w:r>
        <w:rPr>
          <w:rFonts w:ascii="Arial" w:cs="Arial" w:eastAsia="Arial" w:hAnsi="Arial"/>
          <w:sz w:val="18"/>
          <w:szCs w:val="18"/>
          <w:color w:val="auto"/>
        </w:rPr>
        <w:t xml:space="preserve"> =37 nM) and classical (IC</w:t>
      </w:r>
      <w:r>
        <w:rPr>
          <w:rFonts w:ascii="Arial" w:cs="Arial" w:eastAsia="Arial" w:hAnsi="Arial"/>
          <w:sz w:val="15"/>
          <w:szCs w:val="15"/>
          <w:color w:val="auto"/>
        </w:rPr>
        <w:t>50</w:t>
      </w:r>
      <w:r>
        <w:rPr>
          <w:rFonts w:ascii="Arial" w:cs="Arial" w:eastAsia="Arial" w:hAnsi="Arial"/>
          <w:sz w:val="18"/>
          <w:szCs w:val="18"/>
          <w:color w:val="auto"/>
        </w:rPr>
        <w:t xml:space="preserve">=74 nM) pathways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hemolytic assays. Furthermore, NGM621 has demonstrated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in an ocular complement activation model in cynomolgus monkeys.</w:t>
      </w:r>
    </w:p>
    <w:p>
      <w:pPr>
        <w:spacing w:after="0" w:line="9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evaluation of NGM621 in patients with GA also provides an opportunity to test the effects of complement inhibition on disease progression using a molecule that lacks polyethylene glycol, or PEG, modification to aid ocular residency. Certain other complement inhibitors in development for GA that are PEGylated have demonstrated numerical dose-dependent increases in new onset wet AMD. The cases of wet AMD are characterized by choroidal neovascularization, or CNV, in the eyes being studied, which means abnormal blood vessels are growing in the retina, causing vascular leakage and in most cases requiring anti-VEGF treatment. The findings in recent clinical trials of other complement inhibitors in development potentially implicate contributions from complement inhibition and/or PEG modification to the undesirable development of CNV. However, clinical evidence from several other GA trials with complement inhibitors, together with studies in nonclinical AMD models, suggest that complement inhibition may not promote development of CNV. In fact, C3 inhibition in a nonclinical model approximating wet AMD in mice results in a significant reduction of vascular leakage; whereas, in the same model, IVT injection of PEG leads directly to an exacerbation of vascular leakage and angiogenesis. This suggests that NGM621, which lacks PEG modification, may not exacerbate CNV, which could be a safety advantage. As a result, given the significant unmet medical need for treatment for GA, NGM621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3" w:name="page24"/>
    <w:bookmarkEnd w:id="23"/>
    <w:p>
      <w:pPr>
        <w:jc w:val="both"/>
        <w:spacing w:after="0" w:line="246" w:lineRule="auto"/>
        <w:rPr>
          <w:sz w:val="20"/>
          <w:szCs w:val="20"/>
          <w:color w:val="auto"/>
        </w:rPr>
      </w:pPr>
      <w:r>
        <w:rPr>
          <w:rFonts w:ascii="Arial" w:cs="Arial" w:eastAsia="Arial" w:hAnsi="Arial"/>
          <w:sz w:val="18"/>
          <w:szCs w:val="18"/>
          <w:color w:val="auto"/>
        </w:rPr>
        <w:t>has the potential to provide a desirable treatment option with a favorable efficacy and safety profile, acting to slow the rate of disease progression while retaining the advantages of less frequent dosing.</w:t>
      </w:r>
    </w:p>
    <w:p>
      <w:pPr>
        <w:spacing w:after="0" w:line="6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Clinical Experience with NGM621</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Our clinical development program for NGM621, which is focused on ocular and not systemic administration, was structured to first assess safety and tolerability in a Phase 1 single dose and multi-dose escalation trial and then continue to evaluate safety as well as test for efficacy in a robust Phase 2 trial for patients with GA.</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NGM621 Phase 1 Safety and Tolerability Trial</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initially conducted a first-in-human, open-label Phase 1 clinical trial of NGM621, administered via IVT injections, in patients with GA. We announced the results of this trial in November 2020 at the American Academy of Ophthalmology 2020 Virtual, or AAO. The primary objective of the trial was to assess the safety and tolerability of single and multiple IVT injections of NGM621 in patients with GA. Secondary objectives were to characterize the serum PK of single or multiple doses of NGM621. The trial enrolled 15 patients across three single-ascending dose cohorts of NGM621, 2 mg, 7.5 mg and 15 mg, the maximum planned dose in the study, and a multiple dose cohort that received two 15 mg doses separated by four weeks. Patients were dosed sequentially and followed closely over 12 weeks. All 15 patients completed the 12-week study follow-up period.</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Data from the trial showed that NGM621 was well tolerated, with no patients experiencing SAEs, drug-related adverse events, intraocular inflammation, endophthalmitis or CNV. No dose-related safety patterns or concerns were identified. Ocular adverse events observed were mild in severity and representative of those commonly associated with IVT injections. No vision-related safety signals were detected. On average, patients maintained their visual acuity over the 12-week follow-up study duration.</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demonstrated in the Phase 1 trial that the serum PK of NGM621 was linear and dose proportional. NGM621 serum exposure was below concentrations expected to produce systemic complement inhibition after IVT injection of the 15 mg dose. Based on the data presented at AAO and our ocular PK and PD preclinical modeling suggesting that NGM621 may potentially achieve a greater than 90% reduction in free C3 in the eye for seven weeks following a single IVT dose of 15 mg, we believe NGM621 has the potential for up to an every eight-week (or every other month) dosing regimen at the 15 mg dose level.</w:t>
      </w:r>
    </w:p>
    <w:p>
      <w:pPr>
        <w:spacing w:after="0" w:line="7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NGM621 Phase 2 CATALINA Clinical Trial - Ongoing</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met with the FDA in August 2020 to discuss a potential regulatory path for NGM621. Following these discussions, we designed the Phase 2 CATALINA clinical trial to be a Phase 3 -supportive or -enabling study. The primary objectives of this multicenter, randomized, double-masked, sham-controlled trial are to evaluate the efficacy and safety of NGM621 IVT injections compared to sham control. Patients will be randomized to one of four treatment groups in a ratio of 2:1:2:1 to receive IVT injections of NGM621 or sham every four weeks or every eight weeks for a total of 52 weeks and monitored for an additional four weeks upon treatment completion. The trial is designed to enroll 240 patients diagnosed with GA in one or both eyes in the Phase 2 CATALINA trial.</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primary efficacy endpoint is the rate of change in GA lesion area, as measured by fundus autofluorescence imaging, over 52 weeks of treatment. The primary safety endpoints will evaluate the incidence and severity of ocular and systemic adverse events from treatment with NGM621 compared to sham control.</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Future NGM621 Clinical and Commercial Product Development Plans</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FDA has recognized the importance of developing therapies for GA and has defined a path for approval for agents that can safely and effectively reduce the rate of GA lesion area enlargement. The FDA has emphasized that for drug and biologic approvals the FDA has a clear preference for functional over anatomic endpoints, as these endpoints offer the lowest variability and matter most to patients, but the FDA recognizes that GA lesions represent non-seeing retina, where photoreceptors and RPE cells are absent, and that reducing the growth of these lesions reduces the rate of further functional loss. Assessing the presence and progression of GA from an anatomical perspective requires capturing standardized images and quantifying the total area affected, as well as the location of atrophy, particularly relative to the foveal center.</w:t>
      </w:r>
    </w:p>
    <w:p>
      <w:pPr>
        <w:spacing w:after="0" w:line="95"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Our NGM621 clinical development approach is to use the results we obtain from our ongoing Phase 2 CATALINA trial and guidance from the FDA to inform Phase 3 planning and design. We expect that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CATALINA trial results will provide important information to support our design of a pivotal program to enable a BLA submission.</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NGM621 Patent Portfolio</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 of December 31, 2020, we did not own or have a license to any issued patent that covers NGM621. However, NGM621 and related compositions-of-matter and methods of use are disclosed and claimed in patent applications pending in the United States and in multiple jurisdictions outside of the United States. Any patent that may issue from any of these pending applications would be expected to expire no earlier than 2039, including any patent issued in the United States, if any, not including any patent term adjustments and any patent term extensions.</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Geographic Atrophy Competition</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Current Treatments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There are currently no FDA-approved or EMA-approved medicines available to treat GA. Patients with GA have very limited options outside of clinical trial participation. They are observed by their ophthalmologist or retina specialist for the purposes of documenting disease worsening, through imaging and visual acuity testing, and to monitor for any conversion to wet AMD (which is treatable with anti-VEGFs). Some patients with GA take AREDS formula vitamins which have been shown to reduce the risk of progression to advanced forms of AMD; however, results from the AREDS trials have shown that there is no benefit to reducing the rate of existing GA progression. As their vision declines, patients with GA can receive visual rehabilitation and instruction on adaptive tools, like magnifiers, to help manage their disability as well as possible.</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Treatments in Development</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While there are a number of agents in clinical development for GA, the landscape can be subdivided into either agents targeting the complement pathway or agents targeting other pathways implicated in AMD pathogenesis. Most treatment approaches for GA have focused on reducing the rate of GA lesion area progression, as assessed by imaging. GA is a chronic, progressive disease and, currently, many believe that slowing the progression of disease requires treatment periods of at least 12 months to show a meaningful treatment benefit relative to sham control.</w:t>
      </w:r>
    </w:p>
    <w:p>
      <w:pPr>
        <w:spacing w:after="0" w:line="7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Product Candidates Pursuing a Complement Pathway Modulation Approach to Treat GA</w:t>
      </w:r>
    </w:p>
    <w:p>
      <w:pPr>
        <w:spacing w:after="0" w:line="122"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Multiple complement inhibition therapies are under clinical evaluation in patients with GA, although to date no treatment has received regulatory approval in the United States for GA. For example, Apellis Pharmaceuticals, Inc.’s APL-2, a PEGylated peptide inhibitor of C3, is being investigated in an ongoing Phase 3 clinical trial, and IVERIC bio, Inc.’s Zimura</w:t>
      </w:r>
      <w:r>
        <w:rPr>
          <w:rFonts w:ascii="Arial" w:cs="Arial" w:eastAsia="Arial" w:hAnsi="Arial"/>
          <w:sz w:val="15"/>
          <w:szCs w:val="15"/>
          <w:color w:val="auto"/>
        </w:rPr>
        <w:t>®</w:t>
      </w:r>
      <w:r>
        <w:rPr>
          <w:rFonts w:ascii="Arial" w:cs="Arial" w:eastAsia="Arial" w:hAnsi="Arial"/>
          <w:sz w:val="18"/>
          <w:szCs w:val="18"/>
          <w:color w:val="auto"/>
        </w:rPr>
        <w:t>, a PEGylated aptamer inhibitor of complement C5, recently completed a Phase 2/3 clinical trial and has begun a second confirmatory Phase 3 trial. APL-2 and Zimura both demonstrated statistically significant reductions in the rate of GA lesion area growth in their respective Phase 2, or Phase 2/3 in the case of Zimura, trials. Other agents targeting the complement pathway include Ionis Pharmaceuticals, Inc.’s IONIS-FB-LRx, a factor B inhibitor in Phase 2 development; Hemera Biosciences, LLC’s HMR59, a gene therapy in development that produces CD59 to inhibit the complement membrane attack complex formation; Gemini Therapeutics, Inc.’s complement factor H replacement agent in Phase 2 development; and Gyroscope Therapeutics Limited’s gene therapy GT005, replacing CFI in patients with genetically defined GA in Phase 2 development. Previously, in 2017, Roche announced that lampalizumab, an inhibitor of factor D, a rate limiting enzyme in the alternative complement activation pathway, failed to meet the primary endpoint in two Phase 3 trials in GA.</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Product Candidates Pursuing Other Mechanistic Approaches to Treat GA</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There are multiple product candidates in development that target other pathways implicated in AMD pathogenesis, including HtrA1 inhibition (for example, RG6147 in Phase 2 development by Roche) and visual cycle modulators (for example, ALK001 in Phase 3 development by Alkeus Pharmaceuticals, Inc.). Additionally, there are stem cell products being developed with the potential to replace RPE cells in late-stage GA and with the intent of preserving or improving visual function. Most of these stem cell studies are in Phase 2 (for example, OpRegen in development by Lineage Cell Therapeutics, Inc.; CPCB-RPE1 in development by Regenerative Patch Technologies LLC; and ASP7217 in development by Astellas Pharma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Therapeutic Area: Oncology</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discovery research and early development teams have been focused on discovering and developing novel immunotherapies to treat cancer. Through deep interrogation of human biology and genetics, we have made several discoveries about the role of immune suppression, immune modulation and metabolic regulation in cancer. In the second half of 2020, we disclosed that we are developing NGM707 and NGM438, product candidates designed to treat cancer through myeloid reprogramming that reverses immune suppression in the tumor microenvironment by promoting the remodeling of the tumor’s extracellular architecture that restricts T cell infiltration of the tumor cell mass. These two product candidates join NGM120, a proprietary antagonistic antibody that binds glial cell-derived neurotrophic factor receptor alpha-like, or GFRAL, and inhibits growth differentiation factor 15, or GDF15, signaling in NGM’s oncology portfolio. NGM120 is being studied for the potential treatment of both cancer and cancer anorexia/cachexia syndrome, also referred to as CACS or cancer-related cachexia. Cachexia is not unique to cancer and is also commonly seen in patients suffering from other chronic debilitating diseases, such as chronic obstructive pulmonary disease and congestive heart failure.</w:t>
      </w:r>
    </w:p>
    <w:p>
      <w:pPr>
        <w:spacing w:after="0" w:line="9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NGM120 results from several discoveries made by our scientists related to the GDF15 pathway. In preclinical studies of NGM120, we have demonstrated that blocking the interaction between GFRAL and GDF15 can both reduce tumor-associated weight loss and slow tumor growth, potentially providing a novel treatment for cancer-related cachexia and cancer. We are currently conducting a Phase 1a/1b dose-finding clinical trial with two cohorts: a Phase 1a cohort evaluating NGM120 as a monotherapy in patients with select advanced solid tumors and a Phase 1b cohort evaluating NGM120 in combination with gemcitabine and Abraxane® (paclitaxel protein bound) in patients with metastatic pancreatic cancer. Enrollment in this Phase 1a/1b dose-finding trial is complete and we expect to report topline data in the second half of 2021. We recently initiated a placebo-controlled expansion of the Phase 1b portion of the trial testing NGM120 in combination with gemcitabine and Abraxane as first-line treatment in patients with metastatic pancreatic cancer to evaluate NGM120’s effect on both cancer-related cachexia and cancer, building upon our experiences in the Phase 1a/1b trial.</w:t>
      </w:r>
    </w:p>
    <w:p>
      <w:pPr>
        <w:spacing w:after="0" w:line="9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NGM707 is a proprietary dual antagonist monoclonal antibody that inhibits Immunoglobulin-like transcript 2, or ILT2 (also known as LILRB1), and Immunoglobulin-like transcript 4, or ILT4 (also known as LILRB2). ILT2 and ILT4 are key myeloid and lymphoid checkpoints that may restrict anti-tumor immunity, enable tumors to evade immune detection and contribute to T-cell checkpoint resistance. ILT2 and ILT4 are upregulated on macrophages in the tumor microenvironment of certain patients with cancer who are non-responders to T-cell checkpoint inhibitor therapy and, therefore, may serve as T-cell checkpoint inhibitor resistance mechanisms. We expect to commence a first-in-human Phase 1 clinical trial of NGM707 in patients with advanced solid tumors in mid-2021.</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NGM438 is a proprietary antagonistic antibody that is designed to inhibit leukocyte-associated immunoglobulin-like receptor 1, or LAIR1, and promote immune detection and activation against advanced solid tumors. Reinvigoration of collagen-suppressed immune cells by blocking the binding of collagens to LAIR1 may address a key resistance mechanism that limits solid tumor responses to current immunotherapies. We plan to make an IND submission in the second half of 2021. We expect to commence a first-in-human Phase 1 clinical trial of NGM438 in patients with advanced solid tumors in the fourth quarter of 2021.</w:t>
      </w:r>
    </w:p>
    <w:p>
      <w:pPr>
        <w:spacing w:after="0" w:line="94"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Under the current terms of the Collaboration Agreement, Merck has a one-time option to license each of NGM120, NGM707 and NGM438 upon completion of a proof-of-concept study for each product candidate in humans.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Disease Overview</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Cancer and the Promise of Immunotherapies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term cancer refers to a variety of related cell proliferation diseases. In all types, cancer presents itself as the abnormal growth of cells, where cells have lost normal control mechanisms and, as a result, are able to multiply continuously, invade nearby tissues and migrate to distant parts of the body. Cancer is a leading cause of death globally and was responsible for an estimated 9.5 million deaths in 2018. There were an estimated 18 million newly diagnosed cancer cases around the world in 2018, excluding non-melanoma skin cancer. By 2040, the number of new cancer cases globally per year is expected to rise to 29.5 million and the number of cancer-related deaths per year to grow to 16.4 million. Cancer was the second leading cause of death in the United States, causing approximately 600,000 deaths in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6" w:name="page27"/>
    <w:bookmarkEnd w:id="26"/>
    <w:p>
      <w:pPr>
        <w:jc w:val="both"/>
        <w:ind w:firstLine="802"/>
        <w:spacing w:after="0" w:line="236" w:lineRule="auto"/>
        <w:rPr>
          <w:sz w:val="20"/>
          <w:szCs w:val="20"/>
          <w:color w:val="auto"/>
        </w:rPr>
      </w:pPr>
      <w:r>
        <w:rPr>
          <w:rFonts w:ascii="Arial" w:cs="Arial" w:eastAsia="Arial" w:hAnsi="Arial"/>
          <w:sz w:val="18"/>
          <w:szCs w:val="18"/>
          <w:color w:val="auto"/>
        </w:rPr>
        <w:t>Recent advances in cancer immunotherapy, including checkpoint inhibition, has ushered in a new era of cancer treatment. This innovation has been important; however, many patients and/or types of cancer remain unresponsive to currently approved therapies utilizing this approach. For example, since their introduction, immune checkpoint inhibitors targeting Programmed Cell Death Protein 1 and Programmed Cell Death Protein Ligand 1, or PD-1 and PD-L1, respectively, have driven significant improvements in clinical outcomes, especially in certain cancer types that are immunogenic, or capable of provoking an immune response. However, the overall response rate to PD-1/PD-L1 inhibitors is typically only 20-30%. Furthermore, given tumor heterogeneity and the complexity of cancer escape mechanisms that are still not fully understood, even patients with cancer who experience a full or partial response using checkpoint inhibitors may eventually experience cancer progression.</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Over the last five years, we have focused our cancer research on immune-modulating therapies and we are currently developing an emerging class of molecules that inhibit myeloid- and stromal-checkpoints of the anti-tumor immune response. Cellular and noncellular interactions combine to suppress the immune response within a tumor, both enabling tumor growth and conferring resistance to therapies targeting cancer cells. When present in this type of suppressive tumor microenvironment, myeloid cells and stroma, which is comprised of connective tissue, can cooperate to inhibit anti-tumor immune responses using multiple mechanisms, including suboptimal T-cell priming, T-</w:t>
      </w:r>
      <w:r>
        <w:rPr>
          <w:rFonts w:ascii="Arial" w:cs="Arial" w:eastAsia="Arial" w:hAnsi="Arial"/>
          <w:sz w:val="18"/>
          <w:szCs w:val="18"/>
          <w:color w:val="222222"/>
        </w:rPr>
        <w:t xml:space="preserve">cell suppression and </w:t>
      </w:r>
      <w:r>
        <w:rPr>
          <w:rFonts w:ascii="Arial" w:cs="Arial" w:eastAsia="Arial" w:hAnsi="Arial"/>
          <w:sz w:val="18"/>
          <w:szCs w:val="18"/>
          <w:color w:val="000000"/>
        </w:rPr>
        <w:t>physical exclusion of immune cells from the cancer cells. By blocking these suppressive factors from the tumor</w:t>
      </w:r>
      <w:r>
        <w:rPr>
          <w:rFonts w:ascii="Arial" w:cs="Arial" w:eastAsia="Arial" w:hAnsi="Arial"/>
          <w:sz w:val="18"/>
          <w:szCs w:val="18"/>
          <w:color w:val="222222"/>
        </w:rPr>
        <w:t xml:space="preserve"> </w:t>
      </w:r>
      <w:r>
        <w:rPr>
          <w:rFonts w:ascii="Arial" w:cs="Arial" w:eastAsia="Arial" w:hAnsi="Arial"/>
          <w:sz w:val="18"/>
          <w:szCs w:val="18"/>
          <w:color w:val="000000"/>
        </w:rPr>
        <w:t xml:space="preserve">microenvironment, myeloid cells can play a pivotal role in promoting anti-tumor immunity, </w:t>
      </w:r>
      <w:r>
        <w:rPr>
          <w:rFonts w:ascii="Arial" w:cs="Arial" w:eastAsia="Arial" w:hAnsi="Arial"/>
          <w:sz w:val="18"/>
          <w:szCs w:val="18"/>
          <w:color w:val="222222"/>
        </w:rPr>
        <w:t>where they can act to both kill cancer</w:t>
      </w:r>
      <w:r>
        <w:rPr>
          <w:rFonts w:ascii="Arial" w:cs="Arial" w:eastAsia="Arial" w:hAnsi="Arial"/>
          <w:sz w:val="18"/>
          <w:szCs w:val="18"/>
          <w:color w:val="000000"/>
        </w:rPr>
        <w:t xml:space="preserve"> cells directly as well as recruit and activate T cells by secreting cytokines and inflaming the tumor.</w:t>
      </w:r>
    </w:p>
    <w:p>
      <w:pPr>
        <w:spacing w:after="0" w:line="10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Given the significant unmet need in cancer today, myeloid and stromal immune-checkpoint inhibitors may play an important role in future cancer treatments. By removing one of the “brakes” on the immune system using an approach that complements current treatments, new therapies may be able to reprogram myeloid cells in the tumor microenvironment from a suppressive to an activating phenotype. Such conditions would promote the anti-tumor immune response by converting “cold” tumors that are not immunogenic into “hot,” or inflamed, ones and make them more responsive to T-cell checkpoint inhibitors. We believe that reversing immune suppression by reprogramming myeloid cells represents a promising new therapeutic area of immuno-oncology that may enable the more effective treatment of certain cancers.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Cancer-Related Cachexia</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Cancer-related cachexia is a disorder that causes extreme weight loss and muscle wasting that is debilitating and life-threatening and for which there is no FDA- or EMA-approved therapy. Cachexia is a common co-morbidity linked to many cancers and is associated with increased hospitalization and shortened survival compared to patients with cancer who do not exhibit cachexia. Cachexia is estimated to be the direct cause of approximately 30% of cancer deaths globally and is estimated to affect 60 to 80% of advanced cancer patients. Furthermore, studies have shown that patients with cancer who do not experience body weight loss have an improved prognosis. While cachexia can occur in all types of cancer, particularly high incidence rates are observed in pancreatic, non-small cell lung and gastric cancers, at 54%, 36% and 67% of patients, respectively. Elevated serum levels of GDF15 have been shown to be associated with cachexia.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NGM120: A Potential Novel Treatment for Cancer-Related Cachexia and Cancer</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Overview of NGM120</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 xml:space="preserve">Our scientists have made several discoveries related to GDF15, including identifying its cognate receptor, GFRAL. GFRAL is expressed in a specific region of the hindbrain, partially outside the blood brain barrier. Our preclinical research suggests the central role of the GDF15/GFRAL pathway in promoting tumor-associated appetite regulation, metabolic regulation and immune modulation.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of human genes shows that GDF15 expression correlates to an outsized effect in weight loss and, in animal models, elevated serum levels of GDF15 drive substantial weight loss and are a regulator of feeding, metabolism and immune function. In addition, evidence has shown that serum levels of GDF15 are elevated in patients with numerous tumor types. Based on available scientific literature, increased serum levels of GDF15 are associated with a worse prognosis in prostate, colorectal, esophageal and ovarian cancers.</w:t>
      </w:r>
    </w:p>
    <w:p>
      <w:pPr>
        <w:spacing w:after="0" w:line="9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As a result of our identification of GFRAL, we developed novel insights into the mechanism of action of GDF15 and the structure and function of the GDF15/GFRAL interaction. NGM120 is a proprietary inhibitory antibody binding GFRAL that is designed to block the effects of elevated serum levels of GDF15. We designed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7" w:name="page28"/>
    <w:bookmarkEnd w:id="27"/>
    <w:p>
      <w:pPr>
        <w:jc w:val="both"/>
        <w:spacing w:after="0" w:line="237" w:lineRule="auto"/>
        <w:rPr>
          <w:sz w:val="20"/>
          <w:szCs w:val="20"/>
          <w:color w:val="auto"/>
        </w:rPr>
      </w:pPr>
      <w:r>
        <w:rPr>
          <w:rFonts w:ascii="Arial" w:cs="Arial" w:eastAsia="Arial" w:hAnsi="Arial"/>
          <w:sz w:val="18"/>
          <w:szCs w:val="18"/>
          <w:color w:val="auto"/>
        </w:rPr>
        <w:t>NGM120 as a potent, humanized monoclonal antibody inhibitor of GFRAL with the potential for once-monthly or less frequent dosing. In numerous preclinical pharmacology models, NGM120 has been shown to reverse and inhibit both GDF15-mediated body weight loss and increase in energy expenditure. For example, as demonstrated in the graph below, mice that received human fibrosarcoma cells (shown in the gray closed circles) rapidly lost significant body weight compared to the control mice who did not receive the fibrosarcoma cells (shown in the open circles). However, when treated with an anti-GFRAL antibody similar to NGM120 that is active in mice, called NGM120s, the body weight loss induced by the tumor cells was rapidly reversed in these mice (shown in the red closed circles).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Murine Model of Cancer-Related Cachexia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148590</wp:posOffset>
            </wp:positionV>
            <wp:extent cx="3737610" cy="2245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3761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also tested whether using inhibitory antibodies blocking the interaction between GFRAL and GDF15 could provide a novel approach to developing treatments for cancer. As shown in the graph below, in a preclinical study, Lewis Lung Carcinoma cells engineered to express human GDF15 were injected into GFRAL knockout and wild-type mice. The knockout mice were genetically modified to inactivate the GFRAL receptors, whereas the wild-type mice were capable of normal GFRAL receptor expression. Tumor-derived GDF15 appears to impact survival in mice in which the GFRAL signaling pathway is intact. In contrast, mice lacking GFRAL were resistant to the effects of elevated serum levels of GDF15. This indicates the potential for anti-GFRAL antibodies to improve patient survival in certain tumor types that express high levels of GDF15, in addition to potentially preserving body mass and preventing development of cachexia.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165735</wp:posOffset>
            </wp:positionV>
            <wp:extent cx="3574415" cy="2048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7441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jc w:val="both"/>
        <w:ind w:firstLine="802"/>
        <w:spacing w:after="0" w:line="238" w:lineRule="auto"/>
        <w:rPr>
          <w:sz w:val="20"/>
          <w:szCs w:val="20"/>
          <w:color w:val="auto"/>
        </w:rPr>
      </w:pPr>
      <w:r>
        <w:rPr>
          <w:rFonts w:ascii="Arial" w:cs="Arial" w:eastAsia="Arial" w:hAnsi="Arial"/>
          <w:sz w:val="18"/>
          <w:szCs w:val="18"/>
          <w:color w:val="auto"/>
        </w:rPr>
        <w:t>We also saw the impact of anti-GFRAL antibodies when we implanted pancreatic tumor cells, which express GDF15, into the pancreas of mice and monitored tumor growth over time after treatment with NGM120s or a control. After 7 days, tumor growth was assessed, and 6 of 10 mice dosed with the placebo control had tumors while there were no detectable tumors in those treated with the anti-GFRAL antibody. After 14 and 21 days, tumors were detected in the anti-GFRAL treated mice, but the tumor burden was significantly reduced in these mice compared to mice treated with the control.</w:t>
      </w:r>
    </w:p>
    <w:p>
      <w:pPr>
        <w:spacing w:after="0" w:line="9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Additionally, as shown in the graph below, in a preclinical study of a pancreatic tumor model in mice, we observed that the control group demonstrated substantial tumor growth, while the animals who were treated with NGM120s demonstrated substantially reduced tumor growth. We also saw improved survival in the group of mice who received NGM120s.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120s Shown to Reduce Tumor Growth and Improve Survival in a Pancreatic Tumor Model in Mice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From our preclinical testing, we further believe that antibodies against GFRAL may be inherently superior to antibodies against GDF15. GDF15 expression can rise dramatically in response to tissue injury due to chemotherapy and many chronic debilitating diseases, such as cancer, chronic obstructive pulmonary disease and congestive heart failure, and may be too high to be effectively neutralized by an anti-GDF15 therapeutic antibody. Therefore, we believe that an inhibitory antibody that binds to GFRAL may provide a more efficient therapeutic approach. As a result of our extensive preclinical work, we believe that inhibitory antibodies blocking the interaction between GFRAL and GDF15 could provide a novel approach to developing treatments for anorexia, cachexia and, potentially, cancer.</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Ongoing and Future NGM120 Clinical Development Plans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2019, we completed a Phase 1 single ascending dose (n=48) and multiple ascending dose (n=44) clinical trial assessing the safety, tolerability and PK of NGM120 in healthy adult subjects. NGM120 was well tolerated at all doses studied and the PK profile of NGM120 had a terminal half-life of approximately 35 days. There were two reported SAEs in the NGM120 treatment arms: renal colic and bipolar disorder, both of which were deemed by the investigators to be unrelated to treatment with NGM120, and no adverse events of note.</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After completing the initial Phase 1 trial, in the first quarter of 2020, we initiated a Phase 1a/1b dose-finding clinical trial to assess NGM120’s effect on cancer-related cachexia and on cancer. The Phase 1a/1b trial is divided into two cohorts: a Phase 1a cohort evaluating NGM120 as a monotherapy in patients with select advanced solid tumors and a Phase 1b cohort evaluating NGM120 in combination with gemcitabine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jc w:val="both"/>
        <w:spacing w:after="0" w:line="246" w:lineRule="auto"/>
        <w:rPr>
          <w:sz w:val="20"/>
          <w:szCs w:val="20"/>
          <w:color w:val="auto"/>
        </w:rPr>
      </w:pPr>
      <w:r>
        <w:rPr>
          <w:rFonts w:ascii="Arial" w:cs="Arial" w:eastAsia="Arial" w:hAnsi="Arial"/>
          <w:sz w:val="18"/>
          <w:szCs w:val="18"/>
          <w:color w:val="auto"/>
        </w:rPr>
        <w:t>Abraxane in patients with metastatic pancreatic cancer. Enrollment in this Phase 1a/1b trial is complete and we expect to report topline data in the second half of 2021.</w:t>
      </w:r>
    </w:p>
    <w:p>
      <w:pPr>
        <w:spacing w:after="0" w:line="8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January 2021, we initiated a placebo-controlled expansion of the ongoing Phase 1b trial. This Phase 1b expansion study will evaluate the safety, tolerability and efficacy of NGM120 as first-line treatment in 60 patients with metastatic pancreatic cancer. Patients will be selected based on their elevated serum levels of GDF15. The study is a randomized, single-blind (sponsor unblinded), placebo-controlled, multi-center trial. Patients will be randomized 1:1 to receive either NGM120 or placebo monthly in combination with first-line standard of care treatment with gemcitabine and Abraxane. The study will have both cancer and cachexia endpoints, including overall response rate, progression-free survival, overall survival, body weight change, lean body mass change, patient reported outcomes and functional status changes.</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NGM120 Patent Portfolio</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As of December 31, 2020, we owned one issued patent in the United States, as well as pending patent applications in the United States and multiple jurisdictions outside of the United States, covering NGM120 and related compositions-of-matter and methods of use. The issued patent is expected to expire in 2037, not including any patent term adjustments and any patent term extensions.</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NGM120 Competition</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There are currently no FDA- or EMA-approved medicines available to treat cancer-related cachexia. Given the recent identification of GFRAL, we are not aware of any publicly disclosed program other than NGM120 that targets GFRAL. There are three recently initiated Phase 1 programs we are aware of that target GDF15: AVEO Pharmaceuticals, Inc.’s AV-380 and Pfizer’s monoclonal antibody PF-06946860 are in Phase 1 assessing various cachexia-related measures; and CatalYm GmbH has initiated a Phase 1 clinical trial of CTL-002 in Europe to explore the treatment of cancer.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NGM707: Potential Myeloid Reprogramming Immunotherapy for Cancer</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Overview of NGM707</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NGM707 is a novel dual antagonist monoclonal antibody that is designed to improve patient immune responses to tumors by inhibiting both ILT2 and ILT4 receptors expressed on myeloid cells in the tumor microenvironment. NGM707 targets an epitope, or the part of a molecule to which an antibody attaches, common to both ILT2 and ILT4 to achieve inhibition of both receptors. NGM707 blocks interaction between ILT2 or ILT4 and their shared major histocompatibility complex, or MHC, class I ligands.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ind w:left="3400"/>
        <w:spacing w:after="0"/>
        <w:rPr>
          <w:sz w:val="20"/>
          <w:szCs w:val="20"/>
          <w:color w:val="auto"/>
        </w:rPr>
      </w:pPr>
      <w:r>
        <w:rPr>
          <w:rFonts w:ascii="Arial" w:cs="Arial" w:eastAsia="Arial" w:hAnsi="Arial"/>
          <w:sz w:val="18"/>
          <w:szCs w:val="18"/>
          <w:b w:val="1"/>
          <w:bCs w:val="1"/>
          <w:color w:val="auto"/>
        </w:rPr>
        <w:t>NGM707: A Dual Antagonist Antibody Inhibiting ILT2 and ILT4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148590</wp:posOffset>
            </wp:positionV>
            <wp:extent cx="3103245" cy="267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032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MHC-1 = major histocompatibility complex – class I; TNF = tumor necrosis factor; IL = interleukin, GM-CSF = Granulocyte-macrophage colony-stimulating factor</w:t>
      </w:r>
    </w:p>
    <w:p>
      <w:pPr>
        <w:spacing w:after="0" w:line="11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ILT2 and ILT4 receptors expressed on myeloid cells in the tumor microenvironment are implicated in promoting a tolerogenic state, which induces immune tolerance that suppresses anti-tumor immune responses. These receptors may represent checkpoints that enable tumors to evade immune detection. Suppressive myeloid cells enriched with ILT2 and ILT4 receptors are upregulated in certain cancer types, ILT2 is also expressed on natural killer, or NK, cells, B cells and a subset of highly cytolytic T cells. Of note, ILT2 and ILT4 are upregulated on macrophages in the tumor microenvironment of certain patients with cancer who are non-responders to T-cell checkpoint inhibitor therapy and are therefore implicated as potential T-cell checkpoint inhibitor resistance mechanisms.</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ILT2 and ILT4: Myeloid and Lymphoid Checkpoints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80010</wp:posOffset>
            </wp:positionV>
            <wp:extent cx="2623185" cy="2211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318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Preclinical studies of NGM707 suggest that blockade of ILT4 reverses myeloid cell immune suppression, while blockade of ILT2 activates macrophage phagocytosis of tumor cells and promotes NK and CD8+ T-cell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both"/>
        <w:spacing w:after="0" w:line="238" w:lineRule="auto"/>
        <w:rPr>
          <w:sz w:val="20"/>
          <w:szCs w:val="20"/>
          <w:color w:val="auto"/>
        </w:rPr>
      </w:pPr>
      <w:r>
        <w:rPr>
          <w:rFonts w:ascii="Arial" w:cs="Arial" w:eastAsia="Arial" w:hAnsi="Arial"/>
          <w:sz w:val="18"/>
          <w:szCs w:val="18"/>
          <w:color w:val="auto"/>
        </w:rPr>
        <w:t>killing of tumor cells. Other preclinical studies of NGM707 have shown that the dual blockade of ILT2 and ILT4 acts synergistically to reverse suppression of Fc receptor signaling, a key stimulatory pathway in myeloid cells. In preclinical mixed lymphocyte reactions, in which allogeneic macrophages and T cells are mixed, the combination of NGM707 and pembrolizumab acted additively to increase T-cell activation and cytokine secretion as shown below.</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NGM707 and Pembrolizumab Shown to Act Additively to Enhance T Cell Activation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80010</wp:posOffset>
            </wp:positionV>
            <wp:extent cx="4834890" cy="2331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3489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88" w:lineRule="exact"/>
        <w:rPr>
          <w:sz w:val="20"/>
          <w:szCs w:val="20"/>
          <w:color w:val="auto"/>
        </w:rPr>
      </w:pPr>
      <w:r>
        <w:rPr>
          <w:rFonts w:ascii="Arial" w:cs="Arial" w:eastAsia="Arial" w:hAnsi="Arial"/>
          <w:sz w:val="14"/>
          <w:szCs w:val="14"/>
          <w:i w:val="1"/>
          <w:iCs w:val="1"/>
          <w:color w:val="auto"/>
        </w:rPr>
        <w:t>IFN</w:t>
      </w:r>
      <w:r>
        <w:rPr>
          <w:rFonts w:ascii="Arial Unicode MS" w:cs="Arial Unicode MS" w:eastAsia="Arial Unicode MS" w:hAnsi="Arial Unicode MS"/>
          <w:sz w:val="14"/>
          <w:szCs w:val="14"/>
          <w:i w:val="1"/>
          <w:iCs w:val="1"/>
          <w:color w:val="auto"/>
        </w:rPr>
        <w:t>ɣ</w:t>
      </w:r>
      <w:r>
        <w:rPr>
          <w:rFonts w:ascii="Arial" w:cs="Arial" w:eastAsia="Arial" w:hAnsi="Arial"/>
          <w:sz w:val="14"/>
          <w:szCs w:val="14"/>
          <w:i w:val="1"/>
          <w:iCs w:val="1"/>
          <w:color w:val="auto"/>
        </w:rPr>
        <w:t xml:space="preserve"> = Interferon Gamma; TNF</w:t>
      </w:r>
      <w:r>
        <w:rPr>
          <w:rFonts w:ascii="Arial Unicode MS" w:cs="Arial Unicode MS" w:eastAsia="Arial Unicode MS" w:hAnsi="Arial Unicode MS"/>
          <w:sz w:val="14"/>
          <w:szCs w:val="14"/>
          <w:i w:val="1"/>
          <w:iCs w:val="1"/>
          <w:color w:val="auto"/>
        </w:rPr>
        <w:t>⍺</w:t>
      </w:r>
      <w:r>
        <w:rPr>
          <w:rFonts w:ascii="Arial" w:cs="Arial" w:eastAsia="Arial" w:hAnsi="Arial"/>
          <w:sz w:val="14"/>
          <w:szCs w:val="14"/>
          <w:i w:val="1"/>
          <w:iCs w:val="1"/>
          <w:color w:val="auto"/>
        </w:rPr>
        <w:t xml:space="preserve"> = Tumor Necrosis Factor alpha, Pembro= pembrolizumab, Combo = pembrolizumab and NGM707</w:t>
      </w:r>
    </w:p>
    <w:p>
      <w:pPr>
        <w:spacing w:after="0" w:line="23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One of the primary activities that macrophages have in the tumor microenvironment is to attack any cancer cells. The graphic below shows that blocking ILT2 enhances phagocytosis of cancer cells by macrophages, while ILT4 blockade has no effect. Macrophage phagocytosis may increase tumor killing and potentially drive expansion of the immune response, or antigen spread.</w:t>
      </w:r>
    </w:p>
    <w:p>
      <w:pPr>
        <w:spacing w:after="0" w:line="18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 xml:space="preserve">ILT2 Blockade Shown to Enhance Macrophage Phagocytosis of Tumor Cells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148590</wp:posOffset>
            </wp:positionV>
            <wp:extent cx="2477135" cy="2168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713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Unlike ILT4, ILT2 is also expressed on T cells and NK cells. An ILT2 blockade, using either an ILT2-specific antibody or NGM707, enhances the T cell killing of cancer cells in co-cultures; whereas an ILT4 blockade alone has no effect. Likewise, an ILT2 blockade, using either an ILT2-specific antibody or NGM707, enhances the natural killer cell, or NK cell, killing of cancer cells in co-cultures.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ind w:left="1440"/>
        <w:spacing w:after="0"/>
        <w:rPr>
          <w:sz w:val="20"/>
          <w:szCs w:val="20"/>
          <w:color w:val="auto"/>
        </w:rPr>
      </w:pPr>
      <w:r>
        <w:rPr>
          <w:rFonts w:ascii="Arial" w:cs="Arial" w:eastAsia="Arial" w:hAnsi="Arial"/>
          <w:sz w:val="18"/>
          <w:szCs w:val="18"/>
          <w:b w:val="1"/>
          <w:bCs w:val="1"/>
          <w:color w:val="auto"/>
        </w:rPr>
        <w:t xml:space="preserve">ILT2 Blockade Shown to Enhance CD8+ T Cell Cytolytic Activity and Primary NK Cell Killing Activity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80010</wp:posOffset>
            </wp:positionV>
            <wp:extent cx="4740275" cy="3154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4027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Future NGM707 Clinical Development Plan</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expect to commence a first-in-human Phase 1 clinical trial of NGM707 in patients with cancer in mid-2021. We expect the planned Phase 1a/b clinical trial will include two cohorts to evaluate the safety, tolerability and PK of NGM707 and to obtain preliminary evidence of any anti-tumor activity. The Phase 1a cohort is expected to evaluate NGM707 as a monotherapy, while the Phase 1b cohort is expected to evaluate NGM707 in combination with pembrolizumab in patients with advanced solid tumors. This open-label, Phase 1a/b trial is expected to be followed by a planned Phase 2 dose-expansion clinical trial in defined cohorts of specific tumor types.</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NGM707 Patent Portfolio</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 of December 31, 2020, we did not own or have a license to any issued patent that covers NGM707. However, NGM707 and related compositions-of-matter and methods of use are disclosed in pending United States provisional patent applications that we expect to use as the basis for U.S. non-provisional and international applications. Any patent that may issue from related applications is expected to expire no earlier than 2041, including any patent issued in the United States, if any, not including any patent term adjustments and any patent term extensions.</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NGM707 Competition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believe NGM707 is the first and only candidate currently in development that targets both ILT2 and ILT4. However, there are several products in development that target either ILT2 or ILT4. Merck and Jounce Therapeutics, Inc., or Jounce, both have clinical stage anti-ILT4 programs. In September 2020, Merck presented findings from a Phase 1 dose-escalation study evaluating its investigational anti-ILT4 therapeutic candidate, MK-4830. Jounce is developing an anti-ILT4 monoclonal antibody, JTX-8064, and recently initiated enrollment in a Phase 1 clinical trial. We are aware of one preclinical anti-ILT4 candidate in development, Immune-Onc Therapeutics, Inc.’s, or Immune-Onc’s, IO-108, and one ligand trap for ILT4 in preclinical development, ImmunOS Therapeutics AG’s iosH2, which may also impact ILT2. Biond Biologics Ltd. currently has an antagonist antibody targeting ILT2, BND-22, which has been licensed by Sanofi, in development and plans to commence a Phase 1a trial in mid-2021. We are not aware of any other compounds in development targeting ILT2.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ind w:left="400"/>
        <w:spacing w:after="0"/>
        <w:rPr>
          <w:sz w:val="20"/>
          <w:szCs w:val="20"/>
          <w:color w:val="auto"/>
        </w:rPr>
      </w:pPr>
      <w:r>
        <w:rPr>
          <w:rFonts w:ascii="Arial" w:cs="Arial" w:eastAsia="Arial" w:hAnsi="Arial"/>
          <w:sz w:val="18"/>
          <w:szCs w:val="18"/>
          <w:b w:val="1"/>
          <w:bCs w:val="1"/>
          <w:i w:val="1"/>
          <w:iCs w:val="1"/>
          <w:color w:val="auto"/>
        </w:rPr>
        <w:t>NGM438: Potential Stromal and Myeloid Reprogramming Immunotherapy for Cancer</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Overview of NGM438</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NGM438 is a novel antagonistic antibody that is designed to inhibit LAIR1 and promote immune detection and activation against advanced solid tumors. NGM438 has the potential to potently block the binding of all collagens to LAIR1, including tumor cell-derived collagens. Tumor cell-derived collagens are the endogenous forms of collagen produced by the tumor stroma that are believed to bind LAIR1 to create an immuno-suppressive tumor microenvironment. The interaction of tumor stromal collagens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NGM438: An Antagonist Antibody Inhibiting LAIR1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302895</wp:posOffset>
            </wp:positionV>
            <wp:extent cx="3282950" cy="2434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295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LAIR1 is a collagen-binding inhibitory receptor expressed on immune cells that is implicated in immune suppression. LAIR1 and collagens are upregulated in multiple cancer types, with LAIR1 being expressed on tumor-associated immune cells, and collagens being produced by tumor-associated stromal cells. Overexpression of collagens and LAIR1 is associated with poor responses to T-cell checkpoint inhibitors. For such tumors, formation of the collagen-LAIR1 complex may act as a stromal checkpoint to both physically exclude immune cells from the tumor and impose signaling-based immune suppression. Inhibiting this stromal checkpoint represents a potentially promising new therapeutic strategy to treat cancer by promoting the remodeling of the tumor architecture that restricts T-cell infiltration of the tumor cell mass and reversing immune suppression in the tumor microenvironment.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Immuno-Histochemical Identification of the Stromal Checkpoint in a Pancreatic Cancer Biopsy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11430</wp:posOffset>
            </wp:positionV>
            <wp:extent cx="3857625" cy="2966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5762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 xml:space="preserve">Preclinical studies suggest that NGM438 may have the potential to reprogram collagen-suppressed myeloid cells to a stimulatory phenotype, induce inflammatory cytokine production by myeloid and T cells and relieve collagen-based suppression of T-cell proliferation. For example, in a preclinical model as shown below, collagen suppressed T cell proliferation in mixed lymphocyte reactions, while the administration of NGM438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reversed this T cell suppression in a dose-dependent manner.</w:t>
      </w:r>
    </w:p>
    <w:p>
      <w:pPr>
        <w:spacing w:after="0" w:line="210" w:lineRule="exact"/>
        <w:rPr>
          <w:sz w:val="20"/>
          <w:szCs w:val="20"/>
          <w:color w:val="auto"/>
        </w:rPr>
      </w:pPr>
    </w:p>
    <w:p>
      <w:pPr>
        <w:jc w:val="center"/>
        <w:ind w:left="740" w:right="140"/>
        <w:spacing w:after="0" w:line="271" w:lineRule="auto"/>
        <w:rPr>
          <w:sz w:val="20"/>
          <w:szCs w:val="20"/>
          <w:color w:val="auto"/>
        </w:rPr>
      </w:pPr>
      <w:r>
        <w:rPr>
          <w:rFonts w:ascii="Arial" w:cs="Arial" w:eastAsia="Arial" w:hAnsi="Arial"/>
          <w:sz w:val="18"/>
          <w:szCs w:val="18"/>
          <w:b w:val="1"/>
          <w:bCs w:val="1"/>
          <w:color w:val="auto"/>
        </w:rPr>
        <w:t xml:space="preserve">NGM438 Blockade Shown to Reverse Suppression of Myeloid Cells by Collagen Leading to Enhanced T Cell Proliferation </w:t>
      </w:r>
      <w:r>
        <w:rPr>
          <w:rFonts w:ascii="Arial" w:cs="Arial" w:eastAsia="Arial" w:hAnsi="Arial"/>
          <w:sz w:val="18"/>
          <w:szCs w:val="18"/>
          <w:b w:val="1"/>
          <w:bCs w:val="1"/>
          <w:i w:val="1"/>
          <w:iCs w:val="1"/>
          <w:color w:val="auto"/>
        </w:rPr>
        <w:t>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111760</wp:posOffset>
            </wp:positionV>
            <wp:extent cx="5143500" cy="2794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MLR = Mixed Lymphocyte Reaction; mAb = monoclonal antibodies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ind w:firstLine="802"/>
        <w:spacing w:after="0" w:line="238" w:lineRule="auto"/>
        <w:rPr>
          <w:sz w:val="20"/>
          <w:szCs w:val="20"/>
          <w:color w:val="auto"/>
        </w:rPr>
      </w:pPr>
      <w:r>
        <w:rPr>
          <w:rFonts w:ascii="Arial" w:cs="Arial" w:eastAsia="Arial" w:hAnsi="Arial"/>
          <w:sz w:val="18"/>
          <w:szCs w:val="18"/>
          <w:color w:val="auto"/>
        </w:rPr>
        <w:t>Collagen receptors, such as integrins, represent key stimulatory receptors on myeloid cells, and inhibition of these activating receptors via collagen-LAIR1 signaling promotes a suppressive myeloid cell phenotype. Preclinical studies of NGM438 demonstrate that blockade of collagen-LAIR1 binding reprograms myeloid cells to be pro-inflammatory and leads to a potent increase in secretion of cytokines, including CCL3 and CCL4, which are involved in recruiting lymphocytes to areas of inflammation.</w:t>
      </w:r>
    </w:p>
    <w:p>
      <w:pPr>
        <w:spacing w:after="0" w:line="18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 xml:space="preserve">NGM438 Shown to Reverse Collagen-Mediated Suppression and Induce Reprogramming in Myeloid Antigen Presenting Cells </w:t>
      </w:r>
      <w:r>
        <w:rPr>
          <w:rFonts w:ascii="Arial" w:cs="Arial" w:eastAsia="Arial" w:hAnsi="Arial"/>
          <w:sz w:val="18"/>
          <w:szCs w:val="18"/>
          <w:b w:val="1"/>
          <w:bCs w:val="1"/>
          <w:i w:val="1"/>
          <w:iCs w:val="1"/>
          <w:color w:val="auto"/>
        </w:rPr>
        <w:t>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111760</wp:posOffset>
            </wp:positionV>
            <wp:extent cx="4671695" cy="2143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716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the presence of collagen, T cells are suppressed and they respond poorly to stimulation by the T cell receptor with an anti-CD3 antibody. The low level of T cell activation, as measured by interferon-gamma production or T cell proliferation, is represented by the lines with circles in the two panels below. When LAIR1 is blocked with NGM438, reversal of the collagen-mediated inhibitory signaling of LAIR1 is observed, resulting in enhanced cytokine production (including interferon-gamma, left panel), as well as enhanced T cell proliferation (right panel).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 xml:space="preserve">NGM438 Shown to Enhance Inflammatory Cytokine Secretion and T Cell Proliferation in Collagen-suppressed T Cells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148590</wp:posOffset>
            </wp:positionV>
            <wp:extent cx="5374640" cy="2940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7464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Future NGM438 Clinical Development</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We plan to make an IND submission in the second half of 2021 and expect to commence a first-in-human Phase 1 clinical trial of NGM438 in patients with cancer in the fourth quarter of 2021.</w:t>
      </w:r>
    </w:p>
    <w:p>
      <w:pPr>
        <w:spacing w:after="0" w:line="6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NGM438 Patent Portfolio</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 of December 31, 2020, we did not own or have a license to any issued patent that covers NGM438. However, NGM438 and related compositions-of-matter and methods of use are disclosed in pending United States provisional patent applications that we expect to use as the basis for U.S. non-provisional and international applications. Any patent that may issue from related applications is expected to expire no earlier than 2041, including any patent issued in the United States, if any, not including any patent term adjustments and any patent term extensions.</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NGM438 Competition</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are aware of only one other anti-LAIR1 antibody currently in development, Immune-Onc’s preclinical-stage asset IO-106. NextCure, Inc. has a preclinical product candidate, NC410, a LAIR2 fusion protein designed to mimic the natural decoy effects of LAIR2, which binds to collagens and blocks the activity of LAIR1.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Collaboration with Merck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2015, we entered into the Collaboration Agreement with Merck covering the discovery, development and commercialization of novel therapies across a range of therapeutic areas, including a broad, multi-year drug discovery and early development program financially supported by Merck, but scientifically directed by us with input from Merck. The Collaboration Agreement contemplated an initial five-year research term, and Merck was granted the unilateral right to extend the research phase of the collaboration for two additional two-year terms. In March 2019, Merck exercised its first option to extend the research phase of the collaboration for two additional years through March 16, 2022.</w:t>
      </w:r>
    </w:p>
    <w:p>
      <w:pPr>
        <w:spacing w:after="0" w:line="9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Under the terms of the collaboration, Merck was required to notify us no later than March 17, 2021 of its unilateral decision whether to exercise its option to extend the research phase of the collaboration for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spacing w:after="0"/>
        <w:rPr>
          <w:sz w:val="20"/>
          <w:szCs w:val="20"/>
          <w:color w:val="auto"/>
        </w:rPr>
      </w:pPr>
      <w:r>
        <w:rPr>
          <w:rFonts w:ascii="Arial" w:cs="Arial" w:eastAsia="Arial" w:hAnsi="Arial"/>
          <w:sz w:val="18"/>
          <w:szCs w:val="18"/>
          <w:color w:val="auto"/>
        </w:rPr>
        <w:t>additional two-year term through March 16, 2024. In March 2021, Merck initiated discussions with us with respect to elements of the ongoing collaboration that might be optimized to better address the evolving interests and priorities of both NGM and Merck during the remainder of the current research phase through March 16, 2022 and during any extension of the current research phase and any tail period (which tail period is discussed below). In this regard, the parties are negotiating in good faith certain modifications to the terms of the collaboration that may include, among other things, focusing NGM’s research and development under the collaboration on therapeutic areas of particular interest to Merck, while enabling NGM to conduct research and development outside of these therapeutic areas. This would, if mutually agreed to, allow NGM to discover and develop product candidates on its own or with third parties in other areas of interest. In order to allow negotiations to proceed, the parties have agreed to extend the March 17, 2021 deadline for Merck to deliver its extension notification decision until June 30, 2021. While we cannot predict whether or when Merck will elect to extend the research phase of the collaboration or on what terms, or whether or when we will reach agreement with Merck on the terms of a modified collaboration generally,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our funding obligations with respect to the development of our current and potential future product candidates will substantially increase following March 16, 2022, the end of the current two-year extension of the research phase, regardless of whether we are able to reach agreement with Merck on modified terms.</w:t>
      </w:r>
    </w:p>
    <w:p>
      <w:pPr>
        <w:spacing w:after="0" w:line="230"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As a result of the ongoing negotiations between us and Merck, the parties may agree on modifications to the Collaboration Agreement and that the description of the terms of the Collaboration Agreement as set forth in this Annual Report on Form 10-K may be modified in some or all respects.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Under the Collaboration Agreement, we granted Merck options to take exclusive, worldwide licenses, on a program-by-program basis, for the collaboration product candidates as well as to other related compounds that are directed to the same target and that result in the same effect on such target in our research and development pipeline pursued using funding from the Collaboration Agreement. Merck generally has a one-time right to exercise its option for any collaboration product candidate when we or Merck complete a human proof-of-concept trial. If Merck exercises an option, Merck is responsible, at its own cost, for any further development and commercialization activities for compounds within that licensed program. In November 2018, Merck exercised its option to license MK-3655 and other FGFR1c/KLB agonists. In November 2020, Merck initiated a Phase 2b randomized, double-blind study of MK-3655 in patients with NASH with F2 or F3 liver fibrosis.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aldafermin program is not included in the Collaboration Agreement and it remains wholly-owned and controlled by us.</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strategic value of our collaboration with Merck can be summarized as follows:</w:t>
      </w:r>
    </w:p>
    <w:p>
      <w:pPr>
        <w:spacing w:after="0" w:line="190" w:lineRule="exact"/>
        <w:rPr>
          <w:sz w:val="20"/>
          <w:szCs w:val="20"/>
          <w:color w:val="auto"/>
        </w:rPr>
      </w:pPr>
    </w:p>
    <w:p>
      <w:pPr>
        <w:jc w:val="both"/>
        <w:ind w:left="800" w:hanging="401"/>
        <w:spacing w:after="0" w:line="23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Support: </w:t>
      </w:r>
      <w:r>
        <w:rPr>
          <w:rFonts w:ascii="Arial" w:cs="Arial" w:eastAsia="Arial" w:hAnsi="Arial"/>
          <w:sz w:val="18"/>
          <w:szCs w:val="18"/>
          <w:color w:val="auto"/>
        </w:rPr>
        <w:t>Under the terms of the Collaboration Agreement, in 2015 Merck paid us an upfront cash licensing fee of $94.0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purchased approximately $106.0 million of our Series E convertible preferred stock. In addition to the upfront cash component, Merck initially committed to provide us research and development reimbursement of up to $50.0 million per year for at least five years. If our research and development expenses exceed $50.0 million in a given year and we are conducting IND-enabling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Therefore, the total Merck reimbursement for our research and development activities could have reached $75.0 million per year through the first five years of the research phase, although it only did so beginning in our fiscal year ended December 31, 2019 due to increases in research and development expenses as a result of an increase in the number of collaboration product candidates and their progression to early- and mid-stage development. Under the current terms of the Collaboration Agreement, Merck is also required to pay a $20.0 million extension fee each time it elects to exercise its unilateral right to extend the research phase of the collaboration for an additional two-year term. As part of the extension of the research phase of the collaboration through March 16, 2022, Merck agreed to continue to fund our research and development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8" w:name="page39"/>
    <w:bookmarkEnd w:id="38"/>
    <w:p>
      <w:pPr>
        <w:jc w:val="both"/>
        <w:ind w:left="800"/>
        <w:spacing w:after="0" w:line="238" w:lineRule="auto"/>
        <w:rPr>
          <w:sz w:val="20"/>
          <w:szCs w:val="20"/>
          <w:color w:val="auto"/>
        </w:rPr>
      </w:pPr>
      <w:r>
        <w:rPr>
          <w:rFonts w:ascii="Arial" w:cs="Arial" w:eastAsia="Arial" w:hAnsi="Arial"/>
          <w:sz w:val="18"/>
          <w:szCs w:val="18"/>
          <w:color w:val="auto"/>
        </w:rPr>
        <w:t>efforts up to $75.0 million each year consistent with the initial five-year term and, in lieu of a $ 20.0 million extension fee payable to us, Merck agreed to make additional payments totaling up to $20.0 million in support of our research and development activities during 2021 and in the first quarter of 2022. Merck also paid us a fee of $20.0 million in December 2018 in connection with the exercise of its license option for MK-3655. From inception of the collaboration through December 31, 2020, Merck has paid us $495.8 million under the Collaboration Agreement.</w:t>
      </w:r>
    </w:p>
    <w:p>
      <w:pPr>
        <w:spacing w:after="0" w:line="180" w:lineRule="exact"/>
        <w:rPr>
          <w:sz w:val="20"/>
          <w:szCs w:val="20"/>
          <w:color w:val="auto"/>
        </w:rPr>
      </w:pPr>
    </w:p>
    <w:p>
      <w:pPr>
        <w:jc w:val="both"/>
        <w:ind w:left="800" w:hanging="401"/>
        <w:spacing w:after="0" w:line="23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Opportunity: </w:t>
      </w:r>
      <w:r>
        <w:rPr>
          <w:rFonts w:ascii="Arial" w:cs="Arial" w:eastAsia="Arial" w:hAnsi="Arial"/>
          <w:sz w:val="18"/>
          <w:szCs w:val="18"/>
          <w:color w:val="auto"/>
        </w:rPr>
        <w:t>For each program that Merck licenses, Merck must pay us a $20.0 million fee. In addition, we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at the start of the first Phase 3 clinical study for a compound in such licensed program, to elect to participate in a worldwide cost and profit share with Merck of up to 50%, as well as the option to co-detail the product, if approved, alongside Merck in the United States. If we elect to participate in the cost and profit share, subject to certain limitations, Merck has agreed to provide us with interest-bearing advances of, and/or assume, up to 25% of our share of the global development costs that Merck will recoup from our share of any profit ultimately resulting from sales of the approved drug or, if the drug is not approved, other compounds that reach commercialization and are subject to a cost and profit share. If we decide not to participate in the cost and profit share, Merck will owe us milestone payments based on the occurrence of certain clinical development, regulatory and commercial events and royalties as a percentage of global net sales at ascending low double digit to mid-teen percentage rates. Our option to participate in the late-stage development and commercialization costs of MK-3655 has not yet been triggered.</w:t>
      </w:r>
    </w:p>
    <w:p>
      <w:pPr>
        <w:spacing w:after="0" w:line="179" w:lineRule="exact"/>
        <w:rPr>
          <w:rFonts w:ascii="Arial" w:cs="Arial" w:eastAsia="Arial" w:hAnsi="Arial"/>
          <w:sz w:val="18"/>
          <w:szCs w:val="18"/>
          <w:color w:val="auto"/>
        </w:rPr>
      </w:pPr>
    </w:p>
    <w:p>
      <w:pPr>
        <w:jc w:val="both"/>
        <w:ind w:left="800" w:hanging="401"/>
        <w:spacing w:after="0" w:line="253"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Sharing of Expertise: </w:t>
      </w:r>
      <w:r>
        <w:rPr>
          <w:rFonts w:ascii="Arial" w:cs="Arial" w:eastAsia="Arial" w:hAnsi="Arial"/>
          <w:sz w:val="18"/>
          <w:szCs w:val="18"/>
          <w:color w:val="auto"/>
        </w:rPr>
        <w:t>The collaboration allows us access to Merck’s mid- and late-stage development expertise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to enable large global trials and the global commercial and distribution capabilities that we believe our products will require.</w:t>
      </w:r>
    </w:p>
    <w:p>
      <w:pPr>
        <w:spacing w:after="0" w:line="168" w:lineRule="exact"/>
        <w:rPr>
          <w:rFonts w:ascii="Arial" w:cs="Arial" w:eastAsia="Arial" w:hAnsi="Arial"/>
          <w:sz w:val="18"/>
          <w:szCs w:val="18"/>
          <w:color w:val="auto"/>
        </w:rPr>
      </w:pPr>
    </w:p>
    <w:p>
      <w:pPr>
        <w:jc w:val="both"/>
        <w:ind w:left="800" w:hanging="401"/>
        <w:spacing w:after="0" w:line="253"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Control Provisions: </w:t>
      </w:r>
      <w:r>
        <w:rPr>
          <w:rFonts w:ascii="Arial" w:cs="Arial" w:eastAsia="Arial" w:hAnsi="Arial"/>
          <w:sz w:val="18"/>
          <w:szCs w:val="18"/>
          <w:color w:val="auto"/>
        </w:rPr>
        <w:t>We maintain control over the direction and execution of each collaboration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program through human proof-of-concept testing, allowing our research team the independence to seek the most promising candidates and flexibility to terminate, suspend or de-prioritize projects.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Merck Collaboration Agreement</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For purposes of this summary, we refer to the seven- or, if further extended by Merck, nine-year period from the time of inception of the Collaboration Agreement as the research phase of the collaboration.</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Early Development Program</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Under the Collaboration Agreement, we conduct an extensive research and early development program, the goal of which is the identification, research and development, through human proof-of-concept studies, of multiple product candidates in various therapeutic areas. At the inception of the collaboration, we included in the collaboration all of our research and development programs, both those existing at the time the Collaboration Agreement was entered into and those we work on during the research phase, with the exception of the following: aldafermin, any other compounds that target FGFR4 and inhibit CYP7A1 expression (including variants or derivatives of FGF19) and any compounds that are covered by or within the scope of third-party license or option rights. We have determined the scientific direction and areas of therapeutic interest within the collaboration, with input from Merck, and we are primarily responsible for the conduct of all research, preclinical and early clinical development activities, through human proof of concept. We have made the final determinations as to which compounds to advance into and through initial clinical trials and which to progress into a human proof-of-concept study and the design of any such trials, with input from Merck through various governance committees.</w:t>
      </w:r>
    </w:p>
    <w:p>
      <w:pPr>
        <w:spacing w:after="0" w:line="9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amounts of funding Merck is currently committed to providing us under the Collaboration Agreement to fund our research and development efforts during the current research phase is described above. Under the current terms of the Collaboration Agreement, if Merck elects to extend the research phase for an additional two years through March 16, 2024, the level of funding that Merck will provide to us during such extension may be negotiated at the time of the extension, subject to certain minimum and maximum funding limits based on a percentage of the then-existing funding. As noted above, however, we expect that if we are unable to reach agreement with Merck on the terms of a modified collaboration, which modified terms we expect would include meaningfully lower annual research support funding from Merck than as is currently being provided during the current two-year extension of the research phase, Merck will not elect to extend the research phase for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9" w:name="page40"/>
    <w:bookmarkEnd w:id="39"/>
    <w:p>
      <w:pPr>
        <w:jc w:val="both"/>
        <w:spacing w:after="0"/>
        <w:rPr>
          <w:sz w:val="20"/>
          <w:szCs w:val="20"/>
          <w:color w:val="auto"/>
        </w:rPr>
      </w:pPr>
      <w:r>
        <w:rPr>
          <w:rFonts w:ascii="Arial" w:cs="Arial" w:eastAsia="Arial" w:hAnsi="Arial"/>
          <w:sz w:val="18"/>
          <w:szCs w:val="18"/>
          <w:color w:val="auto"/>
        </w:rPr>
        <w:t>additional two years through March 16, 2024. With two exceptions, Merck may not terminate its annual funding of the research and early development program prior to the end of the research phase of the collaboration. Those two exceptions are: (i) if we are acquired by a third party; or (ii) if we are in material uncured breach of our obligations under the research and early development program.</w:t>
      </w:r>
    </w:p>
    <w:p>
      <w:pPr>
        <w:spacing w:after="0" w:line="95"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During the three-month period before the end of the research phase, Merck has the right to review our then-existing programs and to elect to designate one or more such programs for which we will be required to continue to conduct research and development for up to three years, referred to as the tail period. Merck will pay all of our internal and external costs for our work on such Merck-designated programs, up to certain funding caps that decrease over the tail period and are each a specified percentage of certain funding actually provided to us by Merck during the last 12 months of the research phase. Merck also has the right to take over such Merck-designated programs and conduct such research and development activities itself or in partnership with a third party, at its own cost, or to terminate the tail period after a specified notice period. If Merck terminates the tail period, it has the right to elect to transition to itself or a third-party partner, at its own cost, any clinical trials that are then being conducted in such Merck-designated programs. If we complete a human proof-of-concept trial in one of such Merck-designated programs during the tail period or if Merck or its third-party partner completes a human proof-of-concept trial in one of such Merck-designated programs during or after the tail period, then Merck will have a one-time right to exercise its option to an exclusive, worldwide license for the collaboration product candidate tested in the proof-of-concept trial and certain related molecules in that program. Merck will lose its option rights at the end of the tail period with respect to all programs for which no collaboration product candidate has completed a human proof-of-concept trial by such time, except for Merck-designated programs that Merck is continuing to use commercially reasonable efforts to research and develop.</w:t>
      </w:r>
    </w:p>
    <w:p>
      <w:pPr>
        <w:spacing w:after="0" w:line="10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When it was entered into, the Collaboration Agreement included an exclusive worldwide license to our existing GDF15 receptor agonist program. Effective May 31, 2019, Merck terminated its license to the GDF15 receptor agonist program, returning the NGM395 and NGM386 product candidates to us. As a result, the NGM395 and NGM386 product candidates, on which we have paused further development, are wholly-owned by us.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Merck Option to License NGM Programs</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During the research phase, or during the tail period, if there is one, following completion of a proof-of-concept study for a particular product candidate, regardless of the results of such study, Merck has the one-time option to obtain an exclusive, worldwide license, on specified terms, to that product candidate, as well as to all other molecules that are directed against the same target and that result in the same effect on such target. We refer to any program for which Merck exercises such option a Merck Licensed Program. If Merck exercises its license option, Merck is responsible, at its own cost, for any further development and any commercialization activities for compounds within that Merck Licensed Program, subject to our options to cost and profit share worldwide, and to co-detail those compounds in the United States, as further described below. For each program that Merck licenses, Merck must pay us a one-time $20.0 million fee. In November 2018, Merck exercised its option for a license to further research and develop MK-3655 and other FGFR1c/KLB agonists and paid us a $20.0 million fee.</w:t>
      </w:r>
    </w:p>
    <w:p>
      <w:pPr>
        <w:spacing w:after="0" w:line="9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If Merck does not exercise its license option with respect to a particular compound and related program within a specified limited period of time, in most instances we retain all rights to research, develop and commercialize that compound and its related molecules on a worldwide basis, either alone or in partnership with a third party, subject to the payment to Merck of certain royalties on any commercial sales of any resulting product(s). The one exception is if Merck does not exercise its license option because it determines further development of the compound is not warranted for technical, safety or efficacy reasons and, if later in the research phase we again complete a proof-of-concept study with the same compound or a related compound, Merck’s license option right would nonetheless apply to such compound for a specified limited period of time.</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will have the right to develop and commercialize, independently or with third party partners, collaboration product candidates from all programs where Merck has lost its option rights and we will not have any obligations to Merck for these collaboration product candidates other than an obligation to pay low single digit royalties to Merck on the net sales of such collaboration product candidates if they are successfully developed.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0" w:name="page41"/>
    <w:bookmarkEnd w:id="40"/>
    <w:p>
      <w:pPr>
        <w:ind w:left="400"/>
        <w:spacing w:after="0"/>
        <w:rPr>
          <w:sz w:val="20"/>
          <w:szCs w:val="20"/>
          <w:color w:val="auto"/>
        </w:rPr>
      </w:pPr>
      <w:r>
        <w:rPr>
          <w:rFonts w:ascii="Arial" w:cs="Arial" w:eastAsia="Arial" w:hAnsi="Arial"/>
          <w:sz w:val="18"/>
          <w:szCs w:val="18"/>
          <w:b w:val="1"/>
          <w:bCs w:val="1"/>
          <w:i w:val="1"/>
          <w:iCs w:val="1"/>
          <w:color w:val="auto"/>
        </w:rPr>
        <w:t>NGM Option to Elect Cost and Profit Share and Merck Financial Assistance</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If Merck exercises its license option, then we have the option, for a specified limited period of time at the start of the first Phase 3 clinical trial by Merck for a compound in that Merck Licensed Program, to elect to participate in a worldwide cost and profit share with Merck on that compound. Where we exercise such an option, we refer to such compound as an NGM Optioned Product. As part of our election to exercise our option to participate in a cost and profit share, we also select the percentage share—up to 50%—that we desire to fund of the total global costs of developing and, if approved, commercializing that NGM Optioned Product. The percentage of any profits we will receive from sales of an NGM Optioned Product will be the same as the percentage share we elect to contribute to funding costs. Our right to participate in cost and profit sharing under the Collaboration Agreement is subject to the following limitation: if at the point in time when we are exercising our option for a compound the actual costs we have incurred across all NGM Optioned Products, plus the prospective costs allocated to us across all NGM Optioned Products, plus the costs we are electing to incur if we were to exercise our option for the compound, reaches $1.4 billion (if the research phase ends in 2022) or $1.8 billion (if the research phase is extended to 2024), then we will not be able to exercise our option on any further compounds from Merck Licensed Programs that Merck takes forward.</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Collaboration Agreement also provides that, following our election to enter into a cost and profit share on an NGM Optioned Product, Merck will advance to us and/or assume up to 25% of our share of the global development costs for that NGM Optioned Product. These advances/assumed costs are subject to the aggregate cap across all NGM Optioned Products over the course of the collaboration described above. We refer to the amount Merck advances/assumes as the Advanced Amount. All Advanced Amounts accrue interest, are treated as an accumulated but deferred cost that we owe to Merck and are recouped by Merck in full out of our share of any profits resulting from sales of that NGM Optioned Product before we are entitled to receive any of those profits. If an NGM Optioned Product fails to generate profit sufficient to repay the balance of the Advanced Amount, the balance will be carried forward and recouped in full out of our share of any profits resulting from sales of any subsequent NGM Optioned Product(s), even if we did not obtain any advances from Merck on our share of costs for such subsequent NGM Optioned Product(s). We are responsible for directly funding all global development and commercialization costs of an NGM Optioned Product that exceed any Advanced Amount.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Co-Detailing Rights in the United States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For each NGM Optioned Product, we also have the option to participate in a portion of the commercial promotion, which we refer to as co-detailing, alongside Merck by providing up to 25% of the total requisite details in the United States of that NGM Optioned Product by fielding our own commercial sales force. We are required to make this election for an NGM Optioned Product prior to that product receiving regulatory approval in the United States. The specifics of our participation in co-detailing will be determined by the parties according to guidelines set out in the Collaboration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Small Molecule Research and Development</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Under our Collaboration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phase of the collaboration and that, but for use of our confidential and proprietary information, Merck would not have discovered. If Merck ultimately does not exercise its license option to a collaboration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such a license from us, in some cases at the same rates as those we are eligible to receive from Merck for a Merck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left="400"/>
        <w:spacing w:after="0"/>
        <w:rPr>
          <w:sz w:val="20"/>
          <w:szCs w:val="20"/>
          <w:color w:val="auto"/>
        </w:rPr>
      </w:pPr>
      <w:r>
        <w:rPr>
          <w:rFonts w:ascii="Arial" w:cs="Arial" w:eastAsia="Arial" w:hAnsi="Arial"/>
          <w:sz w:val="18"/>
          <w:szCs w:val="18"/>
          <w:b w:val="1"/>
          <w:bCs w:val="1"/>
          <w:i w:val="1"/>
          <w:iCs w:val="1"/>
          <w:color w:val="auto"/>
        </w:rPr>
        <w:t>Collaboration Governance</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collaboration with Merck is managed by a set of joint committees composed of equal numbers of representatives from us and Merck. A joint research committee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For MK-3655 and any other Merck Licensed Program, a joint late development committee oversees and coordinates development. A joint commercialization committee will oversee the commercialization of any NGM Optioned Compound arising from a Merck Optioned Program.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Merck Licensed Program matters and late development and commercialization matters following the exercise of its option for a particular program.</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Diligence</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and Merck must each use commercially reasonable efforts to perform all of our respective activities under the collaboration.</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Exclusivity</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During the research phase, we may not directly or indirectly research, develop, manufacture or commercialize, outside of the collaboration, any product with specified activity against any target that we are researching or developing under the collaboration. After the research phase, if Merck exercises its license option for a collaboration program, we may not directly or indirectly research, develop, manufacture or commercialize any product with specified activity against the target that is the subject of that Merck Licensed Program for so long as Merck’s license to that program remains in effect.</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In exchange for these various rights and access to our drug discovery approach, in 2015 Merck paid us an upfront cash fee of $94.0 million and purchased approximately $106.0 million of our Series E convertible preferred stock.</w:t>
      </w:r>
    </w:p>
    <w:p>
      <w:pPr>
        <w:spacing w:after="0" w:line="8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Under the current terms of the Collaboration Agreement, Merck is required to pay a $20.0 million extension fee each time it elects to exercise its unilateral right to extend the research phase of the collaboration for an additional two-year term. As part of Merck’s first extension of the research phase of the collaboration in 2019, Merck agreed to continue to fund our research and development efforts up to $75.0 million each year consistent with the initial five-year term and, in lieu of a $20.0 million extension fee payable to us, during such two-year extension period Merck agreed to make additional payments totaling up to $20.0 million in support of our research and development activities during 2021 and in the first quarter of 2022.</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Each time Merck exercises its license option following completion of a human proof-of-concept study, Merck is required to pay us an option fee of $20.0 million for such Merck Licensed Program. In December 2018, we received a $20.0 million payment from Merck in connection with the exercise of its license option for the MK-3655 program.</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If we do not elect to enter into a cost and profit sharing arrangement for a compound we have licensed to Merck, we are eligible to receive an aggregate of up to $449.0 million in pre-commercial milestone payments, of which $77.7 million relates to the potential achievement of specific clinical development events and $371.3 million relates to the potential achievement of certain regulatory events with respect to the licensed compound for the first three indications in the United States, European Union, or EU, and Japan.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802"/>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6"/>
              <w:spacing w:after="0"/>
              <w:rPr>
                <w:sz w:val="20"/>
                <w:szCs w:val="20"/>
                <w:color w:val="auto"/>
              </w:rPr>
            </w:pPr>
            <w:r>
              <w:rPr>
                <w:rFonts w:ascii="Arial" w:cs="Arial" w:eastAsia="Arial" w:hAnsi="Arial"/>
                <w:sz w:val="16"/>
                <w:szCs w:val="16"/>
                <w:b w:val="1"/>
                <w:bCs w:val="1"/>
                <w:color w:val="auto"/>
                <w:w w:val="97"/>
              </w:rPr>
              <w:t>First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6"/>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Third</w:t>
            </w:r>
          </w:p>
        </w:tc>
      </w:tr>
      <w:tr>
        <w:trPr>
          <w:trHeight w:val="207"/>
        </w:trPr>
        <w:tc>
          <w:tcPr>
            <w:tcW w:w="5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6"/>
              <w:spacing w:after="0"/>
              <w:rPr>
                <w:sz w:val="20"/>
                <w:szCs w:val="20"/>
                <w:color w:val="auto"/>
              </w:rPr>
            </w:pPr>
            <w:r>
              <w:rPr>
                <w:rFonts w:ascii="Arial" w:cs="Arial" w:eastAsia="Arial" w:hAnsi="Arial"/>
                <w:sz w:val="16"/>
                <w:szCs w:val="16"/>
                <w:b w:val="1"/>
                <w:bCs w:val="1"/>
                <w:color w:val="auto"/>
              </w:rPr>
              <w:t>Indication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6"/>
              <w:spacing w:after="0"/>
              <w:rPr>
                <w:sz w:val="20"/>
                <w:szCs w:val="20"/>
                <w:color w:val="auto"/>
              </w:rPr>
            </w:pPr>
            <w:r>
              <w:rPr>
                <w:rFonts w:ascii="Arial" w:cs="Arial" w:eastAsia="Arial" w:hAnsi="Arial"/>
                <w:sz w:val="16"/>
                <w:szCs w:val="16"/>
                <w:b w:val="1"/>
                <w:bCs w:val="1"/>
                <w:color w:val="auto"/>
              </w:rPr>
              <w:t>Indication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Indication</w:t>
            </w:r>
          </w:p>
        </w:tc>
      </w:tr>
      <w:tr>
        <w:trPr>
          <w:trHeight w:val="209"/>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w:t>
            </w:r>
          </w:p>
        </w:tc>
        <w:tc>
          <w:tcPr>
            <w:tcW w:w="7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9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the first Phase 3 clinical trial for such product for the given</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indication</w:t>
            </w:r>
          </w:p>
        </w:tc>
        <w:tc>
          <w:tcPr>
            <w:tcW w:w="9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4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various regulatory events for each of the three indications, for each of the three geographic areas,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First</w:t>
            </w:r>
          </w:p>
        </w:tc>
        <w:tc>
          <w:tcPr>
            <w:tcW w:w="240" w:type="dxa"/>
            <w:vAlign w:val="bottom"/>
          </w:tcPr>
          <w:p>
            <w:pPr>
              <w:spacing w:after="0"/>
              <w:rPr>
                <w:sz w:val="16"/>
                <w:szCs w:val="16"/>
                <w:color w:val="auto"/>
              </w:rPr>
            </w:pPr>
          </w:p>
        </w:tc>
        <w:tc>
          <w:tcPr>
            <w:tcW w:w="1260" w:type="dxa"/>
            <w:vAlign w:val="bottom"/>
          </w:tcPr>
          <w:p>
            <w:pPr>
              <w:jc w:val="right"/>
              <w:ind w:right="373"/>
              <w:spacing w:after="0"/>
              <w:rPr>
                <w:sz w:val="20"/>
                <w:szCs w:val="20"/>
                <w:color w:val="auto"/>
              </w:rPr>
            </w:pPr>
            <w:r>
              <w:rPr>
                <w:rFonts w:ascii="Arial" w:cs="Arial" w:eastAsia="Arial" w:hAnsi="Arial"/>
                <w:sz w:val="16"/>
                <w:szCs w:val="16"/>
                <w:b w:val="1"/>
                <w:bCs w:val="1"/>
                <w:color w:val="auto"/>
              </w:rPr>
              <w:t>Second</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320"/>
              <w:spacing w:after="0"/>
              <w:rPr>
                <w:sz w:val="20"/>
                <w:szCs w:val="20"/>
                <w:color w:val="auto"/>
              </w:rPr>
            </w:pPr>
            <w:r>
              <w:rPr>
                <w:rFonts w:ascii="Arial" w:cs="Arial" w:eastAsia="Arial" w:hAnsi="Arial"/>
                <w:sz w:val="16"/>
                <w:szCs w:val="16"/>
                <w:b w:val="1"/>
                <w:bCs w:val="1"/>
                <w:color w:val="auto"/>
              </w:rPr>
              <w:t>Third</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43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Indication</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Indication</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Indication</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FF0FC"/>
            </w:tcBorders>
          </w:tcPr>
          <w:p>
            <w:pPr>
              <w:spacing w:after="0"/>
              <w:rPr>
                <w:sz w:val="18"/>
                <w:szCs w:val="18"/>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European Union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20" w:type="dxa"/>
            <w:vAlign w:val="bottom"/>
            <w:shd w:val="clear" w:color="auto" w:fill="CFF0FC"/>
          </w:tcPr>
          <w:p>
            <w:pPr>
              <w:spacing w:after="0"/>
              <w:rPr>
                <w:sz w:val="18"/>
                <w:szCs w:val="18"/>
                <w:color w:val="auto"/>
              </w:rPr>
            </w:pPr>
          </w:p>
        </w:tc>
      </w:tr>
      <w:tr>
        <w:trPr>
          <w:trHeight w:val="209"/>
        </w:trPr>
        <w:tc>
          <w:tcPr>
            <w:tcW w:w="4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165,000</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123,750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371,250</w:t>
            </w:r>
          </w:p>
        </w:tc>
        <w:tc>
          <w:tcPr>
            <w:tcW w:w="1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are also eligible to receive commercial milestone payments of up to $125.0 million payable for such licensed product and to receive royalties at ascending low double digit to mid-teen percentage rates, depending on the level of net sales Merck achieves worldwide for each licensed product.</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If Merck does not exercise its license option to a compound and we commercialize that compound or its related molecules, we will owe Merck royalties on sales of those compounds at low single digit rates. If Merck exercises its license option but then terminates its license to a program, such as the GDF15 receptor agonist program, and we take compounds in that program forward, we also owe Merck royalties on sales of those compounds at low single digit rates.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After the research phase, Merck may terminate the overall Collaboration Agreement for convenience upon written notice. Subject to certain limitations, Merck may partially terminate the Collaboration Agreement for convenience as it relates to any Merck Licensed Program on written notice. Merck may also terminate the Collaboration Agreement as it relates to its rights to research and develop small molecule compounds.</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Either we or Merck may terminate the Collaboration Agreement with respect to a specific Merck Licensed Program if the other party is in material breach of its obligations regarding that specific program and fails to cure the breach within the specified cure period. If Merck terminates a Merck Licensed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relevant Merck Licensed Program. Finally, if Merck terminates a Merck Licensed Program for our breach and there are no other Merck Licensed Programs at such time, then we would also be required to commence repaying any Advanced Amounts outstanding with respect to such NGM Optioned Products. If we had already exercised our option to participate in global cost and profit sharing of one or more NGM Optioned Products arising from the Merck Licensed Program as of the time of termination, the option would remain in effect.</w:t>
      </w:r>
    </w:p>
    <w:p>
      <w:pPr>
        <w:spacing w:after="0" w:line="9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If we terminate a Merck Licensed Program for uncured breach by Merck, or if Merck terminates a Merck Licensed Program for convenience, all licenses granted to Merck with respect to such program will terminate and Merck will assign to us all related regulatory filings and approvals, grant us an exclusive license under Merck’s intellectual property related to the terminated program for use in the further development and commercialization of products arising under the terminated program, subject to the payment of a modest royalty back to Merck, and provide certain other transition assistance to us.</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Merck also has the right to terminate the Collaboration Agreement as it relates to Merck’s license to any particular licensed small molecule compound for convenience or for an uncured material breach by us on written notice. We in turn have the right to terminate if Merck has failed to cure any material breach as it relates to any licensed small molecule compound. If Merck terminates for convenience, or we terminate for such breach 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3" w:name="page44"/>
    <w:bookmarkEnd w:id="43"/>
    <w:p>
      <w:pPr>
        <w:jc w:val="both"/>
        <w:spacing w:after="0" w:line="238" w:lineRule="auto"/>
        <w:rPr>
          <w:sz w:val="20"/>
          <w:szCs w:val="20"/>
          <w:color w:val="auto"/>
        </w:rPr>
      </w:pPr>
      <w:r>
        <w:rPr>
          <w:rFonts w:ascii="Arial" w:cs="Arial" w:eastAsia="Arial" w:hAnsi="Arial"/>
          <w:sz w:val="18"/>
          <w:szCs w:val="18"/>
          <w:color w:val="auto"/>
        </w:rPr>
        <w:t>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small molecule compounds, but we would lose our rights to participate in the various governance committees as they relate to those small molecule compounds.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Effect of our Change in Control and Certain Competitive Acquisitions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If we undergo any change in control, which includes the acquisition of us by any third party, the sale of all or substantially all of our assets relating to the Collaboration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If our change in control involves another pharmaceutical company with significant annual sales of pharmaceutical products, which we refer to as a Pharma Acquisition, Merck would have certain additional rights that could only be exercised within the first year following the Pharma Acquisition. These include: limiting our right to cost and profit share; Merck ceasing to provide any additional Advanced Amounts with respect to one or more Merck Licensed Programs; requiring us to repay any or all then-outstanding Advanced Amounts, plus interest, in installments; and termination of our co-detailing rights. Merck would also have the right following any Pharma Acquisition to terminate or restrict our participation on the various governance committees and to limit the information it provides to us to higher level summaries.</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If our acquirer in the event of a change in control is at that time pursuing research, development, commercialization or manufacturing of, or otherwise has any rights to, any compounds that modulate a target that is the subject of an Merck Licensed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Merck Licensed Program that have the same target as the Competing Mature Program; requiring us to repay any or all then-outstanding Advanced Amounts, plus interest, in installments, with respect to any compounds arising from that Merck Licensed Program;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 and profits with respect to any such compounds, if exercised, would remain in effect, as would any milestone or royalty payment obligations of Merck with respect to the compounds.</w:t>
      </w:r>
    </w:p>
    <w:p>
      <w:pPr>
        <w:spacing w:after="0" w:line="9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Past Equity Investments by Merck</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Concurrently with the execution of our Collaboration Agreement with Merck, we entered into a stock purchase agreement with Merck for the purchase of 8,833,333 shares of our Series E convertible preferred stock, for an aggregate purchase price of approximately $106.0 million. In addition, concurrent with the closing of our initial public offering, or IPO, in April 2019, we issued 4,121,683 shares of our common stock to Merck in a private placement at a price of $16.00 per share for proceeds of $65.9 million, which resulted in Merck owning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4" w:name="page45"/>
    <w:bookmarkEnd w:id="44"/>
    <w:p>
      <w:pPr>
        <w:jc w:val="both"/>
        <w:spacing w:after="0" w:line="238" w:lineRule="auto"/>
        <w:rPr>
          <w:sz w:val="20"/>
          <w:szCs w:val="20"/>
          <w:color w:val="auto"/>
        </w:rPr>
      </w:pPr>
      <w:r>
        <w:rPr>
          <w:rFonts w:ascii="Arial" w:cs="Arial" w:eastAsia="Arial" w:hAnsi="Arial"/>
          <w:sz w:val="18"/>
          <w:szCs w:val="18"/>
          <w:color w:val="auto"/>
        </w:rPr>
        <w:t>approximately 19.9% of our outstanding shares as of the time of the IPO. If Merck elects to further extend the research phase of our collaboration until March 17, 2024, it has the option to purchase an additional $5.0 million of our common stock at a price per share equal to the last closing price of our shares on the date it notifies us of its desire to exercise such option, with such option subject to an overall cap on Merck’s ownership interest of 19.9%.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do not own, and have no plans to establish, any manufacturing facilities. We currently use third-party contract development and manufacturing organizations or contract manufacturing organizations, which we refer to collectively as CMOs, to manufacture and supply all of the raw materials, drug substances and drug products for our research and development programs, including all the clinical trial materials used in the clinical trials of our clinical-stage product candidates. We have established relationships with several CMOs, including Lonza Ltd. The activities of our CMOs are overseen by an experienced group of employees and third-party consultants.</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plan to continue to rely on CMOs to manufacture commercial quantities of any products for which we successfully obtain regulatory approval, as well as to provide packaging, storage and distribution of any approved products. We have not entered into long-term clinical or commercial supply agreements with any of our CMOs. In addition, each of our product candidates relies on a single contract manufacturer for supplies of its drug substance and drug product.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We do not currently have any approved products and do not expect to have any approved products in the near term. As a result, we have no marketing, sales or commercial product distribution capabilities.</w:t>
      </w:r>
    </w:p>
    <w:p>
      <w:pPr>
        <w:spacing w:after="0" w:line="8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order to commercialize any of our wholly-owned product candidates that successfully obtain regulatory approval, we must either develop a sales and marketing infrastructure or collaborate with third parties that have sales and marketing experience. If we expect that the indication or indications for which we are seeking approval for a particular product candidate have a relatively small number of prescribing physicians for the relevant patient population, we may elect to establish a commercialization structure to market and sell that product if it is approved, particularly for the U.S. market. If, however, a product would benefit from the support of a large sales and marketing force or for markets outside of the United States, we plan to seek support through partnerships with large pharmaceutical or biotechnology companies or companies with established commercialization capabilities in territories outside the United States.</w:t>
      </w:r>
    </w:p>
    <w:p>
      <w:pPr>
        <w:spacing w:after="0" w:line="95" w:lineRule="exact"/>
        <w:rPr>
          <w:sz w:val="20"/>
          <w:szCs w:val="20"/>
          <w:color w:val="auto"/>
        </w:rPr>
      </w:pPr>
    </w:p>
    <w:p>
      <w:pPr>
        <w:jc w:val="both"/>
        <w:ind w:right="20" w:firstLine="802"/>
        <w:spacing w:after="0"/>
        <w:rPr>
          <w:sz w:val="20"/>
          <w:szCs w:val="20"/>
          <w:color w:val="auto"/>
        </w:rPr>
      </w:pPr>
      <w:r>
        <w:rPr>
          <w:rFonts w:ascii="Arial" w:cs="Arial" w:eastAsia="Arial" w:hAnsi="Arial"/>
          <w:sz w:val="18"/>
          <w:szCs w:val="18"/>
          <w:color w:val="auto"/>
        </w:rPr>
        <w:t>For product candidates subject to the Merck collaboration that are optioned by Merck, Merck will be responsible for all commercialization activities for any resulting approved product, subject to our option to co-detail such product in the United States. If we elect to exercise our co-detail option, we will need to develop a U.S.-based commercial sales force to support those efforts.</w:t>
      </w:r>
    </w:p>
    <w:p>
      <w:pPr>
        <w:spacing w:after="0" w:line="9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do not expect to make the decision about whether to establish a commercialization infrastructure for any wholly-owned approved products or to establish a U.S.-based commercial sales force in connection with the exercise of our co-detail option for a Merck optioned approved product until shortly before the time such products are approved for commercial sale, if they are approved at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strong position in research in certain areas of liver and metabolic diseases, retinal diseases and cancer, our competitors may be able to develop other compounds or drugs that are able to achieve similar or better results. Our competitors include multinational pharmaceutical companies, specialized biotechnology companies, universities and other research institutions. Smaller or earlier-stage companies also may prove to be significant competitors, particularly through collaborative arrangements with large, established companies. We believe the key competitive factors that will affect the development and commercial success of our product candidates are their efficacy, safety and tolerability profile, and reliability.</w:t>
      </w:r>
    </w:p>
    <w:p>
      <w:pPr>
        <w:spacing w:after="0" w:line="9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There are many pharmaceutical companies, biotechnology companies, public and private universities and research organizations actively engaged in the research and development of products that may be competitive to our products. A number of pharmaceutical companies, including AbbVie, Allergan, AstraZeneca,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jc w:val="both"/>
        <w:spacing w:after="0"/>
        <w:rPr>
          <w:sz w:val="20"/>
          <w:szCs w:val="20"/>
          <w:color w:val="auto"/>
        </w:rPr>
      </w:pPr>
      <w:r>
        <w:rPr>
          <w:rFonts w:ascii="Arial" w:cs="Arial" w:eastAsia="Arial" w:hAnsi="Arial"/>
          <w:sz w:val="18"/>
          <w:szCs w:val="18"/>
          <w:color w:val="auto"/>
        </w:rPr>
        <w:t>Bayer, Boehringer Ingelheim, Bristol-Myers Squibb, Eisai, Eli Lilly, GlaxoSmithKline, Johnson &amp; Johnson, Merck, Novartis, Novo Nordisk, Pfizer, Roche, Sanofi and Takeda, as well as large and small biotechnology companies such as 89Bio, Akero, Albireo, Alentis, Amgen, Apellis, Ascletis, Axcella, AVEO, Biond, Bird Rock, Can-Fite, CatalYm GmbH, Cirius, Enanta, Galectin, Galmed, Genfit, Gilead, Glympse, Immune-Onc, ImmunOS, Immuron, Intercept, Inventiva, Iveric, Jounce, Madrigal, MannKind, MediciNova, Metacrine, Mirum, Nalpropion, NextCure, North Sea, Promethera, Salix, Scholar Rock, Seal Rock, Terns, Tiziana, Viking and Vivus, are pursuing the development or marketing of pharmaceuticals that target the same diseases that we are targeting. It is probable that the number of companies seeking to develop products and therapies for the treatment of liver and metabolic diseases, retinal diseases and cancer will increase. For example, we are aware of other companies, including Enanta, Gilead, Intercept, Metacrine, Novartis and Terns that are seeking to develop FXR agonist drug candidates that modulate FGF19 for the treatment of NASH. Additionally, we are aware that Apellis is seeking to develop a PEGylated peptide inhibitor of C3 for GA. Many of these and other existing or potential competitors have substantially greater financial, technical, human and other resources than we have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39"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For more information regarding the competition that our most advanced product candidates face, or may face, see the discussion of specific competition for each product candidate in “Business—Key Therapeutic Areas and Pipeline Programs” above.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Our intellectual property is critical to our business and 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seek to protect the proprietary technology that we believe is important to our business through a variety of methods, including seeking and maintaining patents and patent applications intended to cover our product candidates, their compositions, their methods of use and the processes for their manufacture and any other aspects of inventions that are commercially important to the success of our business. We seek to obtain domestic and international patent protection and, in addition to filing and prosecuting patent applications in the United States, we may file counterpart patent applications in additional countries where we believe such foreign filing is likely to be beneficial.</w:t>
      </w:r>
    </w:p>
    <w:p>
      <w:pPr>
        <w:spacing w:after="0" w:line="9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As of December 31, 2020, our patent portfolio includes over 500 patents and applications, including over 40 issued U.S. patents and over 40 pending U.S. patent applications covering our product candidates, certain aspects of our proprietary technology, and related inventions and improvements. Our patent portfolio also includes over 400 patents and patent applications in jurisdictions outside of the United States that, in many cases, are counterparts to our U.S. patents and patent applications. A description of the patents and patent applications relating to our six most advanced product candidates are described above. The patent landscape surrounding our product candidates is crowded, and we do not know if our pending patent applications will be issued with the claims we are seeking or if our issued patents will withstand challenges from third parties.</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Not all patent applications result in the issuance of patents. Patent applications in the United States and certain other jurisdictions are maintained in secrecy for 18 months or potentially longer, so public disclosure of discoveries via the publication of patent applications or in the scientific literature is often delayed. As a result, we cannot be certain of the priority of inventions covered by our patent applications and may be subject to claims of priority from third parties or the United States Patent and Trademark Office, or USPTO, against which we will need to defend ourselves.</w:t>
      </w:r>
    </w:p>
    <w:p>
      <w:pPr>
        <w:spacing w:after="0" w:line="9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addition, the scope of claims that may be allowed in any granted patent may be significantly reduced from the coverage claimed in the initial patent application. Further, the scope of the claims in an issued patent may be reinterpreted and, in some cases, narrowed or even cancelled after issuance by courts upon review. 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18"/>
          <w:szCs w:val="18"/>
          <w:color w:val="auto"/>
        </w:rPr>
        <w:t>addition, many jurisdictions allow third parties to challenge issued patents in administrative proceedings which may result in further narrowing or cancellation of patent claims. As a result, even issued patents may not provide sufficient protection from competitors.</w:t>
      </w:r>
    </w:p>
    <w:p>
      <w:pPr>
        <w:spacing w:after="0" w:line="8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When patents are issued, the term of each individual patent will depend on the legal term for patents in the countries in which it is granted. In most countries, including the United States, the patent term is 20 years from the earliest claimed filing date of a non-provisional patent application in the applicable country. 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w:t>
      </w:r>
    </w:p>
    <w:p>
      <w:pPr>
        <w:spacing w:after="0" w:line="94" w:lineRule="exact"/>
        <w:rPr>
          <w:sz w:val="20"/>
          <w:szCs w:val="20"/>
          <w:color w:val="auto"/>
        </w:rPr>
      </w:pPr>
    </w:p>
    <w:p>
      <w:pPr>
        <w:jc w:val="both"/>
        <w:ind w:right="20" w:firstLine="802"/>
        <w:spacing w:after="0"/>
        <w:rPr>
          <w:sz w:val="20"/>
          <w:szCs w:val="20"/>
          <w:color w:val="auto"/>
        </w:rPr>
      </w:pPr>
      <w:r>
        <w:rPr>
          <w:rFonts w:ascii="Arial" w:cs="Arial" w:eastAsia="Arial" w:hAnsi="Arial"/>
          <w:sz w:val="18"/>
          <w:szCs w:val="18"/>
          <w:color w:val="auto"/>
        </w:rPr>
        <w:t>Any changes we make to the composition, formulation, method of delivery or other attributes of our current and future product candidates to cause them to have what we view as more advantageous properties may not be covered by our existing patents and patent applications, and we may be required to file new applications and/or seek other forms of protection.</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Even if patents are issued, if a third party engages in activities covered by valid claims of our patents, we may be required to engage in enforcement actions in the courts to enforce our patents. Not all enforcement proceedings are successful. We also must take care not to infringe the valid patents of third parties. Third-party patent rights that purport to cover our product candidates or their discovery, use or manufacture may require us to challenge their validity in court or administrative proceedings and prevail in such challenges, to alter our development or commercial strategy or our product candidates or their uses and manufacture, to obtain licenses to such patents and/or to stop certain activities altogether. We hold various licenses with third parties to their intellectual property, including those with Horizon Discovery Ltd., or Horizon, and Lonza Sales AG, or Lonza, described below. The patent positions of biotechnology companies like ours are generally uncertain and involve complex legal, scientific and factual questions. We may not obtain or maintain adequate patent protection for any of our programs and product candidates. For more discussion of the risks related to our patents and patent applications and our intellectual property generally, see "Risk Factors - Risks Related to Our Intellectual Property" in Part I, Item 1A of this Annual Report on Form 10-K.</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to patent protection, we also rely on trademark registration, trade secrets, know how, other proprietary information and continuing scientific innovation to develop and maintain our competitive position. We seek to maintain the confidentiality of proprietary information to protect aspects of our business that are not amenable to, or that we do not consider appropriate for, patent protection. As a part of these efforts, it is our policy to require our employees, consultants, outside scientific collaborators, sponsored researchers and other advisors to execute confidentiality agreements upon the commencement of their respective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Although we take these and other steps to safeguard our proprietary information and trade secrets, these agreements may be breached or third parties may independently develop substantially equivalent proprietary information and techniques or otherwise gain access to our trade secrets or disclose our technology. Thus, we may not be able to meaningfully protect our proprietary information that is not otherwise protect by patent. For information regarding the risks related to our intellectual property, see "Risk Factors - Risks Related to Our Intellectual Property."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Arrangements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Horizon License</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September 2019, we entered into a license agreement with Horizon in which we obtained a non-exclusive, non-transferable and non-sub-licensable license to use their proprietary GS knockout CHO K1 manufacturing cell line. We refer to this license as the Horizon License. The Horizon License will continue for ten years and allows us to manufacture and commercialize any current or future product candidates within the contractual term, including our product candidates that are currently subject to our collaboration with Merck.</w:t>
      </w:r>
    </w:p>
    <w:p>
      <w:pPr>
        <w:spacing w:after="0" w:line="9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Pursuant to the Horizon License, we paid Horizon a one-time, non-creditable and non-refundable license fee of $1.2 million, of which 50% was reimbursed by Merck. We are also subject to a license fee of $200,000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7" w:name="page48"/>
    <w:bookmarkEnd w:id="47"/>
    <w:p>
      <w:pPr>
        <w:jc w:val="both"/>
        <w:ind w:right="20"/>
        <w:spacing w:after="0" w:line="246" w:lineRule="auto"/>
        <w:rPr>
          <w:sz w:val="20"/>
          <w:szCs w:val="20"/>
          <w:color w:val="auto"/>
        </w:rPr>
      </w:pPr>
      <w:r>
        <w:rPr>
          <w:rFonts w:ascii="Arial" w:cs="Arial" w:eastAsia="Arial" w:hAnsi="Arial"/>
          <w:sz w:val="18"/>
          <w:szCs w:val="18"/>
          <w:color w:val="auto"/>
        </w:rPr>
        <w:t>each future strategic partner. We have the right to terminate the Horizon License upon written notice to Horizon and each party may also terminate the Horizon License in the event of the other party’s uncured material breach.</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Lonza License</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October 2014, we entered into a Multi-Product License Agreement, or the Lonza License, with Lonza under which we obtained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 We are also required to pay low single-digit royalties to Lonza based on net sales of any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of up to £300,000 per product if a party other than Lonza, we, our affiliates or our strategic partners (including Merck) manufactures certain product candidates for commercial activities. We are currently required to pay this fee for MK-3655 and NGM120. In accordance with the Lonza License, for certain additional product candidates, we are instead required to pay an annual license fee to Lonza of £25,000 per product candidate prior to the initiation of clinical development, and following the initiation of clinical development, £100,000, £150,000 or £300,000 annually per product candidate, respectively, if such product candidate is in a Phase 1, Phase 2 and Phase 3 clinical trial. We are currently required to pay this fee for NGM621.</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Approval in the United States</w:t>
      </w:r>
    </w:p>
    <w:p>
      <w:pPr>
        <w:spacing w:after="0" w:line="23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FDA and other regulatory health authorities at federal, state and local levels, as well as in foreign countries as described in more detail below,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and health authorities of the countries in which we wish to conduct studies or seek approval or licensure of our product candidates.</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w:t>
      </w:r>
    </w:p>
    <w:p>
      <w:pPr>
        <w:spacing w:after="0"/>
        <w:rPr>
          <w:sz w:val="20"/>
          <w:szCs w:val="20"/>
          <w:color w:val="auto"/>
        </w:rPr>
      </w:pPr>
      <w:r>
        <w:rPr>
          <w:rFonts w:ascii="Arial" w:cs="Arial" w:eastAsia="Arial" w:hAnsi="Arial"/>
          <w:sz w:val="18"/>
          <w:szCs w:val="18"/>
          <w:color w:val="auto"/>
        </w:rPr>
        <w:t>following:</w:t>
      </w:r>
    </w:p>
    <w:p>
      <w:pPr>
        <w:spacing w:after="0" w:line="104" w:lineRule="exact"/>
        <w:rPr>
          <w:sz w:val="20"/>
          <w:szCs w:val="20"/>
          <w:color w:val="auto"/>
        </w:rPr>
      </w:pPr>
    </w:p>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 or cGLP, regulation;</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a trial is commenced;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 including payment of substantial fees under the Prescription Drug User Fee Act, or PDUFA;</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8" w:name="page49"/>
    <w:bookmarkEnd w:id="48"/>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current Good Clinical Practices, or cGCP;</w:t>
      </w:r>
    </w:p>
    <w:p>
      <w:pPr>
        <w:spacing w:after="0" w:line="204"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specific indications for use in the United States.</w:t>
      </w:r>
    </w:p>
    <w:p>
      <w:pPr>
        <w:spacing w:after="0" w:line="1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and civil or criminal fines or penalties. Any agency or judicial enforcement action could have a material adverse effect on our business, the market acceptance of our products and our reputation.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an IND sponsor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concerns or questions regarding safety or conduct of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9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Phase 1, Phase 2, Phase 3 and other types of clinical trials may not be completed successfully within any specified period, if at all. The FDA, an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study sponsor, known as a data safety monitoring board or committee, which provides authorization for whether a trial may move forward at designated checkpoints based on access to certain data from the trial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9" w:name="page50"/>
    <w:bookmarkEnd w:id="49"/>
    <w:p>
      <w:pPr>
        <w:ind w:left="80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90" w:lineRule="exact"/>
        <w:rPr>
          <w:sz w:val="20"/>
          <w:szCs w:val="20"/>
          <w:color w:val="auto"/>
        </w:rPr>
      </w:pPr>
    </w:p>
    <w:p>
      <w:pPr>
        <w:jc w:val="both"/>
        <w:ind w:left="800" w:hanging="401"/>
        <w:spacing w:after="0" w:line="24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3" w:lineRule="exact"/>
        <w:rPr>
          <w:rFonts w:ascii="Arial" w:cs="Arial" w:eastAsia="Arial" w:hAnsi="Arial"/>
          <w:sz w:val="18"/>
          <w:szCs w:val="18"/>
          <w:color w:val="auto"/>
        </w:rPr>
      </w:pPr>
    </w:p>
    <w:p>
      <w:pPr>
        <w:jc w:val="both"/>
        <w:ind w:left="800" w:hanging="401"/>
        <w:spacing w:after="0" w:line="24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3" w:lineRule="exact"/>
        <w:rPr>
          <w:rFonts w:ascii="Arial" w:cs="Arial" w:eastAsia="Arial" w:hAnsi="Arial"/>
          <w:sz w:val="18"/>
          <w:szCs w:val="18"/>
          <w:color w:val="auto"/>
        </w:rPr>
      </w:pPr>
    </w:p>
    <w:p>
      <w:pPr>
        <w:jc w:val="both"/>
        <w:ind w:left="800" w:hanging="401"/>
        <w:spacing w:after="0" w:line="24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8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are called Phase 4 studies and may be made a condition to approval of the BLA. These trials are used to gain additional experience from the treatment of patients in the intended therapeutic indication and are commonly intended to generate additional safety data regarding use of the product in a clinical setting or in some cases to support full approval for products that are approved via an accelerated pathway as described below.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for biologics, must develop methods for testing the identity, strength, quality, purity and potency of the product. Additionally, appropriate packaging must be selected and tested and stability studies must be conducted to demonstrate that the product candidate does not undergo unacceptable deterioration over its shelf life.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obtained from clinical trials are not always conclusive and the FDA may interpret data differently than we interpret the same data. The submission of a BLA requires payment of a substantial application user fee to FDA, unless a waiver or exemption applies.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Once a BLA has been submitted, the FDA generally makes a decision on the acceptance of the application for filing within 60 days of receipt.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0" w:name="page51"/>
    <w:bookmarkEnd w:id="50"/>
    <w:p>
      <w:pPr>
        <w:jc w:val="both"/>
        <w:spacing w:after="0" w:line="246" w:lineRule="auto"/>
        <w:rPr>
          <w:sz w:val="20"/>
          <w:szCs w:val="20"/>
          <w:color w:val="auto"/>
        </w:rPr>
      </w:pPr>
      <w:r>
        <w:rPr>
          <w:rFonts w:ascii="Arial" w:cs="Arial" w:eastAsia="Arial" w:hAnsi="Arial"/>
          <w:sz w:val="18"/>
          <w:szCs w:val="18"/>
          <w:color w:val="auto"/>
        </w:rPr>
        <w:t>Notwithstanding the submission of any requested additional information, the FDA ultimately may decide that the application does not satisfy the regulatory criteria for approval.</w:t>
      </w:r>
    </w:p>
    <w:p>
      <w:pPr>
        <w:spacing w:after="0" w:line="8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completion of other significant and time-consuming requirements related to clinical trials, and/or conduct of additional preclinical studies or manufacturing activities. Even if such data and information are submitted, the FDA may determine that the BLA does not satisfy the criteria for approval. FDA approval of a BLA must be obtained before a biologic may be marketed in the United States. The FDA may delay or refuse approval of a BLA, require additional testing or information and/or require post-marketing testing and surveillance to monitor safety or efficacy of a product.</w:t>
      </w:r>
    </w:p>
    <w:p>
      <w:pPr>
        <w:spacing w:after="0" w:line="9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 sponsor may seek to develop and obtain approval of its product candidates under programs designed to accelerate the FDA review and approval of marketing applications for new drugs and biologics that meet certain criteria, such as the Fast Track program, priority review, accelerated approval, breakthrough therapy designation and Real-Time Oncology Review, or ROTR, Pilot Program.</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FDA Fast Track program is intended to facilitate development and expedite review of new drugs and biologics that are intended to treat a serious or life-threatening disease or condition and that demonstrate potential to address an unmet medical need. For a Fast Track-designated product, there may be more frequent meetings and communication with the FDA, and early and frequent communication between the FDA and sponsor is encouraged throughout the entire development and review process. The FDA may consider sections of a BLA for review on a rolling basis if certain conditions are satisfied, including an agreement with the FDA on the proposed schedule for submission of portions of the application and the payment of applicable user fees before the FDA may initiate a review. The product may also be eligible for priority review and accelerated approval. The sponsor can request the FDA to designate the product for Fast Track status any time before receiving BLA approval, but ideally no later than the pre-BLA meeting.</w:t>
      </w:r>
    </w:p>
    <w:p>
      <w:pPr>
        <w:spacing w:after="0" w:line="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Priority Review</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Generally, the FDA follows a two-tiered system of review times, standard review and priority review. For a product that receives priority review designation, the FDA has the goal of taking action on the marketing application within six months of the 60-day filing date, compared to ten months under standard review. However, the FDA does not always meet its PDUFA goal dates for standard and priority BLAs, and the review process is often extended by FDA requests for additional information or clarification. A priority review designation is applicable for products that, if approved, would be significant improvements in the safety or effectiveness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1" w:name="page52"/>
    <w:bookmarkEnd w:id="51"/>
    <w:p>
      <w:pPr>
        <w:jc w:val="both"/>
        <w:spacing w:after="0" w:line="238" w:lineRule="auto"/>
        <w:rPr>
          <w:sz w:val="20"/>
          <w:szCs w:val="20"/>
          <w:color w:val="auto"/>
        </w:rPr>
      </w:pPr>
      <w:r>
        <w:rPr>
          <w:rFonts w:ascii="Arial" w:cs="Arial" w:eastAsia="Arial" w:hAnsi="Arial"/>
          <w:sz w:val="18"/>
          <w:szCs w:val="18"/>
          <w:color w:val="auto"/>
        </w:rPr>
        <w:t>treatment, diagnosis, or prevention of serious conditions when compared to marketed products. The FDA decides on the review designation for every application, however an applicant may expressly request priority review. The FDA informs the applicant of a priority review designation within 60 days of the receipt of the original marketing application. If criteria are not met for priority review, the application is subject to the standard FDA review period of ten months after FDA accepts the application for filing. Priority review designation does not change the scientific or medical standard for approval, or the quality of evidence necessary to support approval.</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Accelerated Approval</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the FDA may base accelerated approval for drugs and biologics for serious conditions that fill an unmet medical need on whether the drug or biologic has an effect on a surrogate or an intermediate clinical endpoint. A surrogate endpoint used for accelerated approval is a marker, such as a laboratory measurement, radiographic image, physical sign or other measure that is thought to predict clinical benefit but is not itself a measure of clinical benefit. Likewise, an intermediate clinical endpoint is a measure of a therapeutic effect that is considered reasonably likely to predict the clinical benefit of a product, such as an effect on irreversible morbidity and mortality, or IMM. The FDA bases its decision on whether to accept the proposed surrogate or intermediate clinical endpoint on the scientific support for that endpoint. As a condition of accelerated approval, the FDA will generally require the sponsor to perform adequate and well-controlled post-marketing clinical studies to verify and describe the anticipated effect on IMM or other clinical benefit. Where confirmatory trials verify clinical benefit, FDA will generally terminate the requirement. Approval of a product may be withdrawn or the labeled indication of the product changed, if trials fail to verify clinical benefit or do not demonstrate sufficient clinical benefit to justify the risks associated with the product, for example, if the product shows a significantly smaller magnitude or duration of benefit than was anticipated based on the observed effect on the surrogate endpoint. In addition, the FDA currently requires as a condition for accelerated approval the pre-approval of promotional materials, which could adversely impact the timing of the commercial launch of the product.</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2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8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Real-Time Oncology Review Pilot Program</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FDA has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FDA to review data earlier, before an applicant formally submits a complete application. The RTOR pilot program does not affect FDA’s PDUFA timelines.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2" w:name="page53"/>
    <w:bookmarkEnd w:id="52"/>
    <w:p>
      <w:pPr>
        <w:jc w:val="both"/>
        <w:ind w:firstLine="802"/>
        <w:spacing w:after="0"/>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breakthrough therapy designation and ROTR pilot program do not change the standards for product approval.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Rare Pediatric Disease Designation and Priority Review Vouchers</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Under the Federal Food, Drug and Cosmetic Act, or FDCA, as amended, the FDA incentivizes the development of drugs and biologics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BLA. A rare pediatric disease designation does not guarantee that a sponsor will receive a PRV upon approval of its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 and Pediatric Exclusivity</w:t>
      </w:r>
    </w:p>
    <w:p>
      <w:pPr>
        <w:spacing w:after="0" w:line="126" w:lineRule="exact"/>
        <w:rPr>
          <w:sz w:val="20"/>
          <w:szCs w:val="20"/>
          <w:color w:val="auto"/>
        </w:rPr>
      </w:pPr>
    </w:p>
    <w:p>
      <w:pPr>
        <w:jc w:val="both"/>
        <w:ind w:firstLine="872"/>
        <w:spacing w:after="0" w:line="237" w:lineRule="auto"/>
        <w:rPr>
          <w:sz w:val="20"/>
          <w:szCs w:val="20"/>
          <w:color w:val="auto"/>
        </w:rPr>
      </w:pPr>
      <w:r>
        <w:rPr>
          <w:rFonts w:ascii="Arial" w:cs="Arial" w:eastAsia="Arial" w:hAnsi="Arial"/>
          <w:sz w:val="18"/>
          <w:szCs w:val="18"/>
          <w:color w:val="auto"/>
        </w:rPr>
        <w:t>Under the Pediatric Research Equity Act, or PREA, certain BLAs and certain supplements to a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3" w:name="page54"/>
    <w:bookmarkEnd w:id="53"/>
    <w:p>
      <w:pPr>
        <w:jc w:val="both"/>
        <w:spacing w:after="0" w:line="237" w:lineRule="auto"/>
        <w:rPr>
          <w:sz w:val="20"/>
          <w:szCs w:val="20"/>
          <w:color w:val="auto"/>
        </w:rPr>
      </w:pPr>
      <w:r>
        <w:rPr>
          <w:rFonts w:ascii="Arial" w:cs="Arial" w:eastAsia="Arial" w:hAnsi="Arial"/>
          <w:sz w:val="18"/>
          <w:szCs w:val="18"/>
          <w:color w:val="auto"/>
        </w:rPr>
        <w:t>Plan, or PSP.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w:t>
      </w:r>
    </w:p>
    <w:p>
      <w:pPr>
        <w:spacing w:after="0" w:line="94"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FDA regulations that require, among other things, quality control and quality assurance, the maintenance of records and documentation and the obligation to investigate and correct any deviations from cGMP. FDA regulations also impose reporting requirements upon sponsors and their third-party manufacturers. Manufacturers and other entities involved in the manufacture and distribution of approved biologics are required to register their establishments with the FDA and certain state agencies and are subject to periodic unannounced inspections by the FDA and certain state agencies for compliance with cGMP requirements and other laws, which impose certain procedural and documentation requirements upon sponsors and their third-party manufacturers. Accordingly, manufacturers must continue to expend time, money and effort in the area of production and quality control to maintain cGMP compliance and other aspects of regulatory compliance. The discovery of violative conditions, including failure to conform to cGMP regulations, could result in enforcement actions, and the discovery of problems with a product after approval may result in restrictions on a product, manufacturer or holder of an approved BLA, including recall.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sponsors and their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sponsors and their third-party manufacturers. Accordingly, manufacturers must continue to expend time, money and effort in the area of production and quality control to maintain compliance with cGMP and other aspects of regulatory compliance.</w:t>
      </w:r>
    </w:p>
    <w:p>
      <w:pPr>
        <w:spacing w:after="0" w:line="10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FDA may also place other conditions on approvals including the requirement for a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imposition of distribution restrictions or other restrictions under a REMS program. Other potential consequences include, among other things:</w:t>
      </w:r>
    </w:p>
    <w:p>
      <w:pPr>
        <w:spacing w:after="0" w:line="320" w:lineRule="exact"/>
        <w:rPr>
          <w:sz w:val="20"/>
          <w:szCs w:val="20"/>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and misbranding. Failure to comply with these requirements can result in, among other things, adverse publicity, warning letters, corrective actions, including corrective advertising, and potential civil and criminal penalties, including monetary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(or thirty days in advance of their first use if approved via the accelerated approval pathway). Further, if there are any modifications to the drug or biologic,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 and Reference Product Exclusivity</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collectively referred to as the ACA, signed into law in 2010, includes a subtitle called the Biologics Price Competition and Innovation Act of 2009, or BPCIA, which created an abbreviated approval pathway for biological products that are shown to be similar to or interchangeable with an FDA-approved reference biological product.</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spacing w:after="0" w:line="98"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5" w:name="page56"/>
    <w:bookmarkEnd w:id="55"/>
    <w:p>
      <w:pPr>
        <w:jc w:val="both"/>
        <w:spacing w:after="0"/>
        <w:rPr>
          <w:sz w:val="20"/>
          <w:szCs w:val="20"/>
          <w:color w:val="auto"/>
        </w:rPr>
      </w:pPr>
      <w:r>
        <w:rPr>
          <w:rFonts w:ascii="Arial" w:cs="Arial" w:eastAsia="Arial" w:hAnsi="Arial"/>
          <w:sz w:val="18"/>
          <w:szCs w:val="18"/>
          <w:color w:val="auto"/>
        </w:rPr>
        <w:t>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and implementation of the BPCIA is subject to significant uncertainty.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in addition to the FDA, including but not limited to, the Centers for Medicare &amp; Medicaid Services, or CMS, other divisions of the United States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federal Anti-Kickback Statute, the false claims laws, the privacy and security provisions of the Health Insurance Portability and Accountability Act, or HIPAA, and similar state laws, each as amended, as applicable.</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9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or FCA.</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 xml:space="preserve">The federal false claims and civil monetary penalty laws, including the FCA, which imposes significant penalties and can be enforced by private citizens through civil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Companies also have been prosecuted for causing false claims to be submitted because of the companies’ marketing of the product for unapproved, off-label, and thus generally non-reimbursable, uses.</w:t>
      </w:r>
    </w:p>
    <w:p>
      <w:pPr>
        <w:spacing w:after="0" w:line="98"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6" w:name="page57"/>
    <w:bookmarkEnd w:id="56"/>
    <w:p>
      <w:pPr>
        <w:jc w:val="both"/>
        <w:spacing w:after="0" w:line="238" w:lineRule="auto"/>
        <w:rPr>
          <w:sz w:val="20"/>
          <w:szCs w:val="20"/>
          <w:color w:val="auto"/>
        </w:rPr>
      </w:pPr>
      <w:r>
        <w:rPr>
          <w:rFonts w:ascii="Arial" w:cs="Arial" w:eastAsia="Arial" w:hAnsi="Arial"/>
          <w:sz w:val="18"/>
          <w:szCs w:val="18"/>
          <w:color w:val="auto"/>
        </w:rPr>
        <w:t>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94"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8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9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9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Additionally, the federal Physician Payments Sunshine Act, or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 Failure to report accurately could result in penalties.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7" w:name="page58"/>
    <w:bookmarkEnd w:id="57"/>
    <w:p>
      <w:pPr>
        <w:jc w:val="both"/>
        <w:ind w:firstLine="802"/>
        <w:spacing w:after="0"/>
        <w:rPr>
          <w:sz w:val="20"/>
          <w:szCs w:val="20"/>
          <w:color w:val="auto"/>
        </w:rPr>
      </w:pPr>
      <w:r>
        <w:rPr>
          <w:rFonts w:ascii="Arial" w:cs="Arial" w:eastAsia="Arial" w:hAnsi="Arial"/>
          <w:sz w:val="18"/>
          <w:szCs w:val="18"/>
          <w:color w:val="auto"/>
        </w:rPr>
        <w:t>In addition, many states also govern the reporting of such payments or other transfers of value, many of which differ from each other in significant ways, are often not pre-empted and may have a more prohibitive effect than the Sunshine Act, thus further complicating compliance efforts.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9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 xml:space="preserve">The scope and enforcement of each of these laws is uncertain and subject to rapid change in the current environment of healthcare reform, especially in light of the lack of applicable precedent and regulations. 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brought by individual whistleblowers in the name of the government,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to the foregoing, state and federal laws regarding safe working conditions,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We may incur significant costs to comply with such laws and regulations now or in the future. If our operations result in contamination of the environment or expose individuals to hazardous substances, we could be liable for damages and governmental fines. We believe that we are in material compliance with applicable environmental laws and regulations and that continued compliance therewith will not have a material adverse effect on our business. We cannot predict, however, how changes in these laws and regulations may affect our future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Drug Development</w:t>
      </w:r>
    </w:p>
    <w:p>
      <w:pPr>
        <w:spacing w:after="0" w:line="126" w:lineRule="exact"/>
        <w:rPr>
          <w:sz w:val="20"/>
          <w:szCs w:val="20"/>
          <w:color w:val="auto"/>
        </w:rPr>
      </w:pPr>
    </w:p>
    <w:p>
      <w:pPr>
        <w:jc w:val="both"/>
        <w:ind w:firstLine="714"/>
        <w:spacing w:after="0" w:line="246" w:lineRule="auto"/>
        <w:rPr>
          <w:sz w:val="20"/>
          <w:szCs w:val="20"/>
          <w:color w:val="auto"/>
        </w:rPr>
      </w:pPr>
      <w:r>
        <w:rPr>
          <w:rFonts w:ascii="Arial" w:cs="Arial" w:eastAsia="Arial" w:hAnsi="Arial"/>
          <w:sz w:val="18"/>
          <w:szCs w:val="18"/>
          <w:color w:val="auto"/>
        </w:rPr>
        <w:t>In the European Union, our future products may be subject to extensive regulatory requirements. As in the United States, medicinal products can be marketed only if a marketing authorization from the competent regulatory agencies has been obtained.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8" w:name="page59"/>
    <w:bookmarkEnd w:id="58"/>
    <w:p>
      <w:pPr>
        <w:jc w:val="both"/>
        <w:ind w:firstLine="714"/>
        <w:spacing w:after="0" w:line="236" w:lineRule="auto"/>
        <w:rPr>
          <w:sz w:val="20"/>
          <w:szCs w:val="20"/>
          <w:color w:val="auto"/>
        </w:rPr>
      </w:pPr>
      <w:r>
        <w:rPr>
          <w:rFonts w:ascii="Arial" w:cs="Arial" w:eastAsia="Arial" w:hAnsi="Arial"/>
          <w:sz w:val="18"/>
          <w:szCs w:val="18"/>
          <w:color w:val="auto"/>
        </w:rPr>
        <w:t>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into their national laws.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00" w:lineRule="exact"/>
        <w:rPr>
          <w:sz w:val="20"/>
          <w:szCs w:val="20"/>
          <w:color w:val="auto"/>
        </w:rPr>
      </w:pPr>
    </w:p>
    <w:p>
      <w:pPr>
        <w:jc w:val="both"/>
        <w:ind w:firstLine="714"/>
        <w:spacing w:after="0" w:line="236"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(EU) No 536/2014 will apply following confirmation of full functionality of the Clinical Trials Information System, the centralized EU portal and database for clinical trials foreseen by the regulation, through an independent audit.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Drug Review and Approval</w:t>
      </w:r>
    </w:p>
    <w:p>
      <w:pPr>
        <w:spacing w:after="0" w:line="126" w:lineRule="exact"/>
        <w:rPr>
          <w:sz w:val="20"/>
          <w:szCs w:val="20"/>
          <w:color w:val="auto"/>
        </w:rPr>
      </w:pPr>
    </w:p>
    <w:p>
      <w:pPr>
        <w:jc w:val="both"/>
        <w:ind w:firstLine="714"/>
        <w:spacing w:after="0"/>
        <w:rPr>
          <w:sz w:val="20"/>
          <w:szCs w:val="20"/>
          <w:color w:val="auto"/>
        </w:rPr>
      </w:pPr>
      <w:r>
        <w:rPr>
          <w:rFonts w:ascii="Arial" w:cs="Arial" w:eastAsia="Arial" w:hAnsi="Arial"/>
          <w:sz w:val="18"/>
          <w:szCs w:val="18"/>
          <w:color w:val="auto"/>
        </w:rPr>
        <w:t>In the European Economic Area, or EEA, which consists of the 27 Member States of the European Union, as well as Norway, Iceland and Liechtenstein, medicinal products can only be commercialized after obtaining a marketing authorization, or MA. There are two types of marketing authorizations.</w:t>
      </w:r>
    </w:p>
    <w:p>
      <w:pPr>
        <w:spacing w:after="0" w:line="203" w:lineRule="exact"/>
        <w:rPr>
          <w:sz w:val="20"/>
          <w:szCs w:val="20"/>
          <w:color w:val="auto"/>
        </w:rPr>
      </w:pPr>
    </w:p>
    <w:p>
      <w:pPr>
        <w:jc w:val="both"/>
        <w:ind w:left="800" w:hanging="401"/>
        <w:spacing w:after="0" w:line="23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207" w:lineRule="exact"/>
        <w:rPr>
          <w:rFonts w:ascii="Arial" w:cs="Arial" w:eastAsia="Arial" w:hAnsi="Arial"/>
          <w:sz w:val="18"/>
          <w:szCs w:val="18"/>
          <w:color w:val="auto"/>
        </w:rPr>
      </w:pPr>
    </w:p>
    <w:p>
      <w:pPr>
        <w:jc w:val="both"/>
        <w:ind w:left="800" w:hanging="401"/>
        <w:spacing w:after="0" w:line="23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 the RMS, the product is subsequently granted a national MA in the RMS and the Concerned Member States.</w:t>
      </w:r>
    </w:p>
    <w:p>
      <w:pPr>
        <w:spacing w:after="0" w:line="204" w:lineRule="exact"/>
        <w:rPr>
          <w:sz w:val="20"/>
          <w:szCs w:val="20"/>
          <w:color w:val="auto"/>
        </w:rPr>
      </w:pPr>
    </w:p>
    <w:p>
      <w:pPr>
        <w:jc w:val="both"/>
        <w:ind w:firstLine="714"/>
        <w:spacing w:after="0"/>
        <w:rPr>
          <w:sz w:val="20"/>
          <w:szCs w:val="20"/>
          <w:color w:val="auto"/>
        </w:rPr>
      </w:pPr>
      <w:r>
        <w:rPr>
          <w:rFonts w:ascii="Arial" w:cs="Arial" w:eastAsia="Arial" w:hAnsi="Arial"/>
          <w:sz w:val="18"/>
          <w:szCs w:val="18"/>
          <w:color w:val="auto"/>
        </w:rPr>
        <w:t>A Community MA may be granted only to a Marketing Authorization Holder, or MAH, that is established in the EEA. Regulation (EC) No 1901/2006 provides that prior to obtaining a MA in the EEA, applicants have to demonstrate compliance with all measures included in an EMA-approved Pediatric Investigation Plan, or PIP,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18"/>
          <w:szCs w:val="18"/>
          <w:color w:val="auto"/>
        </w:rPr>
        <w:t>covering all subsets of the pediatric population, unless the EMA has granted (1) a product-specific waiver, (2) a class waiver or (3) a deferral for one or more of the measures included in the PIP.</w:t>
      </w:r>
    </w:p>
    <w:p>
      <w:pPr>
        <w:spacing w:after="0" w:line="89" w:lineRule="exact"/>
        <w:rPr>
          <w:sz w:val="20"/>
          <w:szCs w:val="20"/>
          <w:color w:val="auto"/>
        </w:rPr>
      </w:pPr>
    </w:p>
    <w:p>
      <w:pPr>
        <w:jc w:val="both"/>
        <w:ind w:firstLine="722"/>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PRIME Designation in the European Union</w:t>
      </w:r>
    </w:p>
    <w:p>
      <w:pPr>
        <w:spacing w:after="0" w:line="126" w:lineRule="exact"/>
        <w:rPr>
          <w:sz w:val="20"/>
          <w:szCs w:val="20"/>
          <w:color w:val="auto"/>
        </w:rPr>
      </w:pPr>
    </w:p>
    <w:p>
      <w:pPr>
        <w:jc w:val="both"/>
        <w:ind w:firstLine="872"/>
        <w:spacing w:after="0" w:line="236" w:lineRule="auto"/>
        <w:rPr>
          <w:sz w:val="20"/>
          <w:szCs w:val="20"/>
          <w:color w:val="auto"/>
        </w:rPr>
      </w:pPr>
      <w:r>
        <w:rPr>
          <w:rFonts w:ascii="Arial" w:cs="Arial" w:eastAsia="Arial" w:hAnsi="Arial"/>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CAT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Drug Marketing</w:t>
      </w:r>
    </w:p>
    <w:p>
      <w:pPr>
        <w:spacing w:after="0" w:line="126" w:lineRule="exact"/>
        <w:rPr>
          <w:sz w:val="20"/>
          <w:szCs w:val="20"/>
          <w:color w:val="auto"/>
        </w:rPr>
      </w:pPr>
    </w:p>
    <w:p>
      <w:pPr>
        <w:jc w:val="both"/>
        <w:ind w:firstLine="722"/>
        <w:spacing w:after="0" w:line="236" w:lineRule="auto"/>
        <w:rPr>
          <w:sz w:val="20"/>
          <w:szCs w:val="20"/>
          <w:color w:val="auto"/>
        </w:rPr>
      </w:pPr>
      <w:r>
        <w:rPr>
          <w:rFonts w:ascii="Arial" w:cs="Arial" w:eastAsia="Arial" w:hAnsi="Arial"/>
          <w:sz w:val="18"/>
          <w:szCs w:val="18"/>
          <w:color w:val="auto"/>
        </w:rPr>
        <w:t>Marketed products in the EU are subject to substantial continuing regulation, including, among other things, requirements relating to record-keeping, reporting of adverse experiences, periodic reporting, product sampling and distribution and advertising and promotion of the product. For example, much like the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and infringement of these laws could result in substantial fines and imprisonment. Payments made to physicians in certain European Union Member States must also be publicly disclosed, and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97" w:lineRule="exact"/>
        <w:rPr>
          <w:sz w:val="20"/>
          <w:szCs w:val="20"/>
          <w:color w:val="auto"/>
        </w:rPr>
      </w:pPr>
    </w:p>
    <w:p>
      <w:pPr>
        <w:jc w:val="both"/>
        <w:ind w:firstLine="722"/>
        <w:spacing w:after="0"/>
        <w:rPr>
          <w:sz w:val="20"/>
          <w:szCs w:val="20"/>
          <w:color w:val="auto"/>
        </w:rPr>
      </w:pPr>
      <w:r>
        <w:rPr>
          <w:rFonts w:ascii="Arial" w:cs="Arial" w:eastAsia="Arial" w:hAnsi="Arial"/>
          <w:sz w:val="18"/>
          <w:szCs w:val="18"/>
          <w:color w:val="auto"/>
        </w:rPr>
        <w:t>EU regulations applicable to marketed products exist at the regional, national and local levels, and regulations applicable at the EU level may be adopted and implemented differently by individual Member States. These regulations, and their differing implementations in Member States, increase our legal and financial compliance costs and may make some activities more time-consuming and expensive.</w:t>
      </w:r>
    </w:p>
    <w:p>
      <w:pPr>
        <w:spacing w:after="0" w:line="95" w:lineRule="exact"/>
        <w:rPr>
          <w:sz w:val="20"/>
          <w:szCs w:val="20"/>
          <w:color w:val="auto"/>
        </w:rPr>
      </w:pPr>
    </w:p>
    <w:p>
      <w:pPr>
        <w:jc w:val="both"/>
        <w:ind w:firstLine="722"/>
        <w:spacing w:after="0" w:line="237" w:lineRule="auto"/>
        <w:rPr>
          <w:sz w:val="20"/>
          <w:szCs w:val="20"/>
          <w:color w:val="auto"/>
        </w:rPr>
      </w:pPr>
      <w:r>
        <w:rPr>
          <w:rFonts w:ascii="Arial" w:cs="Arial" w:eastAsia="Arial" w:hAnsi="Arial"/>
          <w:sz w:val="18"/>
          <w:szCs w:val="18"/>
          <w:color w:val="auto"/>
        </w:rPr>
        <w:t>Before products become available to patients in the EU, they are generally subject to decisions on pricing and reimbursement by the applicable authorities in a Member State. Key criteria to determine the reimbursement status and pricing of a product may include the product’s therapeutic value, medical need, safety, and cost effectiveness. Obtaining pricing and reimbursement approval of a product from a government is a time-consuming and costly process, and significant uncertainty exists as to the pricing and reimbursement status of any product candidates for which we may seek marketing approval in the EU. Our ability to commercialize any such products successfully in the EU will depend, in part, on the outcome of these decisions.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New Chemical Entity Exclusivity</w:t>
      </w:r>
    </w:p>
    <w:p>
      <w:pPr>
        <w:spacing w:after="0" w:line="126" w:lineRule="exact"/>
        <w:rPr>
          <w:sz w:val="20"/>
          <w:szCs w:val="20"/>
          <w:color w:val="auto"/>
        </w:rPr>
      </w:pPr>
    </w:p>
    <w:p>
      <w:pPr>
        <w:jc w:val="both"/>
        <w:ind w:firstLine="722"/>
        <w:spacing w:after="0" w:line="237" w:lineRule="auto"/>
        <w:rPr>
          <w:sz w:val="20"/>
          <w:szCs w:val="20"/>
          <w:color w:val="auto"/>
        </w:rPr>
      </w:pPr>
      <w:r>
        <w:rPr>
          <w:rFonts w:ascii="Arial" w:cs="Arial" w:eastAsia="Arial" w:hAnsi="Arial"/>
          <w:sz w:val="18"/>
          <w:szCs w:val="18"/>
          <w:color w:val="auto"/>
        </w:rPr>
        <w:t>In the European Union, new chemical entities, sometimes referred to as new active substances, qualify for eight years of data exclusivity upon marketing authorization and an additional two years of market exclusivity. The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0" w:name="page61"/>
    <w:bookmarkEnd w:id="60"/>
    <w:p>
      <w:pPr>
        <w:ind w:right="1140"/>
        <w:spacing w:after="0" w:line="360" w:lineRule="auto"/>
        <w:rPr>
          <w:sz w:val="20"/>
          <w:szCs w:val="20"/>
          <w:color w:val="auto"/>
        </w:rPr>
      </w:pPr>
      <w:r>
        <w:rPr>
          <w:rFonts w:ascii="Arial" w:cs="Arial" w:eastAsia="Arial" w:hAnsi="Arial"/>
          <w:sz w:val="18"/>
          <w:szCs w:val="18"/>
          <w:color w:val="auto"/>
        </w:rPr>
        <w:t xml:space="preserve">prior to their authorization, are determined to bring a significant clinical benefit in comparison with currently approved therapies. </w:t>
      </w:r>
      <w:r>
        <w:rPr>
          <w:rFonts w:ascii="Arial" w:cs="Arial" w:eastAsia="Arial" w:hAnsi="Arial"/>
          <w:sz w:val="18"/>
          <w:szCs w:val="18"/>
          <w:b w:val="1"/>
          <w:bCs w:val="1"/>
          <w:color w:val="auto"/>
        </w:rPr>
        <w:t>European Union Orphan Designation and Exclusivity</w:t>
      </w:r>
    </w:p>
    <w:p>
      <w:pPr>
        <w:jc w:val="both"/>
        <w:ind w:firstLine="802"/>
        <w:spacing w:after="0" w:line="238" w:lineRule="auto"/>
        <w:rPr>
          <w:sz w:val="20"/>
          <w:szCs w:val="20"/>
          <w:color w:val="auto"/>
        </w:rPr>
      </w:pPr>
      <w:r>
        <w:rPr>
          <w:rFonts w:ascii="Arial" w:cs="Arial" w:eastAsia="Arial" w:hAnsi="Arial"/>
          <w:sz w:val="18"/>
          <w:szCs w:val="18"/>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European Union community (or where it is unlikely that the development of the medicine would generate sufficient return to justify the investment) and for which no satisfactory method of diagnosis, prevention or treatment has been authorized (or, if a method exists, the product would be a significant benefit to those affected).</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Data Collection</w:t>
      </w:r>
    </w:p>
    <w:p>
      <w:pPr>
        <w:spacing w:after="0" w:line="12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The collection and use of personal health data in the EEA is governed by the General Data Protection Regulation ((EU) 2016/679), or GDPR,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European Union.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outside of the EEA to countries that do not ensure an adequate level of protection, such as the U.S. Failure to comply with the requirements of the GDPR and the related national data protection laws of the EEA Member States may result in fines up to 20 million Euros or 4% of a company’s global annual revenues for the preceding financial year, whichever is higher. Moreover, the GDPR grants data subjects the right to claim compensation for damages resulting from infringement of the GDPR. Given the breadth and depth of changes in data protection obligations, maintaining compliance with the GDPR will require significant time, resources and expense, and we may be required to put in place additional mechanisms ensuring compliance with the new data protection rules. This may be onerous and adversely affect our business, financial condition, results of operations and prospects. Further, the United Kingdom’s decision to leave the EU, often referred to as Brexit, has created uncertainties with regard to data protection regulation in the United Kingdom.</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 of the World Regulation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For other countries outside of the European Union and the United States, such as the United Kingdom and countries in Eastern Europe, Latin America or Asia, the requirements governing the conduct of clinical trials, product licensing, pricing and reimbursement vary from country to country. Additionally, clinical trials must be conducted in accordance with cGCP requirements and the applicable regulatory requirements and the ethical principles that have their origin in the Declaration of Helsinki. In light of Brexit, the United Kingdom (with the exception of Northern Ireland) will be considered a third country with respect to the EEA and has separate regulatory requirements. The Medicines and Healthcare products Regulatory Agency, or MHRA, will take on additional regulatory responsibilities for medical products marketed in the UK, as pan-EU regulatory procedures before the EMA will no longer apply in the UK, and biologics will require an additional national marketing authorization in the UK. Failure to comply with applicable foreign laws and regulatory requirements may result in, among other things, fines, suspension or withdrawal of regulatory approvals, product recalls, seizure of products, and operating restrictions.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Laws and Regulations Governing International Operations</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If we further expand our operations outside of the United States, we must dedicate additional resources to comply with numerous laws and regulations in each jurisdiction in which we plan to operate. The FCPA prohibits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1" w:name="page62"/>
    <w:bookmarkEnd w:id="61"/>
    <w:p>
      <w:pPr>
        <w:jc w:val="both"/>
        <w:spacing w:after="0" w:line="236" w:lineRule="auto"/>
        <w:rPr>
          <w:sz w:val="20"/>
          <w:szCs w:val="20"/>
          <w:color w:val="auto"/>
        </w:rPr>
      </w:pPr>
      <w:r>
        <w:rPr>
          <w:rFonts w:ascii="Arial" w:cs="Arial" w:eastAsia="Arial" w:hAnsi="Arial"/>
          <w:sz w:val="18"/>
          <w:szCs w:val="18"/>
          <w:color w:val="auto"/>
        </w:rPr>
        <w:t>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Likewise, the UK Bribery Act of 2010 applies to companies that carry on all or part of their business in the UK, and prohibits bribing another person or being bribed, bribing a foreign public official with the intent to influence and obtain or retain business or an advantage, and failure by a commercial party to prevent bribery, including where the prohibited conduct or its effects occurred entirely outside the UK.</w:t>
      </w:r>
    </w:p>
    <w:p>
      <w:pPr>
        <w:spacing w:after="0" w:line="9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Compliance with the FCPA and anti-corruption and anti-bribery laws in other countries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9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202"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authorities. Reimbursement may impact the demand for, or the price of, any product for which we obtain regulatory approval.</w:t>
      </w:r>
    </w:p>
    <w:p>
      <w:pPr>
        <w:spacing w:after="0" w:line="10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have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example, the ACA has substantially changed healthcare financing and delivery by both governmental and private insurers.</w:t>
      </w:r>
    </w:p>
    <w:p>
      <w:pPr>
        <w:spacing w:after="0"/>
        <w:rPr>
          <w:sz w:val="20"/>
          <w:szCs w:val="20"/>
          <w:color w:val="auto"/>
        </w:rPr>
      </w:pPr>
      <w:r>
        <w:rPr>
          <w:rFonts w:ascii="Arial" w:cs="Arial" w:eastAsia="Arial" w:hAnsi="Arial"/>
          <w:sz w:val="18"/>
          <w:szCs w:val="18"/>
          <w:color w:val="auto"/>
        </w:rPr>
        <w:t>Among the ACA provisions of importance to the pharmaceutical and biotechnology industries are the following:</w:t>
      </w:r>
    </w:p>
    <w:p>
      <w:pPr>
        <w:spacing w:after="0" w:line="212" w:lineRule="exact"/>
        <w:rPr>
          <w:sz w:val="20"/>
          <w:szCs w:val="20"/>
          <w:color w:val="auto"/>
        </w:rPr>
      </w:pPr>
    </w:p>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3" w:name="page64"/>
    <w:bookmarkEnd w:id="63"/>
    <w:p>
      <w:pPr>
        <w:jc w:val="both"/>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or the AMP, for most branded and generic drugs, respectively, and a cap on the total rebate amount for innovator drugs at 100% of the AMP;</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which through subsequent legislative amendments, were increased to 70% in 2019, off negotiated prices of applicable brand drugs to eligible beneficiaries during their coverage gap period, as a condition for the manufacturers’ outpatient drugs to be covered under Medicare Part D;</w:t>
      </w:r>
    </w:p>
    <w:p>
      <w:pPr>
        <w:spacing w:after="0" w:line="20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Discount Program;</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and conduct comparative clinical effectiveness research, along with funding for such research;</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FCA and the Anti-Kickback Statute, new government investigative powers, and enhanced penalties for noncompliance;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w:t>
      </w:r>
    </w:p>
    <w:p>
      <w:pPr>
        <w:spacing w:after="0" w:line="1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There have been legal and political challenges to certain aspects of the ACA. For example, former President Trump signed several executive orders and other directives designed to delay, circumvent or loosen certain requirements mandated by the ACA. Additionally, the United States Supreme Court is currently reviewing the constitutionality of the ACA, but it is unclear when a decision will be made. Although the United States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The ultimate content, timing or effect of any healthcare reform legislation on the U.S. healthcare industry is also unclear.</w:t>
      </w:r>
    </w:p>
    <w:p>
      <w:pPr>
        <w:spacing w:after="0" w:line="9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anticipate that the ACA,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Further legislation or regulation could be passed that could harm our business, financial condition and results of operations. Other legislative changes have been proposed and adopted since the ACA was enacted. Aggregate reductions to Medicare payments to providers of up to 2% per fiscal year, which went into effect beginning on April 1, 2013, will stay in effect through 2027 unless additional Congressional action is taken.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However, COVID-19 relief support legislation suspended the 2% Medicare sequester from May 1, 2020 through March 31, 2021.</w:t>
      </w:r>
    </w:p>
    <w:p>
      <w:pPr>
        <w:spacing w:after="0" w:line="104"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U.S. Congressional inquiries, presidential executive orders and proposed and enacted federal legislation designed to, among other things, bring more transparency to drug pricing, reduce the cost of prescription drugs under Medicare, review the relationship between pricing and manufacturer-patient programs and reform government program reimbursement methodologies for drugs.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Further,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COVID-19.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Our team of talented scientists and industry professionals is the foundation of our company and fuels our historical and prospective achievements for patients. We consider the intellectual capital of our employees to be an essential driver of our business and key to our future opportunities. As of December 31, 2020, we had 210 employees, of which approximately 165 (79%) are engaged in research and development activities, 86 hold Ph.D. and/or M.D. degrees and an additional 50 hold a masters or other post-graduate degree. Every NGM team member plays a vital role in furthering our goals and impacting our progress towards fully realizing our mission to develop transformative therapies for patients.</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To succeed in our mission, we must attract, recruit, retain, develop and motivate qualified clinical, nonclinical, scientific, manufacturing, regulatory, management and other personnel needed to support our business and operations. Based in the San Francisco Bay Area, we face significant competition for experienced employees from a large and diverse group of biotechnology and pharmaceutical companies. As a result of intense recruitment efforts within biotech, we face higher turnover rates than other industries. In 2020, particularly after the COVID-19 pandemic necessitated remote work for most employees, we experienced a higher-than-normal rate of employees leaving the company to pursue other opportunities. This turnover was mitigated by a robust recruiting effort, with 70 new employees hired last year. We maintain a comprehensive set of metrics, including recruitment yield, employee engagement, total rewards benchmarking, turnover and exit interviews, to guide our human capital management efforts.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believe that we can best address competitive challenges by enhancing the reputation of NGM as a great place to work, which includes nurturing our workplace culture, providing competitive compensation and benefits programs and supporting employee career development. To that end, we continue to invest resources and energy into being an employer of choice – attracting and engaging individuals who are innovative, curious, driven, diligent, collaborative and of the highest scientific integrity and ethics. Some of our key efforts in this area and management of our human capital assets generally are described here.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Compensation and Benefits</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compensation philosophy is to provide pay and benefits that are competitive in the biotechnology and pharmaceutical industry where we compete for talent. We monitor our compensation programs closely and review them at least annually to provide what we consider to be a very competitive mix of compensation and health, welfare and retirement benefits for all our employees. Our compensation package for all employees includes market-competitive base salaries, annual performance bonuses and stock option grants. Our benefits programs include company sponsored medical, dental and vision health care coverage, life and AD&amp;D insurance, a 401(k) plan with a matching employer contribution, paid time off and family leave and an employee stock purchase plan, among others benefits. At the end of 2020, we undertook a detailed review of our compensation by position and level and made adjustments necessary to ensure that we continue to provide competitive compensation. We are focused on fairness in pay equity across gender and ethnicity among similar roles and responsibilities throughout our organization, after accounting for legitimate business factors that can explain differences, such as performance, time at grade level, education and tenure. Our efforts extend beyond pay equity to include fairness in gender and ethnic representation at all levels in the organization.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12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Our goal is a diverse and inclusive workforce – not just because it is the right thing to do but because we believe that such a workforce is key to our long-term success. As of December 31, 2020, NGM employed 101 women (48%) and 109 men (52%), and 61% of our employees self-identify as non-white, including 10% that are from traditionally underrepresented groups. Our leadership, including employees at or above the vice president level and members of our board of directors, includes 36% women and 32% who self-identify as non-white. To champion our efforts in this area, we formed a cross functional team of employees to drive our diversity, equity and inclusion initiatives that are organized around five pillars: training and education; communication and awareness; diverse candidate pipelines; community outreach; and career advancement and advocacy. In 2020 and into 2021, we have focused on anti-black racism. Our recent efforts have included mandatory unconscious bias and discrimination training, an employee-led diversity page on our intranet, voluntary participation in a program to encourage allyship through twice-weekly exercises in conjunction with Black History Month, conducting a survey to understand employee sentiment around race-related issues to establish a baseline for tracking future progress, planning a pilot 2021 internship program and specific efforts to provide the company with a more diverse candidate pipeline. In addition to internal efforts, NGM continues its practice of quantifying racial, ethnic and gender diversity within completed clinical studies, and in 2021 intends to begin publishing those metrics internally and educating ourselves on industry best-practices to improve recruitment and retention of women and minorities in our clinical trials.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and Engagement</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believe that part of what sets NGM apart from other companies is our culture and, in particular, our focus on providing timely and transparent communications and creating a strong sense of belonging and inclusiveness. The COVID-19 pandemic made it unsafe for us to provide the many traditions and celebrations that contribute to what makes NGM a special place to work: monthly themed happy hours; weekly group lunch programs, often with scientific updates of interest; and events including an annual anniversary party, Thanksgiving potluck and holiday white elephant party, among many others. In 2020, we shifted to a virtual setting and continued to emphasize communication and employee engagement through quarterly all-employee virtual town halls; weekly emails from the CEO; reflection emails from a different employee each week; regular, virtual coffee chats for small groups with our CEO and other members of senior management; our annual employee engagement survey; and company-wide virtual celebrations.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Wellness and Safety</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are committed to the health and safety of our employees. Early in 2020, we formed the CARE, or COVID Awareness and Re-Entry, team to handle issues related to the ongoing COVID-19 pandemic. In addition to advising the company on matters related to compliance with federal, state and local guidance, the CARE team engages in ongoing, frequent communications with employees on matters related to personal safety – particularly for those essential workers required to work on site. We also partner with a third-party provider to provide daily symptom screenings, backed by the support of medical professionals, when warranted. Ongoing activities that continue to promote employee wellness include external support from our employee assistance program as well as recently added mental wellness and health advocacy services. We look forward to resuming all-employee access to our on-site gym, boot camp and other exercise-related options when conditions permit.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6" w:name="page67"/>
    <w:bookmarkEnd w:id="66"/>
    <w:p>
      <w:pPr>
        <w:jc w:val="both"/>
        <w:ind w:right="20" w:firstLine="802"/>
        <w:spacing w:after="0" w:line="246" w:lineRule="auto"/>
        <w:rPr>
          <w:sz w:val="20"/>
          <w:szCs w:val="20"/>
          <w:color w:val="auto"/>
        </w:rPr>
      </w:pPr>
      <w:r>
        <w:rPr>
          <w:rFonts w:ascii="Arial" w:cs="Arial" w:eastAsia="Arial" w:hAnsi="Arial"/>
          <w:sz w:val="18"/>
          <w:szCs w:val="18"/>
          <w:color w:val="auto"/>
        </w:rPr>
        <w:t>None of our employees is subject to a collective bargaining agreement or represented by a trade or labor union. We consider our relations with our employees to be good.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and Available Information</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file or furnish electronically with the U.S. Securities and Exchange Commission, or the SEC, annual reports on Form 10-K, quarterly reports on Form 10-Q, current reports on Form 8-K and amendments to those reports filed or furnished pursuant to Section 13(a) or 15(d) of the Exchange Act. We make copies of these reports available free of charge through the “SEC Filings” tab on the “Investors &amp; Media” page of our website as soon as reasonably practicable after we file or furnish them with the SEC.</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7" w:name="page68"/>
    <w:bookmarkEnd w:id="67"/>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108"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Annual Report on Form 10-K, including “Management’s Discussion and Analysis of Financial Condition and Results of Operations” and our financial statements and related notes. Our business, financial condition, results of operations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Annual Report on Form 10-K may not contain all of the risks, uncertainties and other factors that may affect our future results and operations. Moreover, new risks will emerge from time to time. It is not possible for our management to predict all risks.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and we expect to continue to incur significant research and development and other expenses related to our ongoing operations. As a result, we are not profitable and have incurred losses in each year since commencing operations. Our net losses were $102.5 million, $42.8 million and $0.5 million for the years ended December 31, 2020, 2019 and 2018, respectively. As of December 31, 2020, we had an accumulated deficit of $298.6 million.</w:t>
      </w:r>
    </w:p>
    <w:p>
      <w:pPr>
        <w:spacing w:after="0" w:line="9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manufacturing, preclinical studies, clinical trial and related activities increase. We also expect that our funding obligations with respect to the development of our current and potential future product candidates will substantially increase following the end of the current two-year extension of the research phase of our collaboration with Merck through March 16, 2022, regardless of whether we are able to reach agreement with Merck on the terms of a modified collaboration. As a result, our expenses and accumulated deficit will also increase significantly in future periods.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whether Merck will exercise its option to extend the research phase of our collaboration or whether and on what terms we will reach agreement with Merck on a modified collaboration and our ability to otherwise continue to generate revenue, if at all, under the Merck collaboration, and to generate any revenue outside of the Merck collaboration. Our prior losses and expected future losses have had and will continue to have an adverse effect on our stockholders’ equity and working capital.</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 Our ability to generate future product revenue from our current or future product candidates also depends on a number of additional factors, including our or our current collaborator’s and potential future collaborators’ ability to:</w:t>
      </w:r>
    </w:p>
    <w:p>
      <w:pPr>
        <w:spacing w:after="0" w:line="94" w:lineRule="exact"/>
        <w:rPr>
          <w:sz w:val="20"/>
          <w:szCs w:val="20"/>
          <w:color w:val="auto"/>
        </w:rPr>
      </w:pPr>
    </w:p>
    <w:p>
      <w:pPr>
        <w:ind w:left="1600" w:hanging="391"/>
        <w:spacing w:after="0"/>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9" w:lineRule="exact"/>
        <w:rPr>
          <w:rFonts w:ascii="Arial" w:cs="Arial" w:eastAsia="Arial" w:hAnsi="Arial"/>
          <w:sz w:val="18"/>
          <w:szCs w:val="18"/>
          <w:color w:val="auto"/>
        </w:rPr>
      </w:pPr>
    </w:p>
    <w:p>
      <w:pPr>
        <w:ind w:left="1600" w:right="20" w:hanging="391"/>
        <w:spacing w:after="0" w:line="234" w:lineRule="auto"/>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1" w:lineRule="exact"/>
        <w:rPr>
          <w:rFonts w:ascii="Arial" w:cs="Arial" w:eastAsia="Arial" w:hAnsi="Arial"/>
          <w:sz w:val="18"/>
          <w:szCs w:val="18"/>
          <w:color w:val="auto"/>
        </w:rPr>
      </w:pPr>
    </w:p>
    <w:p>
      <w:pPr>
        <w:jc w:val="both"/>
        <w:ind w:left="1600" w:hanging="391"/>
        <w:spacing w:after="0"/>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ind w:left="1600" w:hanging="391"/>
        <w:spacing w:after="0" w:line="246" w:lineRule="auto"/>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 Even if we successfully complete development and regulatory processes,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234"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In recent years, all of our revenue has been from our collaboration partner, Merck. Other than our agreement with Merck, we currently have no agreements that could provide us with material, ongoing future revenue and we may never enter into any agreements. Under our Collaboration Agreement, Merck agreed to reimburse us for research and development activities up to certain specified funding caps during the current two-year extension of the research phase through March 16, 2022. If our research and development expenses for product candidates subject to the Merck collaboration exceed the funding caps provided in our Collaboration Agreement, which happened in the fiscal year ended December 31, 2020 and could happen in the future, we will be required to devote our own financial resources toward the development of such product candidates or, if we are unwilling or unable to do so, pause or suspend such development to remain within the funding caps. In addition, while we cannot predict whether or when Merck will elect to extend the research phase of the collaboration through March 16, 2024 or on what terms, or whether or when we will reach agreement with Merck on the terms of a modified collaboration generally,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our funding obligations with respect to the development of our current and potential future product candidates will substantially increase following March 16, 2022, the end of the current two-year extension of the research phase, regardless of whether we are able to reach agreement with Merck on modified terms. Accordingly, we will require significant additional capital in order to proceed with development and commercialization of our current and potential future product candidates, including any product candidate that had been subject to the Merck collaboration but Merck decides not to proceed with under the terms of a modified collaboration or after the end of the research phase, or we will need to enter into additional collaboration or license agreements in order to fund such development and commercialization. Neither may be possible and as a result, we may be required to delay, scale back or discontinue development of such product candidates. For more information, see “Risks Related to Our Dependence on Merck and Other Third Parties” below</w:t>
      </w:r>
      <w:r>
        <w:rPr>
          <w:rFonts w:ascii="Arial" w:cs="Arial" w:eastAsia="Arial" w:hAnsi="Arial"/>
          <w:sz w:val="18"/>
          <w:szCs w:val="18"/>
          <w:i w:val="1"/>
          <w:iCs w:val="1"/>
          <w:color w:val="auto"/>
        </w:rPr>
        <w:t>.</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which may not be available to us on acceptable terms, or at all. As a result, we may not have the resources to complete the development and commercialization of our current and potential future product candidates.</w:t>
      </w:r>
    </w:p>
    <w:p>
      <w:pPr>
        <w:spacing w:after="0" w:line="191"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As a research and development company, our operations have consumed substantial amounts of cash since inception and we will require substantial additional capital to finance our operations and pursue our strategy. In this regard, we do not have any committed external source of funds, other than pursuant to the current terms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9" w:name="page70"/>
    <w:bookmarkEnd w:id="69"/>
    <w:p>
      <w:pPr>
        <w:jc w:val="both"/>
        <w:spacing w:after="0" w:line="236" w:lineRule="auto"/>
        <w:rPr>
          <w:sz w:val="20"/>
          <w:szCs w:val="20"/>
          <w:color w:val="auto"/>
        </w:rPr>
      </w:pPr>
      <w:r>
        <w:rPr>
          <w:rFonts w:ascii="Arial" w:cs="Arial" w:eastAsia="Arial" w:hAnsi="Arial"/>
          <w:sz w:val="18"/>
          <w:szCs w:val="18"/>
          <w:color w:val="auto"/>
        </w:rPr>
        <w:t>our collaboration with Merck, which is limited in scope and duration, and may be unilaterally terminated by Merck under certain circumstances. In addition, as described in more detail under “Risks Related to Our Dependence on Merck and Other Third Parties” below, the level of future annual research support or other funding from Merck following the end of the current research phase is uncertain, and even if Merck elects to extend the current research phase, such annual research support from Merck is expected to be meaningfully lower than the annual research support Merck provided during the initial five-year term and is providing during the current two-year extension of the research phase through March 16, 2022. We also expect our research and development expenses to increase substantially in connection with our ongoing activities regardless of whether we are able to reach agreement with Merck on the terms of a modified collaboration, particularly to the extent that product candidates whose costs will not be included in a modified Merck collaboration, such as aldafermin and other product candidates Merck decides not to proceed with under the terms of a modified collaboration or after the end of the research phase, advance in clinical development. In addition, we may be required to develop and implement additional clinical study policies and procedures to mitigate the evolving effects of the COVID-19 pandemic, which could significantly increase our research and development expenses.</w:t>
      </w:r>
    </w:p>
    <w:p>
      <w:pPr>
        <w:spacing w:after="0" w:line="9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 Our future funding requirements, both short- and long-term, will depend on many factors, including:</w:t>
      </w:r>
    </w:p>
    <w:p>
      <w:pPr>
        <w:spacing w:after="0" w:line="205" w:lineRule="exact"/>
        <w:rPr>
          <w:sz w:val="20"/>
          <w:szCs w:val="20"/>
          <w:color w:val="auto"/>
        </w:rPr>
      </w:pPr>
    </w:p>
    <w:p>
      <w:pPr>
        <w:ind w:left="1600" w:right="20" w:hanging="391"/>
        <w:spacing w:after="0" w:line="246" w:lineRule="auto"/>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196" w:lineRule="exact"/>
        <w:rPr>
          <w:rFonts w:ascii="Arial" w:cs="Arial" w:eastAsia="Arial" w:hAnsi="Arial"/>
          <w:sz w:val="18"/>
          <w:szCs w:val="18"/>
          <w:color w:val="auto"/>
        </w:rPr>
      </w:pPr>
    </w:p>
    <w:p>
      <w:pPr>
        <w:jc w:val="both"/>
        <w:ind w:left="1600" w:hanging="391"/>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on what terms Merck exercises, if at all, its remaining option to extend the research phase of the collaboration, including whether such exercise would trigger an extension payment to us under the terms of a modified collaboration;</w:t>
      </w:r>
    </w:p>
    <w:p>
      <w:pPr>
        <w:spacing w:after="0" w:line="202" w:lineRule="exact"/>
        <w:rPr>
          <w:rFonts w:ascii="Arial" w:cs="Arial" w:eastAsia="Arial" w:hAnsi="Arial"/>
          <w:sz w:val="18"/>
          <w:szCs w:val="18"/>
          <w:color w:val="auto"/>
        </w:rPr>
      </w:pPr>
    </w:p>
    <w:p>
      <w:pPr>
        <w:jc w:val="both"/>
        <w:ind w:left="1600" w:hanging="391"/>
        <w:spacing w:after="0" w:line="237" w:lineRule="auto"/>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on what terms we and Merck agree to a modified collaboration, including the level of annual research support from Merck, if any, under a modified collaboration and, relatedly, the scope and extent of our funding obligations with respect to the development of our current and potential future product candidates, including with respect to any such product candidates whose costs will not be included in a modified Merck collaboration such as aldafermin and other product candidates Merck decides not to proceed with under the terms of a modified collaboration or after the end of the research phase;</w:t>
      </w:r>
    </w:p>
    <w:p>
      <w:pPr>
        <w:spacing w:after="0" w:line="204"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completion of proof-of-concept studies for each such candidate in humans;</w:t>
      </w:r>
    </w:p>
    <w:p>
      <w:pPr>
        <w:spacing w:after="0" w:line="196" w:lineRule="exact"/>
        <w:rPr>
          <w:rFonts w:ascii="Arial" w:cs="Arial" w:eastAsia="Arial" w:hAnsi="Arial"/>
          <w:sz w:val="18"/>
          <w:szCs w:val="18"/>
          <w:color w:val="auto"/>
        </w:rPr>
      </w:pPr>
    </w:p>
    <w:p>
      <w:pPr>
        <w:jc w:val="both"/>
        <w:ind w:left="1600" w:hanging="391"/>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Collaboration Agreement or terminates a program that it has licensed (such as Merck’s termination of its license for NGM395 and NGM386);</w:t>
      </w:r>
    </w:p>
    <w:p>
      <w:pPr>
        <w:spacing w:after="0" w:line="202" w:lineRule="exact"/>
        <w:rPr>
          <w:rFonts w:ascii="Arial" w:cs="Arial" w:eastAsia="Arial" w:hAnsi="Arial"/>
          <w:sz w:val="18"/>
          <w:szCs w:val="18"/>
          <w:color w:val="auto"/>
        </w:rPr>
      </w:pPr>
    </w:p>
    <w:p>
      <w:pPr>
        <w:ind w:left="1600" w:hanging="391"/>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exceed the funding caps provided in the Collaboration Agreement;</w:t>
      </w:r>
    </w:p>
    <w:p>
      <w:pPr>
        <w:spacing w:after="0" w:line="225" w:lineRule="exact"/>
        <w:rPr>
          <w:rFonts w:ascii="Arial" w:cs="Arial" w:eastAsia="Arial" w:hAnsi="Arial"/>
          <w:sz w:val="18"/>
          <w:szCs w:val="18"/>
          <w:color w:val="auto"/>
        </w:rPr>
      </w:pPr>
    </w:p>
    <w:p>
      <w:pPr>
        <w:jc w:val="both"/>
        <w:ind w:left="1600" w:hanging="391"/>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202" w:lineRule="exact"/>
        <w:rPr>
          <w:rFonts w:ascii="Arial" w:cs="Arial" w:eastAsia="Arial" w:hAnsi="Arial"/>
          <w:sz w:val="18"/>
          <w:szCs w:val="18"/>
          <w:color w:val="auto"/>
        </w:rPr>
      </w:pPr>
    </w:p>
    <w:p>
      <w:pPr>
        <w:jc w:val="both"/>
        <w:ind w:left="1600" w:hanging="391"/>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202" w:lineRule="exact"/>
        <w:rPr>
          <w:rFonts w:ascii="Arial" w:cs="Arial" w:eastAsia="Arial" w:hAnsi="Arial"/>
          <w:sz w:val="18"/>
          <w:szCs w:val="18"/>
          <w:color w:val="auto"/>
        </w:rPr>
      </w:pPr>
    </w:p>
    <w:p>
      <w:pPr>
        <w:ind w:left="1600" w:hanging="391"/>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0" w:name="page71"/>
    <w:bookmarkEnd w:id="70"/>
    <w:p>
      <w:pPr>
        <w:ind w:left="1600" w:hanging="391"/>
        <w:spacing w:after="0" w:line="246" w:lineRule="auto"/>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25" w:lineRule="exact"/>
        <w:rPr>
          <w:rFonts w:ascii="Arial" w:cs="Arial" w:eastAsia="Arial" w:hAnsi="Arial"/>
          <w:sz w:val="18"/>
          <w:szCs w:val="18"/>
          <w:color w:val="auto"/>
        </w:rPr>
      </w:pPr>
    </w:p>
    <w:p>
      <w:pPr>
        <w:ind w:left="1600" w:right="20" w:hanging="391"/>
        <w:spacing w:after="0" w:line="246" w:lineRule="auto"/>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11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15"/>
          <w:szCs w:val="15"/>
          <w:color w:val="auto"/>
        </w:rPr>
        <w:t>SM</w:t>
      </w:r>
      <w:r>
        <w:rPr>
          <w:rFonts w:ascii="Arial" w:cs="Arial" w:eastAsia="Arial" w:hAnsi="Arial"/>
          <w:sz w:val="18"/>
          <w:szCs w:val="18"/>
          <w:color w:val="auto"/>
        </w:rPr>
        <w:t>, or the Sales Agreement, we entered into with Jefferies LLC in June 2020,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are unable to raise adequate additional capital, we may be prevented from pursuing development and commercialization efforts, which will have a material adverse effect on our business, operating results and prospects.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17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If we raise additional funds by issuing equity securities, as we did most recently in January 2021,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adequate funds are not available when we need them, we may need to:</w:t>
      </w:r>
    </w:p>
    <w:p>
      <w:pPr>
        <w:spacing w:after="0" w:line="311" w:lineRule="exact"/>
        <w:rPr>
          <w:sz w:val="20"/>
          <w:szCs w:val="20"/>
          <w:color w:val="auto"/>
        </w:rPr>
      </w:pPr>
    </w:p>
    <w:p>
      <w:pPr>
        <w:ind w:left="1600" w:hanging="391"/>
        <w:spacing w:after="0" w:line="246" w:lineRule="auto"/>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all operations;</w:t>
      </w:r>
    </w:p>
    <w:p>
      <w:pPr>
        <w:spacing w:after="0" w:line="196" w:lineRule="exact"/>
        <w:rPr>
          <w:rFonts w:ascii="Arial" w:cs="Arial" w:eastAsia="Arial" w:hAnsi="Arial"/>
          <w:sz w:val="18"/>
          <w:szCs w:val="18"/>
          <w:color w:val="auto"/>
        </w:rPr>
      </w:pPr>
    </w:p>
    <w:p>
      <w:pPr>
        <w:ind w:left="1600" w:right="20" w:hanging="391"/>
        <w:spacing w:after="0" w:line="246" w:lineRule="auto"/>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at an earlier stage than we would otherwise desire or on terms less favorable than might otherwise be available; or</w:t>
      </w:r>
    </w:p>
    <w:p>
      <w:pPr>
        <w:spacing w:after="0" w:line="196" w:lineRule="exact"/>
        <w:rPr>
          <w:rFonts w:ascii="Arial" w:cs="Arial" w:eastAsia="Arial" w:hAnsi="Arial"/>
          <w:sz w:val="18"/>
          <w:szCs w:val="18"/>
          <w:color w:val="auto"/>
        </w:rPr>
      </w:pPr>
    </w:p>
    <w:p>
      <w:pPr>
        <w:jc w:val="both"/>
        <w:ind w:left="1600" w:hanging="391"/>
        <w:spacing w:after="0"/>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seek to develop or commercialize ourselves, and we may not be able to enter into such agreements on acceptable terms, if at all.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23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ending on or prior to December 31, 2017 are only permitted to be carried forward for 20 years under applicable U.S. tax law. Under the Tax Cuts and JOBS Act, or the 2017 Tax Act, as modified by the Coronavirus Aid, Relief and Economic Security Act, or the CARES Act, our federal net operating losses generated in tax years beginning after December 31, 2017 may be carried forward indefinitely, but the deductibility of such federal net operating losses generated in tax years beginning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18"/>
          <w:szCs w:val="18"/>
          <w:color w:val="auto"/>
        </w:rPr>
        <w:t>after December 31, 2020, is limited to 80% of taxable income. It is uncertain if and to what extent various states will conform to the 2017 Tax Act or the CARES Act.</w:t>
      </w:r>
    </w:p>
    <w:p>
      <w:pPr>
        <w:spacing w:after="0" w:line="8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recently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191"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Merck collaboration involves a complex allocation of rights, provides for substantial research and development support, currently provides for additional payments upon Merck’s election, if exercised in its unilateral discretion, to further extend the term of the research phase for an additional two years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whether or when Merck will elect to extend the research phase of the collaboration or on what terms, whether or when we will reach agreement with Merck on the terms of a modified collaboration generally, whether Merck will exercise its option to license additional product candidates or whether Merck will terminate its license to a licensed program. In addition, see the risk factor titled “</w:t>
      </w:r>
      <w:r>
        <w:rPr>
          <w:rFonts w:ascii="Arial" w:cs="Arial" w:eastAsia="Arial" w:hAnsi="Arial"/>
          <w:sz w:val="18"/>
          <w:szCs w:val="18"/>
          <w:i w:val="1"/>
          <w:iCs w:val="1"/>
          <w:color w:val="auto"/>
        </w:rPr>
        <w:t>Merck may elect not to extend the research phase</w:t>
      </w:r>
      <w:r>
        <w:rPr>
          <w:rFonts w:ascii="Arial" w:cs="Arial" w:eastAsia="Arial" w:hAnsi="Arial"/>
          <w:sz w:val="18"/>
          <w:szCs w:val="18"/>
          <w:color w:val="auto"/>
        </w:rPr>
        <w:t xml:space="preserve"> </w:t>
      </w:r>
      <w:r>
        <w:rPr>
          <w:rFonts w:ascii="Arial" w:cs="Arial" w:eastAsia="Arial" w:hAnsi="Arial"/>
          <w:sz w:val="18"/>
          <w:szCs w:val="18"/>
          <w:i w:val="1"/>
          <w:iCs w:val="1"/>
          <w:color w:val="auto"/>
        </w:rPr>
        <w:t>of our collaboration and we may otherwise be unable to reach agreement with Merck on the terms of a modified collaboration and regardless of whether we and Merck reach agreement on the terms of a modified collaboration, our collaboration with Merck involves numerous risks, any of which could materially and adversely affect our business and financial condition</w:t>
      </w:r>
      <w:r>
        <w:rPr>
          <w:rFonts w:ascii="Arial" w:cs="Arial" w:eastAsia="Arial" w:hAnsi="Arial"/>
          <w:sz w:val="18"/>
          <w:szCs w:val="18"/>
          <w:color w:val="auto"/>
        </w:rPr>
        <w:t>” below</w:t>
      </w:r>
      <w:r>
        <w:rPr>
          <w:rFonts w:ascii="Arial" w:cs="Arial" w:eastAsia="Arial" w:hAnsi="Arial"/>
          <w:sz w:val="18"/>
          <w:szCs w:val="18"/>
          <w:i w:val="1"/>
          <w:iCs w:val="1"/>
          <w:color w:val="auto"/>
        </w:rPr>
        <w:t>.</w:t>
      </w:r>
    </w:p>
    <w:p>
      <w:pPr>
        <w:spacing w:after="0" w:line="20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or any other product candidate that Merck decides not to proceed with under the terms of a modified collaboration or after the end of the research phase.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320" w:lineRule="exact"/>
        <w:rPr>
          <w:sz w:val="20"/>
          <w:szCs w:val="20"/>
          <w:color w:val="auto"/>
        </w:rPr>
      </w:pPr>
    </w:p>
    <w:p>
      <w:pPr>
        <w:jc w:val="both"/>
        <w:ind w:left="1600" w:hanging="391"/>
        <w:spacing w:after="0" w:line="238" w:lineRule="auto"/>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current terms of our collaboration with Merck, once proof-of-concept data in humans has been generated and Merck has exercised its option to acquire an exclusive license for a product candidate, our ability to influence the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2" w:name="page73"/>
    <w:bookmarkEnd w:id="72"/>
    <w:p>
      <w:pPr>
        <w:jc w:val="both"/>
        <w:ind w:left="1600"/>
        <w:spacing w:after="0"/>
        <w:rPr>
          <w:sz w:val="20"/>
          <w:szCs w:val="20"/>
          <w:color w:val="auto"/>
        </w:rPr>
      </w:pPr>
      <w:r>
        <w:rPr>
          <w:rFonts w:ascii="Arial" w:cs="Arial" w:eastAsia="Arial" w:hAnsi="Arial"/>
          <w:sz w:val="18"/>
          <w:szCs w:val="18"/>
          <w:color w:val="auto"/>
        </w:rPr>
        <w:t>resources Merck devotes to such product candidate are substantially reduced until such time, if any, that we exercise our right to participate in a cost and profit-sharing arrangement. Even after we exercise that right to participate in a cost and profit-sharing arrangement, our ability to influence Merck will be limited.</w:t>
      </w:r>
    </w:p>
    <w:p>
      <w:pPr>
        <w:spacing w:after="0" w:line="203" w:lineRule="exact"/>
        <w:rPr>
          <w:sz w:val="20"/>
          <w:szCs w:val="20"/>
          <w:color w:val="auto"/>
        </w:rPr>
      </w:pPr>
    </w:p>
    <w:p>
      <w:pPr>
        <w:jc w:val="both"/>
        <w:ind w:left="1600" w:hanging="391"/>
        <w:spacing w:after="0" w:line="235"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we and Merck are negotiating in good faith certain modifications to the terms of our collaboration, that may include, among other things, focusing NGM’s research and development under the collaboration on therapeutic areas of particular interest to Merck, and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addition, under the current terms of the Collaboration Agreement, it is possible for Merck to unilaterally terminate the MK-3655 program and any other program (whether or not we have exercised our cost and profit sharing option) upon prior written notice, such as it did for NGM386 and NGM395, without triggering a termination of the remainder of the Collaboration Agreement. Moreover, regardless of our current negotiations with Merck and the terms of any modified Collaboration Agreement, Merck may elect not to exercise its option to extend the research phase, and Merck might also opt not to designate any of our product candidates for further development during the tail period following the end of the research phase or exercise any of its options to acquire a license to a product candidate that has generated proof-of-concept data.</w:t>
      </w:r>
    </w:p>
    <w:p>
      <w:pPr>
        <w:spacing w:after="0" w:line="213" w:lineRule="exact"/>
        <w:rPr>
          <w:rFonts w:ascii="Arial" w:cs="Arial" w:eastAsia="Arial" w:hAnsi="Arial"/>
          <w:sz w:val="18"/>
          <w:szCs w:val="18"/>
          <w:color w:val="auto"/>
        </w:rPr>
      </w:pPr>
    </w:p>
    <w:p>
      <w:pPr>
        <w:jc w:val="both"/>
        <w:ind w:left="1600" w:hanging="391"/>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2" w:lineRule="exact"/>
        <w:rPr>
          <w:rFonts w:ascii="Arial" w:cs="Arial" w:eastAsia="Arial" w:hAnsi="Arial"/>
          <w:sz w:val="18"/>
          <w:szCs w:val="18"/>
          <w:color w:val="auto"/>
        </w:rPr>
      </w:pPr>
    </w:p>
    <w:p>
      <w:pPr>
        <w:jc w:val="both"/>
        <w:ind w:left="1600" w:hanging="391"/>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202"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196" w:lineRule="exact"/>
        <w:rPr>
          <w:rFonts w:ascii="Arial" w:cs="Arial" w:eastAsia="Arial" w:hAnsi="Arial"/>
          <w:sz w:val="18"/>
          <w:szCs w:val="18"/>
          <w:color w:val="auto"/>
        </w:rPr>
      </w:pPr>
    </w:p>
    <w:p>
      <w:pPr>
        <w:jc w:val="both"/>
        <w:ind w:left="1600" w:hanging="391"/>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02" w:lineRule="exact"/>
        <w:rPr>
          <w:rFonts w:ascii="Arial" w:cs="Arial" w:eastAsia="Arial" w:hAnsi="Arial"/>
          <w:sz w:val="18"/>
          <w:szCs w:val="18"/>
          <w:color w:val="auto"/>
        </w:rPr>
      </w:pPr>
    </w:p>
    <w:p>
      <w:pPr>
        <w:jc w:val="both"/>
        <w:ind w:left="1600" w:hanging="391"/>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jc w:val="both"/>
        <w:ind w:left="1600" w:hanging="391"/>
        <w:spacing w:after="0" w:line="238"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Merck may elect not to extend the research phase of our collaboration and we may otherwise be unable to reach agreement with Merck on the terms of a modified collaboration and regardless of whether we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3" w:name="page74"/>
    <w:bookmarkEnd w:id="73"/>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Merck reach agreement on the terms of a modified collaboration, our collaboration with Merck involves numerous risks, any of which could materially and adversely affect our business and financial condition.</w:t>
      </w:r>
    </w:p>
    <w:p>
      <w:pPr>
        <w:spacing w:after="0" w:line="17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Under the terms of the collaboration, Merck was required to notify us no later than March 17, 2021 of its unilateral decision whether to exercise its option to extend the research phase of the collaboration for an additional two-year term through March 16, 2024. In March 2021, Merck initiated discussions with us with respect to elements of the ongoing collaboration that might be optimized to better address the evolving interests and priorities of both NGM and Merck during the remainder of the current research phase through March 16, 2022 and during any extension of the current research phase and any tail period (which tail period is discussed under “Business—Our Collaboration with Merck” in Part I, Item 1A of this Annual Report on Form 10-K). In this regard, the parties are negotiating in good faith certain modifications to the terms of the collaboration. Such modifications may include, among other things, focusing NGM’s research and development under the collaboration on therapeutic areas of particular interest to Merck, while enabling NGM to conduct research and development outside of these therapeutic areas, which would, if mutually agreed to, allow NGM to discover and develop product candidates on its own or with third parties in other areas of interest. In order to allow negotiations to proceed, the parties have agreed to extend the March 17, 2021 deadline for Merck to deliver its extension notification decision until June 30, 2021. While we cannot predict whether or when Merck will elect to extend the research phase of the collaboration or on what terms, or whether or when we will reach agreement with Merck on the terms of a modified collaboration generally,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our funding obligations with respect to the development of our current and potential future product candidates will substantially increase following March 16, 2022, the end of the current two-year extension of the research phase, regardless of whether we are able to reach agreement with Merck on modified terms and we cannot otherwise assure you that Merck will elect to extend the research phase or that we will reach agreement with Merck on modified terms.</w:t>
      </w:r>
    </w:p>
    <w:p>
      <w:pPr>
        <w:spacing w:after="0" w:line="104"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In addition, the level of future research funding from Merck following the end of the current research phase is uncertain. For example, if Merck does not elect to extend the research phase, we expect that Merck would decide not to designate certain of our product candidates for development during the tail period and it is possible that Merck could decide not to designate any of our product candidates for development during the tail period, in which case research funding from Merck would be substantially reduced or eliminated following the end of the current research phase. In addition, Merck is not required to designate any of our product candidates for development during the tail period until the three-month period prior to the end of the research phase, which could delay or preclude our ability to move forward with the development of certain of our product candidates, and could otherwise result in uncertainty regarding the future prospects of certain of our product candidates. Moreover, our stock price could decline as a result of such uncertainty and/or Merck’s failure to designate certain of our product candidates for development during the tail period. Even if Merck elects to designate certain product candidates for development during the tail period, there are limits on Merck’s funding obligations and Merck has the ability to terminate the tail period early. In addition, in the event that Merck decides to take over any designated product candidates for development during the tail period, we could be subject to disputes with Merck with respect to their obligation to use commercially reasonable efforts with respect to such development, which could delay or preclude the further development of the affected product candidate, and we could otherwise be subject to disputes with Merck over the scope of the parties’ respective rights under the Collaboration Agreement.</w:t>
      </w:r>
    </w:p>
    <w:p>
      <w:pPr>
        <w:spacing w:after="0" w:line="10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addition, under the Collaboration Agreement, Merck has the unilateral right to terminate all or part of the agreement at certain times and under certain circumstances. Merck also may unilaterally terminate its annual funding of the research program prior to the end of the research phase if we are acquired by a third party or if we are in material uncured breach of our obligations under the research and early development program. After the current research phase of the collaboration or, if Merck again exercises its option to extend the research phase under modified collaboration terms, after such extension period, Merck may unilaterally terminate the overall agreement for convenience upon written notice and subject to certain limitations.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both"/>
        <w:ind w:firstLine="802"/>
        <w:spacing w:after="0" w:line="237"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MK-3655 or any future licensed program. For example, Merck terminated its license to our GDF15 receptor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If Merck terminates funding or terminates the Collaboration Agreement, if we are unable to reach agreement with Merck on the terms of a modified collaboration and Merck decides not to extend the research phase of the collaboration or shifts the focus of its research and development funding or if Merck declines to designate our product candidates for development during the tail period, it would delay or preclude our ability to complete our research and development programs, which would materially and adversely affect our business and our stock price would likely decline.</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17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data management organizations, clinical investigators, CMOs and other third parties to support our discovery efforts, to formulate product candidates, to conduct our clinical trials and certain aspects of our research and preclinical studies,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data management organizations, clinical investigators, CMOs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 If we or our collaborator need to enter into alternative arrangements, it would delay our product development activities and such alternative arrangements may not be available on terms acceptable to us.</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9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Any agreements we have or may enter into with these third parties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5" w:name="page76"/>
    <w:bookmarkEnd w:id="75"/>
    <w:p>
      <w:pPr>
        <w:jc w:val="both"/>
        <w:spacing w:after="0"/>
        <w:rPr>
          <w:sz w:val="20"/>
          <w:szCs w:val="20"/>
          <w:color w:val="auto"/>
        </w:rPr>
      </w:pPr>
      <w:r>
        <w:rPr>
          <w:rFonts w:ascii="Arial" w:cs="Arial" w:eastAsia="Arial" w:hAnsi="Arial"/>
          <w:sz w:val="18"/>
          <w:szCs w:val="18"/>
          <w:color w:val="auto"/>
        </w:rPr>
        <w:t>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9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or any other product candidate that Merck decides not to proceed with under the terms of a modified collaboration or after the end of the research phase, we may decide to collaborate with other pharmaceutical and biotechnology companies for their development and potential commercialization.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including the potential market for the subject product candidate.</w:t>
      </w:r>
    </w:p>
    <w:p>
      <w:pPr>
        <w:spacing w:after="0" w:line="10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also may be restricted under existing collaboration agreements from entering into future agreements on certain terms with potential collaborators. For example, under the current terms of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MK-3655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may not be able to negotiate potential future collaborations on a timely basis, on acceptable terms or at all. If we are unable to do so, we may have to delay, scale back or discontinue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17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All of our product candidates will be subject to rigorous and extensive clinical trials before we can seek regulatory approval from the FDA and comparable foreign regulatory authorities. Clinical trials may be delayed, suspended or terminated at any time for reasons including:</w:t>
      </w:r>
    </w:p>
    <w:p>
      <w:pPr>
        <w:spacing w:after="0" w:line="311" w:lineRule="exact"/>
        <w:rPr>
          <w:sz w:val="20"/>
          <w:szCs w:val="20"/>
          <w:color w:val="auto"/>
        </w:rPr>
      </w:pPr>
    </w:p>
    <w:p>
      <w:pPr>
        <w:ind w:left="1600" w:hanging="391"/>
        <w:spacing w:after="0" w:line="246" w:lineRule="auto"/>
        <w:tabs>
          <w:tab w:leader="none" w:pos="1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 including discussions with the FDA regarding initiation of our planned Phase 3 trial of aldafermin;</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IRBs, or other governing entities at clinical trial sites selected for participation in our clinical trials;</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including as a result of the evolving effects of the COVID-19 pandemic;</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6" w:name="page77"/>
    <w:bookmarkEnd w:id="76"/>
    <w:p>
      <w:pPr>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196" w:lineRule="exact"/>
        <w:rPr>
          <w:rFonts w:ascii="Arial" w:cs="Arial" w:eastAsia="Arial" w:hAnsi="Arial"/>
          <w:sz w:val="18"/>
          <w:szCs w:val="18"/>
          <w:color w:val="auto"/>
        </w:rPr>
      </w:pPr>
    </w:p>
    <w:p>
      <w:pPr>
        <w:jc w:val="both"/>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202"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or review of a clinical trial site or records of any clinical or preclinical investigation;</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 or</w:t>
      </w:r>
    </w:p>
    <w:p>
      <w:pPr>
        <w:spacing w:after="0" w:line="252" w:lineRule="exact"/>
        <w:rPr>
          <w:rFonts w:ascii="Arial" w:cs="Arial" w:eastAsia="Arial" w:hAnsi="Arial"/>
          <w:sz w:val="18"/>
          <w:szCs w:val="18"/>
          <w:color w:val="auto"/>
        </w:rPr>
      </w:pPr>
    </w:p>
    <w:p>
      <w:pPr>
        <w:ind w:left="1600" w:hanging="391"/>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2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particular, we or our partners may be unable to enroll the patients we need to complete clinical trials on a timely basis, or at all. For example, there is significant competition for recruiting patients with NASH in clinical trials. In the first quarter of 2020, we announced that enrollment in our ALPINE 2/3 clinical trial of aldafermin had been delayed beyond our initial projections. In addition, clinical trial enrollment generally continues to be negatively affected by the effects of the COVID-19 pandemic, including in our ongoing ALPINE 4, CATALINA and NGM120 trials, as a result of delays in additional clinical trial site initiation, suspension of enrollment at clinical trial sites or patient reluctance to participate in a clinical trial during quarantines or shelter-in-place orders or otherwise, particularly in medically vulnerable patient populations. If the evolving effects of the COVID-19 pandemic persist or become more severe, we could experience significant disruptions to our clinical development timelines, which would adversely affect our business, financial condition, results of operations and growth prospects.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also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4"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7" w:name="page78"/>
    <w:bookmarkEnd w:id="77"/>
    <w:p>
      <w:pPr>
        <w:jc w:val="both"/>
        <w:spacing w:after="0" w:line="238" w:lineRule="auto"/>
        <w:rPr>
          <w:sz w:val="20"/>
          <w:szCs w:val="20"/>
          <w:color w:val="auto"/>
        </w:rPr>
      </w:pPr>
      <w:r>
        <w:rPr>
          <w:rFonts w:ascii="Arial" w:cs="Arial" w:eastAsia="Arial" w:hAnsi="Arial"/>
          <w:sz w:val="18"/>
          <w:szCs w:val="18"/>
          <w:color w:val="auto"/>
        </w:rPr>
        <w:t>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product positive results or to demonstrate safety and efficacy to the satisfaction of regulatory authorities, we may incur additional costs or experience delays in completing, or ultimately be unable to complete, the development and commercialization of our product candidates.</w:t>
      </w:r>
    </w:p>
    <w:p>
      <w:pPr>
        <w:spacing w:after="0" w:line="191"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product candidates are in various stages of development and our most advanced product candidate, aldafermin, is still only in Phase 2 development. 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In addition, there is a high failure rate for drugs and biologic products proceeding through clinical trials and failure can occur at any stage of testing. Moreover, additional clinical trials may be required if clinical trial results are negative or inconclusive, which would require us to incur additional costs and significant delays. 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Owing in part to the complexity of biological pathways, our product candidates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9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95"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and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p>
    <w:p>
      <w:pPr>
        <w:spacing w:after="0" w:line="19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are developing aldafermin, and our collaborator is developing MK-3655, for the treatment of NASH, an indication for which there are no approved products. Implementation of new, or changes to, guidance or interpretations from the FDA or comparable foreign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regulatory authorities. Such evolution may impact our future clinical trial designs, including trial size and endpoints, in ways that we cannot currently predict.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8" w:name="page79"/>
    <w:bookmarkEnd w:id="78"/>
    <w:p>
      <w:pPr>
        <w:jc w:val="both"/>
        <w:spacing w:after="0"/>
        <w:rPr>
          <w:sz w:val="20"/>
          <w:szCs w:val="20"/>
          <w:color w:val="auto"/>
        </w:rPr>
      </w:pPr>
      <w:r>
        <w:rPr>
          <w:rFonts w:ascii="Arial" w:cs="Arial" w:eastAsia="Arial" w:hAnsi="Arial"/>
          <w:sz w:val="18"/>
          <w:szCs w:val="18"/>
          <w:color w:val="auto"/>
        </w:rPr>
        <w:t>In addition, certain of our competitors have recently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23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Success in preclinical studies and earlier-stage clinical trials does not ensure that later clinical trials will generate the same results or otherwise provide adequate data to demonstrate the effectiveness and safety of our product candidates. In this regard, despite the results reported in our Phase 1 and 2 clinical trials for aldafermin, in Phase 1 clinical trials for MK-3655, NGM621 and NGM120 and in preclinical studies for our other product candidates, including NGM707 and NGM438,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the results we obtained in our Phase 1 trials of aldafermin and in our completed Phase 2 trial, including the data from the fourth and final 24-week expansion cohort of that trial in patients with NASH with fibrosis stage F2 or F3, may not be indicative of the future results we obtain from our ongoing ALPINE 2/3 and ALPINE 4 trials and any Phase 3 trial. In addition, some of our clinical trials involve small patient populations, sometimes at single sites, and the results of these clinical trials may be subject to substantial variability and may not be indicative of either future interim results or final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23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and our research methodology may not successfully identify medically-relevant protein or antibody therapeutics or new product candidates. In addition, our drug discovery efforts tend to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new product candidates to advance into clinical trials could have a material adverse effect on our business, operating results and prospects.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Our reliance on third-party manufacturers entails risks to which we would not be subject if we manufactured product candidates or products ourselves, including risks related to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 In addition, we do not have a long-term supply agreement with any third-party manufacturer.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9" w:name="page80"/>
    <w:bookmarkEnd w:id="79"/>
    <w:p>
      <w:pPr>
        <w:jc w:val="both"/>
        <w:ind w:firstLine="802"/>
        <w:spacing w:after="0" w:line="236"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In this regard, if any of our product candidates are approved by the FDA or other regulatory agencies for commercial sale, we or our collaborator may need to manufacture it in large quantities. We intend to use third-party manufacturers for commercial quantities of aldafermin, NGM120, NGM621, NGM707 and NGM438, to the extent we advance these product candidates, and will rely on Merck to determine whether to utilize a third-party manufacturer or Merck’s internal manufacturing capacity for MK-3655 and other licensed product candidates. The process of manufacturing aldafermin and our other product candidates is complex, highly regulated and subject to several risks, including:</w:t>
      </w:r>
    </w:p>
    <w:p>
      <w:pPr>
        <w:spacing w:after="0" w:line="208" w:lineRule="exact"/>
        <w:rPr>
          <w:sz w:val="20"/>
          <w:szCs w:val="20"/>
          <w:color w:val="auto"/>
        </w:rPr>
      </w:pPr>
    </w:p>
    <w:p>
      <w:pPr>
        <w:jc w:val="both"/>
        <w:ind w:left="1600" w:hanging="391"/>
        <w:spacing w:after="0" w:line="237" w:lineRule="auto"/>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204"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w:t>
      </w:r>
    </w:p>
    <w:p>
      <w:pPr>
        <w:spacing w:after="0" w:line="196" w:lineRule="exact"/>
        <w:rPr>
          <w:rFonts w:ascii="Arial" w:cs="Arial" w:eastAsia="Arial" w:hAnsi="Arial"/>
          <w:sz w:val="18"/>
          <w:szCs w:val="18"/>
          <w:color w:val="auto"/>
        </w:rPr>
      </w:pPr>
    </w:p>
    <w:p>
      <w:pPr>
        <w:jc w:val="both"/>
        <w:ind w:left="1600" w:hanging="391"/>
        <w:spacing w:after="0" w:line="238" w:lineRule="auto"/>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turnover of qualified staff, financial difficulties of our contract manufacturers, including as a result of the evolving effects of the COVID-19 pandemic, natural disasters, power failures, local political unrest and numerous other factors; and</w:t>
      </w:r>
    </w:p>
    <w:p>
      <w:pPr>
        <w:spacing w:after="0" w:line="204" w:lineRule="exact"/>
        <w:rPr>
          <w:rFonts w:ascii="Arial" w:cs="Arial" w:eastAsia="Arial" w:hAnsi="Arial"/>
          <w:sz w:val="18"/>
          <w:szCs w:val="18"/>
          <w:color w:val="auto"/>
        </w:rPr>
      </w:pPr>
    </w:p>
    <w:p>
      <w:pPr>
        <w:jc w:val="both"/>
        <w:ind w:left="1600" w:hanging="391"/>
        <w:spacing w:after="0" w:line="237" w:lineRule="auto"/>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or the scale up of manufacturing operations for our products may result in shipment delays, inventory shortages, lot failures, product withdrawals or recalls or other interruptions in the supply of our product candidates. We may also have to record inventory write-offs and incur other charges and expenses for product candidates or drug substances that fail to meet specifications or cannot be used before their expiration dates. In addition, for out of specification materials, we may need to undertake costly remediation efforts or seek costlier manufacturing alternatives.</w:t>
      </w:r>
    </w:p>
    <w:p>
      <w:pPr>
        <w:spacing w:after="0" w:line="20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also have a single source of supply for aldafermin and most of our other product candidates, including the drug substances used in manufacturing them. Single sourcing minimizes our leverage with our contract manufacturers, who may take advantage of our reliance on them to increase the pricing of their manufacturing services. Single sourcing also imposes a risk of interruption in supply in the event of manufacturing, quality or compliance difficulties. In addition, we do not currently have arrangements in place for redundant supply for bulk drug substances or drug product. If one of our suppliers fails or refuses to supply us for any reason, it would take a significant amount of time and cost to implement and execute the necessary technology transfer to, and to qualify, a new supplier. The FDA or comparable foreign regulatory authority must approve manufacturers of drug substance and drug product. If there are any delays in qualifying new suppliers or facilities or a new supplier is unable to meet the requirements of the FDA or comparable foreign regulatory authority for approval, there could be a shortage of drug substance or drug product for use in clinical trials with respect to the affected product candidates.</w:t>
      </w:r>
    </w:p>
    <w:p>
      <w:pPr>
        <w:spacing w:after="0" w:line="27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addition, the operations of our third-party manufacturers may be requisitioned, diverted or allocated by U.S. or foreign government orders such as under emergency, disaster and civil defense declarations in connection with the COVID-19 pandemic or otherwise. As an example, in 2020, the Defense Production Act was invoked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in a way that delays or interrupts our supply of clinical trial material.</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have entered into third-party supply agreements for the production of aldafermin for our clinical trials with Lonza Ltd, or Lonza, for Phase 3 and commercial supplies of the aldafermin drug substance. If our third-party suppliers, including Lonza or our aldafermin drug product manufacturer, are not able to provide us with sufficient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0" w:name="page81"/>
    <w:bookmarkEnd w:id="80"/>
    <w:p>
      <w:pPr>
        <w:jc w:val="both"/>
        <w:spacing w:after="0" w:line="236" w:lineRule="auto"/>
        <w:rPr>
          <w:sz w:val="20"/>
          <w:szCs w:val="20"/>
          <w:color w:val="auto"/>
        </w:rPr>
      </w:pPr>
      <w:r>
        <w:rPr>
          <w:rFonts w:ascii="Arial" w:cs="Arial" w:eastAsia="Arial" w:hAnsi="Arial"/>
          <w:sz w:val="18"/>
          <w:szCs w:val="18"/>
          <w:color w:val="auto"/>
        </w:rPr>
        <w:t>quantities of aldafermin for our clinical trials on a timely basis, or at all, whether due to production shortages or other supply delays or interruptions resulting from the ongoing COVID-19 pandemic or otherwise, our clinical trials or regulatory approval may be delayed. In this regard,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turnover of qualified staff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our ongoing and planned aldafermin trials, which could materially and adversely affect our business.</w:t>
      </w:r>
    </w:p>
    <w:p>
      <w:pPr>
        <w:spacing w:after="0" w:line="9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In addition, our drug products require the use of pre-filled syringes or syringe components which have been the subject of shortages amplified by the COVID-19 pandemic due to their use in, among other things, COVID-19 vaccine production. Any significant delay in the acquisition or decrease in the availability of these raw materials, pre-filled syringes or syringe components could considerably delay the manufacture of our product candidates or the conduct of our clinical trials, which could adversely impact the timing or completion of any ongoing and planned trials or the timing of regulatory approvals, if any, of our product candidates.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manufacture of biologic products is complex, highly regulated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Any delay or interruption in the supply of clinical trial material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7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Patients in certain of our ongoing or planned clinical trials, particularly those with NASH with more advanced fibrosis and patients with cancer, also often commonly enter our trials with significant comorbidities or advanced life-threatening illness and/or are treated in the trial with our product candidate in combination with other medications, including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99"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clinical trials of aldafermin to date, a number of serious adverse events, or SAEs, most of which have been mostly classified as mild to moderate, have been reported in the aldafermin treatment arms of our completed Phase 1 and Phase 2 clinical trials of aldafermin, including one patient receiving aldafermin in Cohort 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1" w:name="page82"/>
    <w:bookmarkEnd w:id="81"/>
    <w:p>
      <w:pPr>
        <w:jc w:val="both"/>
        <w:spacing w:after="0" w:line="237" w:lineRule="auto"/>
        <w:rPr>
          <w:sz w:val="20"/>
          <w:szCs w:val="20"/>
          <w:color w:val="auto"/>
        </w:rPr>
      </w:pPr>
      <w:r>
        <w:rPr>
          <w:rFonts w:ascii="Arial" w:cs="Arial" w:eastAsia="Arial" w:hAnsi="Arial"/>
          <w:sz w:val="18"/>
          <w:szCs w:val="18"/>
          <w:color w:val="auto"/>
        </w:rPr>
        <w:t>of our Phase 2 clinical trial who experienced an SAE, acute pancreatitis, that was assessed as possibly related to aldafermin. Patients have also experienced, and we have reported, SAEs in our completed trials of MK-3655, NGM621 and NGM120. SAEs reported in our ongoing Phase 2 CATALINA trial of NGM621, which remains blinded, include worsening of vision in non-study eye. We expect that patients in our clinical trials will continue to experience adverse events and SAEs and we will continue to monitor those SAEs for any signals of concern regarding the safety and tolerability of our product candidates. If patients in any of our clinical trials experience a high or unacceptable severity and prevalence of side effects, including particularly SAEs, it could affect patient recruitment or the ability of enrolled patients to complete their treatment in a clinical trial or result in failure to obtain regulatory approval for our product candidates or product liability claims.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addition, significant increases in serum levels of low-density lipoprotein, or LDL, cholesterol were observed in clinical trials of aldafermin in patients with NASH and type 2 diabetes. Serum levels of LDL cholesterol were brought back to baseline levels with concomitant statin use in patients with NASH; however, the impact of these drug-induced changes in LDL cholesterol are unknown. Generally, sustained and prolonged LDL cholesterol elevations in untreated patients are associated with cardiovascular disease through atherosclerotic plaque development. While in Cohorts 2, 3 and 4 of our completed Phase 2 clinical trial of aldafermin we demonstrated the ability of concomitant statin use to mitigate the serum LDL cholesterol elevations driven by aldafermin activity, aldafermin’s impact on LDL may negatively impact market acceptance of an approved aldafermin product.</w:t>
      </w:r>
    </w:p>
    <w:p>
      <w:pPr>
        <w:spacing w:after="0" w:line="95"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Our product candidates, including aldafermin, which is an engineered variant of the human hormone fibroblast growth factor 19, or FGF19, protein,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are developing an assay to measure the presence of ADAs against aldafermin for our ongoing NASH program, which will need to be used to test patient samples and then evaluated by regulatory agencies. The presence of 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 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10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IVT injections, including by most investigators in the Phase 2 CATALINA trial, has issued a notice that such single-use syringes should not be used for ocular medications due to an increased potential for adverse eye conditions. We have not experienced any safety concerns in our ongoing or completed NGM621 clinical trials relating to syringe use; however, we have communicated with the FDA and our 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2" w:name="page83"/>
    <w:bookmarkEnd w:id="82"/>
    <w:p>
      <w:pPr>
        <w:jc w:val="both"/>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17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The aldafermin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safe and superior to alternative treatments. Concerns about the association between FGF19 and liver cancer could have an adverse effect on our ability to develop and commercialize aldafermin.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7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activities related to NGM386, NGM395, NGM621 administered systemically and NGM217 to concentrate our resources on other product candidates, also may be incorrect and could cause us to miss valuable opportunities.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both"/>
        <w:ind w:firstLine="802"/>
        <w:spacing w:after="0" w:line="236" w:lineRule="auto"/>
        <w:rPr>
          <w:sz w:val="20"/>
          <w:szCs w:val="20"/>
          <w:color w:val="auto"/>
        </w:rPr>
      </w:pPr>
      <w:r>
        <w:rPr>
          <w:rFonts w:ascii="Arial" w:cs="Arial" w:eastAsia="Arial" w:hAnsi="Arial"/>
          <w:sz w:val="18"/>
          <w:szCs w:val="18"/>
          <w:color w:val="auto"/>
        </w:rPr>
        <w:t>Under the current terms of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BLA. As a result of such incomplete information or due to incorrect analysis by us, we may select a cost and profit share program that later proves to have less commercial potential than an alternative, or none at all, or may pass on a cost and profit-sharing program that proves commercially successful.</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191"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personnel. 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23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the evolving effects of the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7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4" w:name="page85"/>
    <w:bookmarkEnd w:id="84"/>
    <w:p>
      <w:pPr>
        <w:jc w:val="both"/>
        <w:spacing w:after="0" w:line="236" w:lineRule="auto"/>
        <w:rPr>
          <w:sz w:val="20"/>
          <w:szCs w:val="20"/>
          <w:color w:val="auto"/>
        </w:rPr>
      </w:pPr>
      <w:r>
        <w:rPr>
          <w:rFonts w:ascii="Arial" w:cs="Arial" w:eastAsia="Arial" w:hAnsi="Arial"/>
          <w:sz w:val="18"/>
          <w:szCs w:val="18"/>
          <w:color w:val="auto"/>
        </w:rPr>
        <w:t>and universities and other research institutions. A number of pharmaceutical and biotechnology companies are pursuing the development or marketing of pharmaceuticals that target the same diseases that are targeted by our most advanced product candidates.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9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Although we believe there are no FDA-approved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in Part I, Item 1 of this Annual Report on Form 10-K.</w:t>
      </w:r>
    </w:p>
    <w:p>
      <w:pPr>
        <w:spacing w:after="0" w:line="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205" w:lineRule="exact"/>
        <w:rPr>
          <w:sz w:val="20"/>
          <w:szCs w:val="20"/>
          <w:color w:val="auto"/>
        </w:rPr>
      </w:pPr>
    </w:p>
    <w:p>
      <w:pPr>
        <w:ind w:left="1600" w:hanging="391"/>
        <w:spacing w:after="0"/>
        <w:tabs>
          <w:tab w:leader="none" w:pos="1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5" w:name="page86"/>
    <w:bookmarkEnd w:id="85"/>
    <w:p>
      <w:pPr>
        <w:ind w:left="1600" w:hanging="391"/>
        <w:spacing w:after="0" w:line="246" w:lineRule="auto"/>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11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In addition, see the risk factor titled “</w:t>
      </w:r>
      <w:r>
        <w:rPr>
          <w:rFonts w:ascii="Arial" w:cs="Arial" w:eastAsia="Arial" w:hAnsi="Arial"/>
          <w:sz w:val="18"/>
          <w:szCs w:val="18"/>
          <w:i w:val="1"/>
          <w:iCs w:val="1"/>
          <w:color w:val="auto"/>
        </w:rPr>
        <w:t>Our product candidates may cause undesirable side effects or adverse events or have other properties or safety risks, which could</w:t>
      </w:r>
      <w:r>
        <w:rPr>
          <w:rFonts w:ascii="Arial" w:cs="Arial" w:eastAsia="Arial" w:hAnsi="Arial"/>
          <w:sz w:val="18"/>
          <w:szCs w:val="18"/>
          <w:color w:val="auto"/>
        </w:rPr>
        <w:t xml:space="preserve"> </w:t>
      </w:r>
      <w:r>
        <w:rPr>
          <w:rFonts w:ascii="Arial" w:cs="Arial" w:eastAsia="Arial" w:hAnsi="Arial"/>
          <w:sz w:val="18"/>
          <w:szCs w:val="18"/>
          <w:i w:val="1"/>
          <w:iCs w:val="1"/>
          <w:color w:val="auto"/>
        </w:rPr>
        <w:t>delay or prevent continued clinical development or their regulatory approval or limit the commercial profile of any approved label</w:t>
      </w:r>
      <w:r>
        <w:rPr>
          <w:rFonts w:ascii="Arial" w:cs="Arial" w:eastAsia="Arial" w:hAnsi="Arial"/>
          <w:sz w:val="18"/>
          <w:szCs w:val="18"/>
          <w:color w:val="auto"/>
        </w:rPr>
        <w:t>” above. If</w:t>
      </w:r>
      <w:r>
        <w:rPr>
          <w:rFonts w:ascii="Arial" w:cs="Arial" w:eastAsia="Arial" w:hAnsi="Arial"/>
          <w:sz w:val="18"/>
          <w:szCs w:val="18"/>
          <w:i w:val="1"/>
          <w:iCs w:val="1"/>
          <w:color w:val="auto"/>
        </w:rPr>
        <w:t xml:space="preserve"> </w:t>
      </w:r>
      <w:r>
        <w:rPr>
          <w:rFonts w:ascii="Arial" w:cs="Arial" w:eastAsia="Arial" w:hAnsi="Arial"/>
          <w:sz w:val="18"/>
          <w:szCs w:val="18"/>
          <w:color w:val="auto"/>
        </w:rPr>
        <w:t>any product candidate is approved but does not achieve an adequate level of acceptance by such parties, we may not generate or derive sufficient revenue from that product candidate and may not become or remain profitable.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191"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partners may not be able to successfully commercialize any product candidate for which marketing approval is obtained.</w:t>
      </w:r>
    </w:p>
    <w:p>
      <w:pPr>
        <w:spacing w:after="0" w:line="10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likely will consider other legislation to modify or replace additional 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The Supreme Court of the United States is currently reviewing this case, although it is unclear when a decision will be made. It is also unclear how the Supreme Court ruling, other such litigation and the healthcare reform measures of the Biden administration will impact the ACA or our business.</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Recently, 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99"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It is also possible that additional governmental action is taken in response to the COVID-19 pandemic. Such reforms could have an adverse effect on anticipated revenue from product candidates that we may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7" w:name="page88"/>
    <w:bookmarkEnd w:id="87"/>
    <w:p>
      <w:pPr>
        <w:jc w:val="both"/>
        <w:ind w:right="20"/>
        <w:spacing w:after="0" w:line="246" w:lineRule="auto"/>
        <w:rPr>
          <w:sz w:val="20"/>
          <w:szCs w:val="20"/>
          <w:color w:val="auto"/>
        </w:rPr>
      </w:pPr>
      <w:r>
        <w:rPr>
          <w:rFonts w:ascii="Arial" w:cs="Arial" w:eastAsia="Arial" w:hAnsi="Arial"/>
          <w:sz w:val="18"/>
          <w:szCs w:val="18"/>
          <w:color w:val="auto"/>
        </w:rPr>
        <w:t>successfully develop and for which we may obtain regulatory approval and may affect our overall financial condition and ability to develop product candidates.</w:t>
      </w:r>
    </w:p>
    <w:p>
      <w:pPr>
        <w:spacing w:after="0" w:line="8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particularly under the new Biden administration.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202" w:lineRule="exact"/>
        <w:rPr>
          <w:sz w:val="20"/>
          <w:szCs w:val="20"/>
          <w:color w:val="auto"/>
        </w:rPr>
      </w:pPr>
    </w:p>
    <w:p>
      <w:pPr>
        <w:ind w:left="1600" w:hanging="391"/>
        <w:spacing w:after="0" w:line="246"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supply or manufacturing capabilities abroad, including those that may result from the ongoing COVID-19 pandemic;</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96" w:lineRule="exact"/>
        <w:rPr>
          <w:rFonts w:ascii="Arial" w:cs="Arial" w:eastAsia="Arial" w:hAnsi="Arial"/>
          <w:sz w:val="18"/>
          <w:szCs w:val="18"/>
          <w:color w:val="auto"/>
        </w:rPr>
      </w:pPr>
    </w:p>
    <w:p>
      <w:pPr>
        <w:jc w:val="both"/>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 and</w:t>
      </w:r>
    </w:p>
    <w:p>
      <w:pPr>
        <w:spacing w:after="0" w:line="202" w:lineRule="exact"/>
        <w:rPr>
          <w:rFonts w:ascii="Arial" w:cs="Arial" w:eastAsia="Arial" w:hAnsi="Arial"/>
          <w:sz w:val="18"/>
          <w:szCs w:val="18"/>
          <w:color w:val="auto"/>
        </w:rPr>
      </w:pPr>
    </w:p>
    <w:p>
      <w:pPr>
        <w:jc w:val="both"/>
        <w:ind w:left="1600" w:hanging="391"/>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95" w:lineRule="exact"/>
        <w:rPr>
          <w:sz w:val="20"/>
          <w:szCs w:val="20"/>
          <w:color w:val="auto"/>
        </w:rPr>
      </w:pPr>
    </w:p>
    <w:p>
      <w:pPr>
        <w:ind w:firstLine="802"/>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8" w:name="page89"/>
    <w:bookmarkEnd w:id="88"/>
    <w:p>
      <w:pPr>
        <w:jc w:val="both"/>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310" w:lineRule="exact"/>
        <w:rPr>
          <w:sz w:val="20"/>
          <w:szCs w:val="20"/>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91"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obtains marketing approval. Restrictions under applicable federal and state healthcare laws and regulations, include the following:</w:t>
      </w:r>
    </w:p>
    <w:p>
      <w:pPr>
        <w:spacing w:after="0" w:line="313" w:lineRule="exact"/>
        <w:rPr>
          <w:sz w:val="20"/>
          <w:szCs w:val="20"/>
          <w:color w:val="auto"/>
        </w:rPr>
      </w:pPr>
    </w:p>
    <w:p>
      <w:pPr>
        <w:jc w:val="both"/>
        <w:ind w:left="1600" w:hanging="391"/>
        <w:spacing w:after="0" w:line="238" w:lineRule="auto"/>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both"/>
        <w:ind w:left="1600" w:hanging="391"/>
        <w:spacing w:after="0" w:line="245" w:lineRule="auto"/>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federal False Claims Act, or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8" w:lineRule="exact"/>
        <w:rPr>
          <w:rFonts w:ascii="Arial" w:cs="Arial" w:eastAsia="Arial" w:hAnsi="Arial"/>
          <w:sz w:val="18"/>
          <w:szCs w:val="18"/>
          <w:color w:val="auto"/>
        </w:rPr>
      </w:pPr>
    </w:p>
    <w:p>
      <w:pPr>
        <w:jc w:val="both"/>
        <w:ind w:left="1600" w:hanging="391"/>
        <w:spacing w:after="0" w:line="238" w:lineRule="auto"/>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204" w:lineRule="exact"/>
        <w:rPr>
          <w:rFonts w:ascii="Arial" w:cs="Arial" w:eastAsia="Arial" w:hAnsi="Arial"/>
          <w:sz w:val="18"/>
          <w:szCs w:val="18"/>
          <w:color w:val="auto"/>
        </w:rPr>
      </w:pPr>
    </w:p>
    <w:p>
      <w:pPr>
        <w:jc w:val="both"/>
        <w:ind w:left="1600" w:hanging="391"/>
        <w:spacing w:after="0" w:line="238" w:lineRule="auto"/>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1600" w:hanging="391"/>
        <w:spacing w:after="0" w:line="236" w:lineRule="auto"/>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payments and transfers of value to physician assistants, nurse practitioners, anesthesiologist assistants, clinical nurse specialists, certified registered nurse anesthetists and certified nurse midwives during the previous year; and</w:t>
      </w:r>
    </w:p>
    <w:p>
      <w:pPr>
        <w:spacing w:after="0" w:line="205" w:lineRule="exact"/>
        <w:rPr>
          <w:rFonts w:ascii="Arial" w:cs="Arial" w:eastAsia="Arial" w:hAnsi="Arial"/>
          <w:sz w:val="18"/>
          <w:szCs w:val="18"/>
          <w:color w:val="auto"/>
        </w:rPr>
      </w:pPr>
    </w:p>
    <w:p>
      <w:pPr>
        <w:jc w:val="both"/>
        <w:ind w:left="1600" w:hanging="391"/>
        <w:spacing w:after="0" w:line="236" w:lineRule="auto"/>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9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0" w:name="page91"/>
    <w:bookmarkEnd w:id="90"/>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 for NGM120, NGM621, NGM707 and NGM438 is located in a region that has experienced political unrest. If our operations or the operations of third parties providing services to us experiences are disrupted by any such occurrences, our business and future prospects may be negatively affected.</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19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100"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Following guidance from federal, state and local authorities, we transitioned to a remote work environment for the vast majority of our employees in March 2020, while maintaining essential in-person laboratory work and other essential business functions in order to advance key research and development initiatives, supported by the implementation of updated onsite safety procedures. In June 2020, following updated guidance from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we transitioned to a remote work model in March 2020, we experienced higher-than-normal employee turnover and an increased rate of hiring new employees. We cannot predict whether this higher turnover rate will continue and what its impact will be on productivity, whether these trends will continue or be exacerbated, when we will be permitted to return to an office-based working model or whether we will be required to adopt a more restrictive work model. Continuation of current or similar, and perhaps more severe, disruptions in our operations could materially and adversely impact our business, financial condition, results of operations and growth prospects.</w:t>
      </w:r>
    </w:p>
    <w:p>
      <w:pPr>
        <w:spacing w:after="0" w:line="105"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As the pandemic continues, there may be continuing negative impacts on our ability to initiate new clinical trial sites, maintain enrollment of existing patients and enroll new patients, which may affect timelines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both"/>
        <w:spacing w:after="0" w:line="235" w:lineRule="auto"/>
        <w:rPr>
          <w:sz w:val="20"/>
          <w:szCs w:val="20"/>
          <w:color w:val="auto"/>
        </w:rPr>
      </w:pPr>
      <w:r>
        <w:rPr>
          <w:rFonts w:ascii="Arial" w:cs="Arial" w:eastAsia="Arial" w:hAnsi="Arial"/>
          <w:sz w:val="18"/>
          <w:szCs w:val="18"/>
          <w:color w:val="auto"/>
        </w:rPr>
        <w:t>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we have experienced, from to time, a slower pace of clinical site initiation and enrollment than anticipated in certain of our clinical trials, including the ALPINE 4, CATALINA and NGM120 trials, and we have experienced a higher dropout rate than anticipated in our ALPINE 2/3 trial after we completed enrollment, due to factors such as the vulnerability of our studied patient populations, clinical trial site suspensions, reallocation of medical resources and the challenges of working remotely due to shelter-in-place and similar government orders, among other factors. 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current Good Clinical Practices, or cGCPs, with any material protocol deviation reviewed and approved by the clinical trial site IRB. If any of the foregoing efforts to mitigate the impact of the COVID-19 pandemic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regulatory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Quarantines, shelter-in-place and similar government orders could impact personnel at third-party manufacturing facilities in the United States and other countries, or the availability or cost of materials, which would disrupt our supply chain and delay our clinical development efforts. Likewise, the operations of our third-party manufacturers may be requisitioned, diverted or allocated by U.S. or foreign government orders such as under emergency, disaster and civil defense declarations in connection with the COVID-19 pandemic or otherwise. Refer the risk factor titled “We are subject to many manufacturing risks, any of which could substantially increase our costs and limit supply of our product candidates and any future products.” 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98"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While the potential economic impact caused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to exercise its remaining option to extend the research phase of the collaboration beyond March 16, 2022 or to reach agreement with us on the terms of a modified collaboration, if any.</w:t>
      </w:r>
    </w:p>
    <w:p>
      <w:pPr>
        <w:spacing w:after="0" w:line="203"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2" w:name="page93"/>
    <w:bookmarkEnd w:id="92"/>
    <w:p>
      <w:pPr>
        <w:jc w:val="both"/>
        <w:spacing w:after="0" w:line="238" w:lineRule="auto"/>
        <w:rPr>
          <w:sz w:val="20"/>
          <w:szCs w:val="20"/>
          <w:color w:val="auto"/>
        </w:rPr>
      </w:pPr>
      <w:r>
        <w:rPr>
          <w:rFonts w:ascii="Arial" w:cs="Arial" w:eastAsia="Arial" w:hAnsi="Arial"/>
          <w:sz w:val="18"/>
          <w:szCs w:val="18"/>
          <w:color w:val="auto"/>
        </w:rPr>
        <w:t>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our CROs, our CMOs and other third parties we rely on could experience a cybersecurity incident that could harm our business.</w:t>
      </w:r>
    </w:p>
    <w:p>
      <w:pPr>
        <w:spacing w:after="0" w:line="17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in the course of our business. The information and data processed and stored in our technology systems, and those of our research collaborators, CROs, CMOs, contractors, consultants and other third parties on which we depend to operate our business, may be vulnerable to security breaches, loss, damage, corruption, unauthorized access, use or disclosure, or misappropriation. Such incidents also may result from errors or malfeasance by our personnel or the personnel of the third parties we work with,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97"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Despite our efforts to strengthen security and authentication measures, we have experienced an overall increase in cybersecurity incidents, none of which have caused material disruption to our business, or to our knowledge, involved a material security breach. In June 2019, a vendor that conducted bioanalytical services for some of our aldafermin clinical trials experienced a ransomware attack that resulted in a significant disruption to its IT systems but did not affect the integrity of our clinical sample data for aldafermin, as verified by independent vendors. More recently, in December 2020, we detected that an attacker had gained access to a single system on our network and unsuccessfully attempted to use that access to stage a broader attack against us. We or the third parties we rely on could experience a material system failure, security breach or other cybersecurity incident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could also result in substantial remediation costs and expose us to litigation, regulatory enforcement action, fines, penalties and other liabilities.</w:t>
      </w:r>
    </w:p>
    <w:p>
      <w:pPr>
        <w:spacing w:after="0" w:line="10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cannot be certain that our insurance coverage will be adequate for data security liabilities actually incurred,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3" w:name="page94"/>
    <w:bookmarkEnd w:id="93"/>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and data protection. The restrictions imposed by these requirements or our failure to comply with them could harm our business.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may collect, use or transfer personal information from clinical trials participants and other individuals located in the EU. Additionally, if any of our product candidates are approved, we may seek to commercialize those products in the EU. The collection and use of personal information, including health data, in the EU and EEA are governed by the General Data Protection Regulation ((EU) 2016/679), or GDPR. Companies that violate the GDPR can face private litigation, prohibitions on data processing and fines of up to the greater of 20 million Euros or 4% of their worldwide annual revenue. The GDPR requires us to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 most other countries unless the receiving country offers comparable data protection laws. Decisions by the Court of Justice of the European Union, or CJEU, indicate that the United States does not offer adequate data protection that is comparable to the GDPR; however, one of the primary safeguards allowing United States companies to continue to import personal information from the EU has been the European Commission’s Standard Contractual Clauses, or SCCs. SCCs are standard contractual obligations that may be entered between a party exporting personal information from the EU and a party receiving the personal information in a third country. The CJEU adopted a decision in July 2020 validating that the SCCs can lawfully be used for personal information transfers from the EU to the United States, provided that the party exporting personal information from the EU conduct an analysis of the level of data protection available and take additional steps to guarantee adequate data protection, if needed. If adequate data protection cannot be guaranteed, EU citizens may complain to the data protection authorities, which may require data transfer under the contract to be suspended.</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continue to monitor changes in European data protection laws; however, uncertainty remains regarding any future regulations, interpretations or guidance that may be issued by the European authorities. At present, we primarily rely on individuals’ explicit consent to transfer their personal information from Europe to the United States and other countries, but in certain cases we have relied or may rely on the SCCs.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the export and processing of personal information from Europe. Our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w:t>
      </w:r>
    </w:p>
    <w:p>
      <w:pPr>
        <w:spacing w:after="0" w:line="9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there is currently a lack of clarity regarding the process for transferring personal information from the EU to the United Kingdom in compliance with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transfers of European personal information to the United Kingdom will require an approved compliance mechanism to render such transfers lawful under the GDPR. As of February 2021, the European Commission has launched a process towards the adoption of an adequacy decision for transfers of personal data from the EU to the United Kingdom, having concluded that the United Kingdom ensures an essentially equivalent level of protection to that guaranteed under the GDPR; however, uncertainty remains regarding how data transfers to and from the United Kingdom ultimately will be regulated after Brexit. The UK has incorporated an amended version of the GDPR into UK law, which is independent from but aligned with the EU’s GDPR. Non-compliance with the UK data protection law may result in monetary penalties of up to £17.5 million or 4% of worldwide revenue, whichever is higher.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p>
      <w:pPr>
        <w:jc w:val="both"/>
        <w:ind w:firstLine="802"/>
        <w:spacing w:after="0" w:line="236" w:lineRule="auto"/>
        <w:rPr>
          <w:sz w:val="20"/>
          <w:szCs w:val="20"/>
          <w:color w:val="auto"/>
        </w:rPr>
      </w:pPr>
      <w:r>
        <w:rPr>
          <w:rFonts w:ascii="Arial" w:cs="Arial" w:eastAsia="Arial" w:hAnsi="Arial"/>
          <w:sz w:val="18"/>
          <w:szCs w:val="18"/>
          <w:color w:val="auto"/>
        </w:rPr>
        <w:t>Privacy and data security laws in the United States are increasingly complex and changing rapidly. Just over a month after the GDPR took effect, the California legislature passed the California Consumer Privacy Act of 2018, or CCPA, which took effect on January 1, 2020. The CCPA gives California residents certain rights similar to the individual rights given under the GDPR, including the right to access and delete their personal information, opt-out of certain personal information sharing and receive detailed information about how their personal information is used. The CCPA provides for civil penalties for violations. Since the enactment of the CCPA, new privacy and data security laws have been proposed in more than half of the states and in United States Congress, reflecting a trend toward more stringent privacy legislation in the United States. The CCPA itself will expand substantially as a result of California voters approving a November 2020 ballot measure that adopted the California Privacy Rights Act of 2020, which becomes fully effective on January 1, 2023, and will, among other things, create a new administrative agency to implement and enforce California’s privacy laws. While certain clinical trials activities are exempt from the CCPA’s requirements, other personal information that we handle may be subject to the CCPA, which may increase our compliance costs, exposure to regulatory enforcement action and other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3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191"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9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305" w:lineRule="exact"/>
        <w:rPr>
          <w:sz w:val="20"/>
          <w:szCs w:val="20"/>
          <w:color w:val="auto"/>
        </w:rPr>
      </w:pPr>
    </w:p>
    <w:p>
      <w:pPr>
        <w:ind w:left="1600" w:hanging="391"/>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5" w:name="page96"/>
    <w:bookmarkEnd w:id="95"/>
    <w:p>
      <w:pPr>
        <w:ind w:left="1600" w:right="20" w:hanging="391"/>
        <w:spacing w:after="0" w:line="246" w:lineRule="auto"/>
        <w:tabs>
          <w:tab w:leader="none" w:pos="1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9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product approval. Accordingly, although aldafermin has received Fast Track designation from the FDA for NASH, we may not necessarily experience faster development timelines or achieve faster review or approval compared to conventional FDA procedures.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seek accelerated approval for one of our product candidates, including aldafermin for NASH,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6" w:name="page97"/>
    <w:bookmarkEnd w:id="96"/>
    <w:p>
      <w:pPr>
        <w:jc w:val="both"/>
        <w:ind w:firstLine="802"/>
        <w:spacing w:after="0" w:line="236"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0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other regulatory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203" w:lineRule="exact"/>
        <w:rPr>
          <w:sz w:val="20"/>
          <w:szCs w:val="20"/>
          <w:color w:val="auto"/>
        </w:rPr>
      </w:pPr>
    </w:p>
    <w:p>
      <w:pPr>
        <w:ind w:left="1600" w:hanging="391"/>
        <w:spacing w:after="0" w:line="246" w:lineRule="auto"/>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w:t>
      </w:r>
    </w:p>
    <w:p>
      <w:pPr>
        <w:spacing w:after="0"/>
        <w:rPr>
          <w:sz w:val="20"/>
          <w:szCs w:val="20"/>
          <w:color w:val="auto"/>
        </w:rPr>
      </w:pPr>
      <w:r>
        <w:rPr>
          <w:rFonts w:ascii="Arial" w:cs="Arial" w:eastAsia="Arial" w:hAnsi="Arial"/>
          <w:sz w:val="18"/>
          <w:szCs w:val="18"/>
          <w:color w:val="auto"/>
        </w:rPr>
        <w:t>revenue.</w:t>
      </w:r>
    </w:p>
    <w:p>
      <w:pPr>
        <w:spacing w:after="0" w:line="10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9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7" w:name="page98"/>
    <w:bookmarkEnd w:id="97"/>
    <w:p>
      <w:pPr>
        <w:jc w:val="both"/>
        <w:spacing w:after="0" w:line="237" w:lineRule="auto"/>
        <w:rPr>
          <w:sz w:val="20"/>
          <w:szCs w:val="20"/>
          <w:color w:val="auto"/>
        </w:rPr>
      </w:pPr>
      <w:r>
        <w:rPr>
          <w:rFonts w:ascii="Arial" w:cs="Arial" w:eastAsia="Arial" w:hAnsi="Arial"/>
          <w:sz w:val="18"/>
          <w:szCs w:val="18"/>
          <w:color w:val="auto"/>
        </w:rPr>
        <w:t>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8" w:name="page99"/>
    <w:bookmarkEnd w:id="98"/>
    <w:p>
      <w:pPr>
        <w:jc w:val="both"/>
        <w:spacing w:after="0" w:line="246" w:lineRule="auto"/>
        <w:rPr>
          <w:sz w:val="20"/>
          <w:szCs w:val="20"/>
          <w:color w:val="auto"/>
        </w:rPr>
      </w:pPr>
      <w:r>
        <w:rPr>
          <w:rFonts w:ascii="Arial" w:cs="Arial" w:eastAsia="Arial" w:hAnsi="Arial"/>
          <w:sz w:val="18"/>
          <w:szCs w:val="18"/>
          <w:color w:val="auto"/>
        </w:rPr>
        <w:t>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8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 licensees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98"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9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although it is disclosed and claimed in our pending U.S. non-provisional and/or national stage applications in particular foreign countries. Likewise, we do not currently own or have a license to any issued patents that cover our NGM707 and NGM438 product candidates, although these product candidates are disclosed and claimed in our pending U.S. provisional applications. The patent landscape surrounding all of our product candidates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NGM621, NGM707 and NGM438 or any of our other product candidates.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Several third parties are actively researching and seeking and obtaining patent protection in the liver and metabolic diseases, retinal diseases and cancer fields, and there are issued third-party patents and published third-party patent applications in these fields. The patent landscape around our product candidates is complex, and we are aware of several third-party patents and patent applications containing claims directed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9" w:name="page100"/>
    <w:bookmarkEnd w:id="99"/>
    <w:p>
      <w:pPr>
        <w:jc w:val="both"/>
        <w:spacing w:after="0"/>
        <w:rPr>
          <w:sz w:val="20"/>
          <w:szCs w:val="20"/>
          <w:color w:val="auto"/>
        </w:rPr>
      </w:pPr>
      <w:r>
        <w:rPr>
          <w:rFonts w:ascii="Arial" w:cs="Arial" w:eastAsia="Arial" w:hAnsi="Arial"/>
          <w:sz w:val="18"/>
          <w:szCs w:val="18"/>
          <w:color w:val="auto"/>
        </w:rPr>
        <w:t>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17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and Lonza,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9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0" w:name="page101"/>
    <w:bookmarkEnd w:id="100"/>
    <w:p>
      <w:pPr>
        <w:jc w:val="both"/>
        <w:spacing w:after="0" w:line="238" w:lineRule="auto"/>
        <w:rPr>
          <w:sz w:val="20"/>
          <w:szCs w:val="20"/>
          <w:color w:val="auto"/>
        </w:rPr>
      </w:pPr>
      <w:r>
        <w:rPr>
          <w:rFonts w:ascii="Arial" w:cs="Arial" w:eastAsia="Arial" w:hAnsi="Arial"/>
          <w:sz w:val="18"/>
          <w:szCs w:val="18"/>
          <w:color w:val="auto"/>
        </w:rPr>
        <w:t>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9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9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Third-party pre-issuance submission of prior art to the USPTO, opposition, derivation, revocation, reexamination, inter partes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191"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lengthy and time-consuming, and many of our adversaries may have the ability to dedicate substantially greater resources to prosecuting these legal actions than us.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1" w:name="page102"/>
    <w:bookmarkEnd w:id="101"/>
    <w:p>
      <w:pPr>
        <w:jc w:val="both"/>
        <w:ind w:firstLine="802"/>
        <w:spacing w:after="0" w:line="238"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9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$32.05 on December 30, 2020 and a low of $8.81 on October 7, 2019.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313" w:lineRule="exact"/>
        <w:rPr>
          <w:sz w:val="20"/>
          <w:szCs w:val="20"/>
          <w:color w:val="auto"/>
        </w:rPr>
      </w:pPr>
    </w:p>
    <w:p>
      <w:pPr>
        <w:jc w:val="both"/>
        <w:ind w:left="1600" w:hanging="391"/>
        <w:spacing w:after="0" w:line="238"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our failure to reach agreement with Merck on the terms of a modified collaboration, Merck’s decision to not exercise its remaining unilateral option to extend the research phase of the collaboration, investor perceptions as to the terms of a modified Collaboration Agreement, if any, or any termination of the collaboration;</w:t>
      </w:r>
    </w:p>
    <w:p>
      <w:pPr>
        <w:spacing w:after="0" w:line="204"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2" w:name="page103"/>
    <w:bookmarkEnd w:id="102"/>
    <w:p>
      <w:pPr>
        <w:ind w:left="1600" w:hanging="391"/>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225" w:lineRule="exact"/>
        <w:rPr>
          <w:rFonts w:ascii="Arial" w:cs="Arial" w:eastAsia="Arial" w:hAnsi="Arial"/>
          <w:sz w:val="18"/>
          <w:szCs w:val="18"/>
          <w:color w:val="auto"/>
        </w:rPr>
      </w:pPr>
    </w:p>
    <w:p>
      <w:pPr>
        <w:ind w:left="1600" w:hanging="391"/>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entitled “Sales of a substantial number of shares of our common stock in the public market could cause our stock price to fall.”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17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91"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For so long as we remain an “emerging growth company” as defined in the Jumpstart Our Business Startups Act of 2012, as amended, the JOBS Act, we may take advantage of certain exemptions from various requirements applicable to public companies that are not “emerging growth companies” including:</w:t>
      </w:r>
    </w:p>
    <w:p>
      <w:pPr>
        <w:spacing w:after="0" w:line="311" w:lineRule="exact"/>
        <w:rPr>
          <w:sz w:val="20"/>
          <w:szCs w:val="20"/>
          <w:color w:val="auto"/>
        </w:rPr>
      </w:pPr>
    </w:p>
    <w:p>
      <w:pPr>
        <w:jc w:val="both"/>
        <w:ind w:left="1600" w:hanging="391"/>
        <w:spacing w:after="0"/>
        <w:tabs>
          <w:tab w:leader="none" w:pos="1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202" w:lineRule="exact"/>
        <w:rPr>
          <w:rFonts w:ascii="Arial" w:cs="Arial" w:eastAsia="Arial" w:hAnsi="Arial"/>
          <w:sz w:val="18"/>
          <w:szCs w:val="18"/>
          <w:color w:val="auto"/>
        </w:rPr>
      </w:pPr>
    </w:p>
    <w:p>
      <w:pPr>
        <w:jc w:val="both"/>
        <w:ind w:left="1600" w:hanging="391"/>
        <w:spacing w:after="0" w:line="238" w:lineRule="auto"/>
        <w:tabs>
          <w:tab w:leader="none" w:pos="1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202"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Exchange Act, and instead provide a reduced level of disclosure concerning executive compensation.</w:t>
      </w:r>
    </w:p>
    <w:p>
      <w:pPr>
        <w:spacing w:after="0" w:line="19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97"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w:t>
      </w:r>
    </w:p>
    <w:p>
      <w:pPr>
        <w:spacing w:after="0" w:line="1" w:lineRule="exact"/>
        <w:rPr>
          <w:sz w:val="20"/>
          <w:szCs w:val="20"/>
          <w:color w:val="auto"/>
        </w:rPr>
      </w:pPr>
    </w:p>
    <w:p>
      <w:pPr>
        <w:jc w:val="both"/>
        <w:ind w:firstLine="8"/>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 as other public companies that are not “emerging growth companies.” As a result, changes in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For the trading days during the three months ended December 31, 2020, the average daily trading volume for our common stock on The Nasdaq Global Select Market was only 175,778 shares. As a result, sales of a substantial number of shares of our common stock in the public market, including pursuant to the Sales Agreement or the perception in the market that we or the holders of a large number of shares intend to sell shares, could reduce the market price of our common stock. In addition, as a result of the low trading volume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both"/>
        <w:spacing w:after="0" w:line="237" w:lineRule="auto"/>
        <w:rPr>
          <w:sz w:val="20"/>
          <w:szCs w:val="20"/>
          <w:color w:val="auto"/>
        </w:rPr>
      </w:pPr>
      <w:r>
        <w:rPr>
          <w:rFonts w:ascii="Arial" w:cs="Arial" w:eastAsia="Arial" w:hAnsi="Arial"/>
          <w:sz w:val="18"/>
          <w:szCs w:val="18"/>
          <w:color w:val="auto"/>
        </w:rPr>
        <w:t>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3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191"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311" w:lineRule="exact"/>
        <w:rPr>
          <w:sz w:val="20"/>
          <w:szCs w:val="20"/>
          <w:color w:val="auto"/>
        </w:rPr>
      </w:pPr>
    </w:p>
    <w:p>
      <w:pPr>
        <w:ind w:left="1600" w:hanging="391"/>
        <w:spacing w:after="0" w:line="246" w:lineRule="auto"/>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96" w:lineRule="exact"/>
        <w:rPr>
          <w:rFonts w:ascii="Arial" w:cs="Arial" w:eastAsia="Arial" w:hAnsi="Arial"/>
          <w:sz w:val="18"/>
          <w:szCs w:val="18"/>
          <w:color w:val="auto"/>
        </w:rPr>
      </w:pPr>
    </w:p>
    <w:p>
      <w:pPr>
        <w:ind w:left="1600" w:right="20" w:hanging="391"/>
        <w:spacing w:after="0" w:line="246" w:lineRule="auto"/>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96"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96" w:lineRule="exact"/>
        <w:rPr>
          <w:rFonts w:ascii="Arial" w:cs="Arial" w:eastAsia="Arial" w:hAnsi="Arial"/>
          <w:sz w:val="18"/>
          <w:szCs w:val="18"/>
          <w:color w:val="auto"/>
        </w:rPr>
      </w:pPr>
    </w:p>
    <w:p>
      <w:pPr>
        <w:ind w:left="1600" w:hanging="391"/>
        <w:spacing w:after="0"/>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25" w:lineRule="exact"/>
        <w:rPr>
          <w:rFonts w:ascii="Arial" w:cs="Arial" w:eastAsia="Arial" w:hAnsi="Arial"/>
          <w:sz w:val="18"/>
          <w:szCs w:val="18"/>
          <w:color w:val="auto"/>
        </w:rPr>
      </w:pPr>
    </w:p>
    <w:p>
      <w:pPr>
        <w:ind w:left="1600" w:hanging="391"/>
        <w:spacing w:after="0" w:line="246" w:lineRule="auto"/>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current terms of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5" w:name="page106"/>
    <w:bookmarkEnd w:id="105"/>
    <w:p>
      <w:pPr>
        <w:jc w:val="both"/>
        <w:ind w:firstLine="802"/>
        <w:spacing w:after="0" w:line="23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6" w:name="page107"/>
    <w:bookmarkEnd w:id="106"/>
    <w:p>
      <w:pPr>
        <w:jc w:val="both"/>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17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9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Accordingly, because of the inherent limitations in our control system, misstatements due to error or fraud may occur and not be detected.</w:t>
      </w:r>
    </w:p>
    <w:p>
      <w:pPr>
        <w:spacing w:after="0" w:line="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34" w:lineRule="exact"/>
        <w:rPr>
          <w:sz w:val="20"/>
          <w:szCs w:val="20"/>
          <w:color w:val="auto"/>
        </w:rPr>
      </w:pPr>
    </w:p>
    <w:p>
      <w:pPr>
        <w:jc w:val="center"/>
        <w:ind w:right="914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and suitable for our needs. We also believe we will be able to obtain additional space, as needed, on commercially reasonable terms.</w:t>
      </w:r>
    </w:p>
    <w:p>
      <w:pPr>
        <w:spacing w:after="0" w:line="28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jc w:val="center"/>
        <w:spacing w:after="0"/>
        <w:rPr>
          <w:sz w:val="20"/>
          <w:szCs w:val="20"/>
          <w:color w:val="auto"/>
        </w:rPr>
      </w:pPr>
      <w:r>
        <w:rPr>
          <w:rFonts w:ascii="Arial" w:cs="Arial" w:eastAsia="Arial" w:hAnsi="Arial"/>
          <w:sz w:val="18"/>
          <w:szCs w:val="18"/>
          <w:b w:val="1"/>
          <w:bCs w:val="1"/>
          <w:color w:val="auto"/>
        </w:rPr>
        <w:t>PART II</w:t>
      </w:r>
    </w:p>
    <w:p>
      <w:pPr>
        <w:spacing w:after="0" w:line="190" w:lineRule="exact"/>
        <w:rPr>
          <w:sz w:val="20"/>
          <w:szCs w:val="20"/>
          <w:color w:val="auto"/>
        </w:rPr>
      </w:pPr>
    </w:p>
    <w:p>
      <w:pPr>
        <w:ind w:right="440"/>
        <w:spacing w:after="0" w:line="49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jc w:val="both"/>
        <w:ind w:firstLine="802"/>
        <w:spacing w:after="0" w:line="246" w:lineRule="auto"/>
        <w:rPr>
          <w:sz w:val="20"/>
          <w:szCs w:val="20"/>
          <w:color w:val="auto"/>
        </w:rPr>
      </w:pPr>
      <w:r>
        <w:rPr>
          <w:rFonts w:ascii="Arial" w:cs="Arial" w:eastAsia="Arial" w:hAnsi="Arial"/>
          <w:sz w:val="18"/>
          <w:szCs w:val="18"/>
          <w:color w:val="auto"/>
        </w:rPr>
        <w:t>Our common stock has been listed on the Nasdaq Global Select Market under the symbol “NGM” since April 4, 2019. Prior to that date, there was no public trading market for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 of the close of business on March 10, 2021, there were 56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following stock performance graph compares the value of an investment in (i) our common stock, (ii) Nasdaq Composite Index and (iii) Nasdaq Biotechnology Index for the period from April 4, 2019 (the date our common stock commenced trading on the Nasdaq Global Select Market) through December 31, 2020. The figures represented below assume an investment of $100 in our common stock at the closing price on April 4, 2019 and in the Nasdaq Composite Index and Nasdaq Biotechnology Index on April 4, 2019 and the reinvestment of dividends into shares of common stock. However, no dividends have been declared on our common stock to date. The comparisons in the table are required by the Securities and Exchange Commission, or SEC, and are not intended to forecast or be indicative of possible future performance of our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363220</wp:posOffset>
            </wp:positionV>
            <wp:extent cx="5760720" cy="29317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6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4/4/2019</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12/31/2019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3/31/2020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6/30/2020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9/30/2020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12/31/2020</w:t>
            </w:r>
          </w:p>
        </w:tc>
        <w:tc>
          <w:tcPr>
            <w:tcW w:w="100" w:type="dxa"/>
            <w:vAlign w:val="bottom"/>
            <w:tcBorders>
              <w:bottom w:val="single" w:sz="8" w:color="CFF0FC"/>
            </w:tcBorders>
          </w:tcPr>
          <w:p>
            <w:pPr>
              <w:spacing w:after="0"/>
              <w:rPr>
                <w:sz w:val="19"/>
                <w:szCs w:val="19"/>
                <w:color w:val="auto"/>
              </w:rPr>
            </w:pPr>
          </w:p>
        </w:tc>
      </w:t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NGM Biopharmaceuticals, Inc.</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206.09</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NASDAQ Composite Index</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163.31</w:t>
            </w:r>
          </w:p>
        </w:tc>
        <w:tc>
          <w:tcPr>
            <w:tcW w:w="10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NASDAQ Biotechnology Index</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134.05</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The information under “Performance Graph” is not deemed to be “soliciting material” or “filed” with the SEC or subject to Regulation 14A or 14C, or to the liabilities of Section 18 of the Securities Exchange Act of 1934, as amended, or the Exchange Act, and is not to be incorporated by reference in any filing of NGM under the Securities Act of 1933, as amended, or the Securities Act, or the Exchange Act, whether made before or after the date of this Annual Report on Form 10-K and irrespective of any general incorporation language in those filings.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the year ended December 31, 2020, we did not issue or sell any unregistered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the year ended December 31, 2020, we did not make any purchases of our own equity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4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April 2019, our Registration Statement on Form S-1 (No. 333-227608) was declared effective by the SEC for our initial public offering, or IPO, of common stock, and we sold an aggregate of 7,521,394 shares of common stock, including 854,727 shares sold pursuant to the underwriters’ exercise of their option to purchase additional shares, at a public offering price of $16.00 per share. The aggregate net cash proceeds we received for shares sold in the IPO was $107.8 million, after deducting underwriting discounts, commissions and offering expenses. No payments for such expenses were made directly or indirectly to our officers or directors, to persons owning 10% or more of any class of our equity securities or to any of our affiliates. The sale and issuance of 6,666,667 shares in the IPO closed on April 8, 2019 and the sale of 854,727 additional shares pursuant to the underwriters’ over-allotment option closed on May 7, 2019. Goldman Sachs &amp; Co. LLC, Citigroup Global Markets Inc. and Cowen and Company, LLC acted as joint book-running managers for the offering. The proceeds from the IPO were used to fund ongoing operations, including the development of our product candidates and our clinical trials and research programs, and for working capital and general operating expenses. There has been no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238" w:lineRule="auto"/>
        <w:rPr>
          <w:sz w:val="20"/>
          <w:szCs w:val="20"/>
          <w:color w:val="auto"/>
        </w:rPr>
      </w:pPr>
      <w:r>
        <w:rPr>
          <w:rFonts w:ascii="Arial" w:cs="Arial" w:eastAsia="Arial" w:hAnsi="Arial"/>
          <w:sz w:val="18"/>
          <w:szCs w:val="18"/>
          <w:color w:val="auto"/>
        </w:rPr>
        <w:t>material change in the planned use of proceeds as described in the prospectus for the IPO filed with the SEC pursuant to Rule 424(b)(4) under the Securities Act on April 4, 2019. No payments were made from our IPO proceeds directly or indirectly to our officers or directors, to persons owning 10% or more of any class of our equity securities or to any of our affiliates, other than payments in the ordinary course of business to officers for salaries and to non-employee directors as compensation for Board or Board committee service.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We have elected to early adopt the amendment to Regulation S-K eliminating Item 301 of Regulation S-K and therefore are omitting disclosure under this Item 6.</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0" w:name="page111"/>
    <w:bookmarkEnd w:id="110"/>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This discussion and analysis contains forward-looking statements that reflect our plans, estimates, expectations, assumptions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on Form 10-K. See “Special Note Regarding Forward-Looking Statements” in this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Business</w:t>
      </w:r>
    </w:p>
    <w:p>
      <w:pPr>
        <w:spacing w:after="0" w:line="234" w:lineRule="exact"/>
        <w:rPr>
          <w:sz w:val="20"/>
          <w:szCs w:val="20"/>
          <w:color w:val="auto"/>
        </w:rPr>
      </w:pPr>
    </w:p>
    <w:p>
      <w:pPr>
        <w:jc w:val="both"/>
        <w:ind w:firstLine="401"/>
        <w:spacing w:after="0" w:line="236" w:lineRule="auto"/>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liver and metabolic diseases, retinal diseases and cancer. These diseases represent a significant burden for patients and healthcare systems and, in some cases, are leading causes of morbidity and mortality. Our strategy is to leverage a combination of interrogating human biology and engineering powerful biologics to discover and develop promising product candidates and seek to move them rapidly into proof-of-concept studies and late-stage development, with the goal of delivering impactful first-in-class or best-in-class treatments to underserved patients suffering from grievous diseases. Since the commencement of our operations in 2008, we have generated a robust portfolio of product candidates ranging from early discovery to late-stage development. We aspire to operate one of the most productive research and development engines in the biopharmaceutical industry.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Programs and Operations Updates</w:t>
      </w:r>
    </w:p>
    <w:p>
      <w:pPr>
        <w:spacing w:after="0" w:line="234" w:lineRule="exact"/>
        <w:rPr>
          <w:sz w:val="20"/>
          <w:szCs w:val="20"/>
          <w:color w:val="auto"/>
        </w:rPr>
      </w:pPr>
    </w:p>
    <w:p>
      <w:pPr>
        <w:jc w:val="both"/>
        <w:ind w:firstLine="401"/>
        <w:spacing w:after="0"/>
        <w:rPr>
          <w:sz w:val="20"/>
          <w:szCs w:val="20"/>
          <w:color w:val="auto"/>
        </w:rPr>
      </w:pPr>
      <w:r>
        <w:rPr>
          <w:rFonts w:ascii="Arial" w:cs="Arial" w:eastAsia="Arial" w:hAnsi="Arial"/>
          <w:sz w:val="18"/>
          <w:szCs w:val="18"/>
          <w:color w:val="auto"/>
        </w:rPr>
        <w:t>Our discovery engine supports our ability to advance multiple product candidates across our three key therapeutic areas. In 2020 and 2021 to date, we progressed the development of our leading product candidates, achieving important development milestones as described below:</w:t>
      </w:r>
    </w:p>
    <w:p>
      <w:pPr>
        <w:spacing w:after="0" w:line="73" w:lineRule="exact"/>
        <w:rPr>
          <w:sz w:val="20"/>
          <w:szCs w:val="20"/>
          <w:color w:val="auto"/>
        </w:rPr>
      </w:pPr>
    </w:p>
    <w:p>
      <w:pPr>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Liver and metabolic diseases</w:t>
      </w:r>
      <w:r>
        <w:rPr>
          <w:rFonts w:ascii="Arial" w:cs="Arial" w:eastAsia="Arial" w:hAnsi="Arial"/>
          <w:sz w:val="18"/>
          <w:szCs w:val="18"/>
          <w:color w:val="auto"/>
        </w:rPr>
        <w:t>.</w:t>
      </w:r>
    </w:p>
    <w:p>
      <w:pPr>
        <w:spacing w:after="0" w:line="252" w:lineRule="exact"/>
        <w:rPr>
          <w:sz w:val="20"/>
          <w:szCs w:val="20"/>
          <w:color w:val="auto"/>
        </w:rPr>
      </w:pPr>
    </w:p>
    <w:p>
      <w:pPr>
        <w:jc w:val="both"/>
        <w:ind w:left="1600" w:hanging="391"/>
        <w:spacing w:after="0"/>
        <w:tabs>
          <w:tab w:leader="none" w:pos="1600" w:val="left"/>
        </w:tabs>
        <w:numPr>
          <w:ilvl w:val="0"/>
          <w:numId w:val="49"/>
        </w:numPr>
        <w:rPr>
          <w:rFonts w:ascii="Courier New" w:cs="Courier New" w:eastAsia="Courier New" w:hAnsi="Courier New"/>
          <w:sz w:val="18"/>
          <w:szCs w:val="18"/>
          <w:color w:val="auto"/>
        </w:rPr>
      </w:pPr>
      <w:r>
        <w:rPr>
          <w:rFonts w:ascii="Arial" w:cs="Arial" w:eastAsia="Arial" w:hAnsi="Arial"/>
          <w:sz w:val="18"/>
          <w:szCs w:val="18"/>
          <w:b w:val="1"/>
          <w:bCs w:val="1"/>
          <w:color w:val="auto"/>
        </w:rPr>
        <w:t>Aldafermin</w:t>
      </w:r>
      <w:r>
        <w:rPr>
          <w:rFonts w:ascii="Arial" w:cs="Arial" w:eastAsia="Arial" w:hAnsi="Arial"/>
          <w:sz w:val="18"/>
          <w:szCs w:val="18"/>
          <w:color w:val="auto"/>
        </w:rPr>
        <w:t>. Aldafermin is an engineered analog of human hormone fibroblast growth factor 19, or FGF19,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through a once-daily subcutaneous injection. Aldafermin is wholly-owned by us and is in Phase 2b development for the treatment of patients with non-alcoholic steatohepatitis, or NASH, with liver fibrosis stage 2, 3 or 4, or F2, F3 or F4. In 2020 and early 2021, we:</w:t>
      </w:r>
    </w:p>
    <w:p>
      <w:pPr>
        <w:spacing w:after="0" w:line="204" w:lineRule="exact"/>
        <w:rPr>
          <w:rFonts w:ascii="Courier New" w:cs="Courier New" w:eastAsia="Courier New" w:hAnsi="Courier New"/>
          <w:sz w:val="18"/>
          <w:szCs w:val="18"/>
          <w:color w:val="auto"/>
        </w:rPr>
      </w:pPr>
    </w:p>
    <w:p>
      <w:pPr>
        <w:jc w:val="both"/>
        <w:ind w:left="2400" w:hanging="394"/>
        <w:spacing w:after="0" w:line="207" w:lineRule="exact"/>
        <w:tabs>
          <w:tab w:leader="none" w:pos="2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Presented positive liver histology and biomarker data from the final cohort, Cohort 4, in our adaptive Phase 2 clinical trial of aldafermin in patients with NASH in February 2020. Cohort 4 was a 24-week double</w:t>
      </w:r>
      <w:r>
        <w:rPr>
          <w:rFonts w:ascii="MS PGothic" w:cs="MS PGothic" w:eastAsia="MS PGothic" w:hAnsi="MS PGothic"/>
          <w:sz w:val="18"/>
          <w:szCs w:val="18"/>
          <w:color w:val="auto"/>
        </w:rPr>
        <w:t>‑</w:t>
      </w:r>
      <w:r>
        <w:rPr>
          <w:rFonts w:ascii="Arial" w:cs="Arial" w:eastAsia="Arial" w:hAnsi="Arial"/>
          <w:sz w:val="18"/>
          <w:szCs w:val="18"/>
          <w:color w:val="auto"/>
        </w:rPr>
        <w:t>blind, randomized, placebo-controlled Phase 2 trial and the data from this cohort demonstrated statistically significant activity on the composite endpoint of both reversing fibrosis and resolving NASH. In the study, aldafermin continued to demonstrate a favorable tolerability profile. The results observed in Cohort 4 were consistent with data from the three previous cohorts.</w:t>
      </w:r>
    </w:p>
    <w:p>
      <w:pPr>
        <w:spacing w:after="0" w:line="202" w:lineRule="exact"/>
        <w:rPr>
          <w:rFonts w:ascii="Arial" w:cs="Arial" w:eastAsia="Arial" w:hAnsi="Arial"/>
          <w:sz w:val="18"/>
          <w:szCs w:val="18"/>
          <w:color w:val="auto"/>
        </w:rPr>
      </w:pPr>
    </w:p>
    <w:p>
      <w:pPr>
        <w:ind w:left="2400" w:hanging="394"/>
        <w:spacing w:after="0" w:line="246" w:lineRule="auto"/>
        <w:tabs>
          <w:tab w:leader="none" w:pos="2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Completed enrollment in the Phase 2b ALPINE 2/3 clinical trial of aldafermin in patients with NASH with F2 and F3 liver fibrosis in September 2020.</w:t>
      </w:r>
    </w:p>
    <w:p>
      <w:pPr>
        <w:spacing w:after="0" w:line="196" w:lineRule="exact"/>
        <w:rPr>
          <w:rFonts w:ascii="Arial" w:cs="Arial" w:eastAsia="Arial" w:hAnsi="Arial"/>
          <w:sz w:val="18"/>
          <w:szCs w:val="18"/>
          <w:color w:val="auto"/>
        </w:rPr>
      </w:pPr>
    </w:p>
    <w:p>
      <w:pPr>
        <w:ind w:left="2400" w:right="20" w:hanging="394"/>
        <w:spacing w:after="0" w:line="246" w:lineRule="auto"/>
        <w:tabs>
          <w:tab w:leader="none" w:pos="2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Initiated the Phase 2b ALPINE 4 clinical trial of aldafermin in patients with NASH with F4 liver fibrosis and well-compensated cirrhosis in February 2020.</w:t>
      </w:r>
    </w:p>
    <w:p>
      <w:pPr>
        <w:spacing w:after="0" w:line="174" w:lineRule="exact"/>
        <w:rPr>
          <w:rFonts w:ascii="Arial" w:cs="Arial" w:eastAsia="Arial" w:hAnsi="Arial"/>
          <w:sz w:val="18"/>
          <w:szCs w:val="18"/>
          <w:color w:val="auto"/>
        </w:rPr>
      </w:pPr>
    </w:p>
    <w:p>
      <w:pPr>
        <w:jc w:val="both"/>
        <w:ind w:left="2400" w:hanging="394"/>
        <w:spacing w:after="0" w:line="244" w:lineRule="auto"/>
        <w:tabs>
          <w:tab w:leader="none" w:pos="2400"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report topline results from the ALPINE 2/3 trial in the second quarter of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ALPINE 4 trial, we are continuing enrollment, with a goal of enrolling approximately 160 patients across 70 sites in the United States, Europe, Hong Kong and Australia. We are leveraging the results of Cohort 4 of our Phase 2 clinical trial, as well as guidance from the U.S. Food and Drug Administration, or FDA, to inform early Phase 3 planning and design. We expect that the ALPINE 2/3 trial results will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ind w:left="2001" w:right="20"/>
        <w:spacing w:after="0" w:line="246" w:lineRule="auto"/>
        <w:rPr>
          <w:sz w:val="20"/>
          <w:szCs w:val="20"/>
          <w:color w:val="auto"/>
        </w:rPr>
      </w:pPr>
      <w:r>
        <w:rPr>
          <w:rFonts w:ascii="Arial" w:cs="Arial" w:eastAsia="Arial" w:hAnsi="Arial"/>
          <w:sz w:val="18"/>
          <w:szCs w:val="18"/>
          <w:color w:val="auto"/>
        </w:rPr>
        <w:t>provide further information to support our design of a pivotal clinical trial program to enable a potential biologics license application, or BLA, submission.</w:t>
      </w:r>
    </w:p>
    <w:p>
      <w:pPr>
        <w:spacing w:after="0" w:line="175" w:lineRule="exact"/>
        <w:rPr>
          <w:sz w:val="20"/>
          <w:szCs w:val="20"/>
          <w:color w:val="auto"/>
        </w:rPr>
      </w:pPr>
    </w:p>
    <w:p>
      <w:pPr>
        <w:jc w:val="both"/>
        <w:ind w:left="1201" w:hanging="391"/>
        <w:spacing w:after="0" w:line="239" w:lineRule="auto"/>
        <w:tabs>
          <w:tab w:leader="none" w:pos="1201" w:val="left"/>
        </w:tabs>
        <w:numPr>
          <w:ilvl w:val="1"/>
          <w:numId w:val="50"/>
        </w:numPr>
        <w:rPr>
          <w:rFonts w:ascii="Courier New" w:cs="Courier New" w:eastAsia="Courier New" w:hAnsi="Courier New"/>
          <w:sz w:val="18"/>
          <w:szCs w:val="18"/>
          <w:color w:val="auto"/>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w:t>
      </w:r>
      <w:r>
        <w:rPr>
          <w:rFonts w:ascii="Arial" w:cs="Arial" w:eastAsia="Arial" w:hAnsi="Arial"/>
          <w:sz w:val="18"/>
          <w:szCs w:val="18"/>
          <w:b w:val="1"/>
          <w:bCs w:val="1"/>
          <w:color w:val="auto"/>
        </w:rPr>
        <w:t xml:space="preserve"> </w:t>
      </w:r>
      <w:r>
        <w:rPr>
          <w:rFonts w:ascii="Arial" w:cs="Arial" w:eastAsia="Arial" w:hAnsi="Arial"/>
          <w:sz w:val="18"/>
          <w:szCs w:val="18"/>
          <w:color w:val="auto"/>
        </w:rPr>
        <w:t>growth factor receptor 1c-beta-klotho, or FGFR1c/KLB, which regulates insulin sensitivity, blood glucose and liver fat and is administered every four weeks through a subcutaneous injection. MK-3655 is in Phase 2b development for the treatment of NASH and was optioned by Merck Sharp &amp; Dohme Corp., or Merck, under our collaboration with Merck described below. In 2020, Merck:</w:t>
      </w:r>
    </w:p>
    <w:p>
      <w:pPr>
        <w:spacing w:after="0" w:line="204" w:lineRule="exact"/>
        <w:rPr>
          <w:rFonts w:ascii="Courier New" w:cs="Courier New" w:eastAsia="Courier New" w:hAnsi="Courier New"/>
          <w:sz w:val="18"/>
          <w:szCs w:val="18"/>
          <w:color w:val="auto"/>
        </w:rPr>
      </w:pPr>
    </w:p>
    <w:p>
      <w:pPr>
        <w:ind w:left="2001" w:hanging="394"/>
        <w:spacing w:after="0" w:line="246" w:lineRule="auto"/>
        <w:tabs>
          <w:tab w:leader="none" w:pos="2001"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Initiated a worldwide Phase 2b trial of MK-3655 in patients with NASH with F2 or F3 liver fibrosis in the fourth quarter of 2020 and is currently enrolling patients in that trial.</w:t>
      </w:r>
    </w:p>
    <w:p>
      <w:pPr>
        <w:spacing w:after="0" w:line="174" w:lineRule="exact"/>
        <w:rPr>
          <w:rFonts w:ascii="Arial" w:cs="Arial" w:eastAsia="Arial" w:hAnsi="Arial"/>
          <w:sz w:val="18"/>
          <w:szCs w:val="18"/>
          <w:color w:val="auto"/>
        </w:rPr>
      </w:pPr>
    </w:p>
    <w:p>
      <w:pPr>
        <w:ind w:left="401" w:hanging="401"/>
        <w:spacing w:after="0"/>
        <w:tabs>
          <w:tab w:leader="none" w:pos="401"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Retinal diseases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201" w:hanging="391"/>
        <w:spacing w:after="0"/>
        <w:tabs>
          <w:tab w:leader="none" w:pos="1201" w:val="left"/>
        </w:tabs>
        <w:numPr>
          <w:ilvl w:val="1"/>
          <w:numId w:val="50"/>
        </w:numPr>
        <w:rPr>
          <w:rFonts w:ascii="Courier New" w:cs="Courier New" w:eastAsia="Courier New" w:hAnsi="Courier New"/>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inhibit the activity of complement C3 with the treatment goal of reducing disease progression in patients with geographic atrophy, or GA. Merck has a one-time option to license NGM621 upon completion of a proof-of-concept study in humans. In 2020 and early 2021, we:</w:t>
      </w:r>
    </w:p>
    <w:p>
      <w:pPr>
        <w:spacing w:after="0" w:line="204" w:lineRule="exact"/>
        <w:rPr>
          <w:rFonts w:ascii="Courier New" w:cs="Courier New" w:eastAsia="Courier New" w:hAnsi="Courier New"/>
          <w:sz w:val="18"/>
          <w:szCs w:val="18"/>
          <w:color w:val="auto"/>
        </w:rPr>
      </w:pPr>
    </w:p>
    <w:p>
      <w:pPr>
        <w:jc w:val="both"/>
        <w:ind w:left="2001" w:hanging="394"/>
        <w:spacing w:after="0" w:line="237" w:lineRule="auto"/>
        <w:tabs>
          <w:tab w:leader="none" w:pos="2001" w:val="left"/>
        </w:tabs>
        <w:numPr>
          <w:ilvl w:val="2"/>
          <w:numId w:val="50"/>
        </w:numPr>
        <w:rPr>
          <w:rFonts w:ascii="Arial" w:cs="Arial" w:eastAsia="Arial" w:hAnsi="Arial"/>
          <w:sz w:val="18"/>
          <w:szCs w:val="18"/>
          <w:color w:val="auto"/>
        </w:rPr>
      </w:pPr>
      <w:r>
        <w:rPr>
          <w:rFonts w:ascii="Arial" w:cs="Arial" w:eastAsia="Arial" w:hAnsi="Arial"/>
          <w:sz w:val="18"/>
          <w:szCs w:val="18"/>
          <w:color w:val="auto"/>
        </w:rPr>
        <w:t>Completed a Phase 1 clinical trial of NGM621 testing the safety and tolerability of single and multiple IVT injections in patients with GA and, at the American Academy of Ophthalmology 2020 Virtual meeting in November 2020, presented safety and pharmacokinetics, or PK, data from the Phase 1 trial demonstrating that NGM621 was well tolerated, with no patients experiencing serious adverse events, or SAEs, drug-related adverse events, or AEs, intraocular inflammation, endophthalmitis or choroidal neovascularization. No dose-related safety patterns or concerns were identified.</w:t>
      </w:r>
    </w:p>
    <w:p>
      <w:pPr>
        <w:spacing w:after="0" w:line="204" w:lineRule="exact"/>
        <w:rPr>
          <w:rFonts w:ascii="Arial" w:cs="Arial" w:eastAsia="Arial" w:hAnsi="Arial"/>
          <w:sz w:val="18"/>
          <w:szCs w:val="18"/>
          <w:color w:val="auto"/>
        </w:rPr>
      </w:pPr>
    </w:p>
    <w:p>
      <w:pPr>
        <w:jc w:val="both"/>
        <w:ind w:left="2001" w:hanging="394"/>
        <w:spacing w:after="0"/>
        <w:tabs>
          <w:tab w:leader="none" w:pos="2001"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July 2020, initiated the CATALINA Phase 2 clinical trial of NGM621 in patients with GA to evaluate NGM621’s effects on disease progression when given every four weeks or every eight weeks. The CATALINA trial was designed to be a Phase 3-supportive or -enabling clinical trial.</w:t>
      </w:r>
    </w:p>
    <w:p>
      <w:pPr>
        <w:spacing w:after="0" w:line="180" w:lineRule="exact"/>
        <w:rPr>
          <w:rFonts w:ascii="Arial" w:cs="Arial" w:eastAsia="Arial" w:hAnsi="Arial"/>
          <w:sz w:val="18"/>
          <w:szCs w:val="18"/>
          <w:color w:val="auto"/>
        </w:rPr>
      </w:pPr>
    </w:p>
    <w:p>
      <w:pPr>
        <w:ind w:left="401" w:hanging="401"/>
        <w:spacing w:after="0"/>
        <w:tabs>
          <w:tab w:leader="none" w:pos="401"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201" w:hanging="391"/>
        <w:spacing w:after="0" w:line="238" w:lineRule="auto"/>
        <w:tabs>
          <w:tab w:leader="none" w:pos="1201" w:val="left"/>
        </w:tabs>
        <w:numPr>
          <w:ilvl w:val="1"/>
          <w:numId w:val="50"/>
        </w:numPr>
        <w:rPr>
          <w:rFonts w:ascii="Courier New" w:cs="Courier New" w:eastAsia="Courier New" w:hAnsi="Courier New"/>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an antagonistic antibody that binds glial cell-derived neurotrophic factor receptor alpha-like, or</w:t>
      </w:r>
      <w:r>
        <w:rPr>
          <w:rFonts w:ascii="Arial" w:cs="Arial" w:eastAsia="Arial" w:hAnsi="Arial"/>
          <w:sz w:val="18"/>
          <w:szCs w:val="18"/>
          <w:b w:val="1"/>
          <w:bCs w:val="1"/>
          <w:color w:val="auto"/>
        </w:rPr>
        <w:t xml:space="preserve"> </w:t>
      </w:r>
      <w:r>
        <w:rPr>
          <w:rFonts w:ascii="Arial" w:cs="Arial" w:eastAsia="Arial" w:hAnsi="Arial"/>
          <w:sz w:val="18"/>
          <w:szCs w:val="18"/>
          <w:color w:val="auto"/>
        </w:rPr>
        <w:t>GFRAL, and inhibits growth differentiation factor 15, or GDF15, signaling, for the potential treatment of cancer and cancer anorexia/cachexia syndrome, referred to as anti-cancer cachexia or CACS. We are currently conducting clinical trials to assess NGM120’s effect on cancer-related cachexia and on cancer in patients with select advanced solid tumors and metastatic pancreatic cancer. Merck has a one-time option to license NGM120 upon completion of a proof-of-concept study in humans. In 2020 and early 2021, we:</w:t>
      </w:r>
    </w:p>
    <w:p>
      <w:pPr>
        <w:spacing w:after="0" w:line="205" w:lineRule="exact"/>
        <w:rPr>
          <w:rFonts w:ascii="Courier New" w:cs="Courier New" w:eastAsia="Courier New" w:hAnsi="Courier New"/>
          <w:sz w:val="18"/>
          <w:szCs w:val="18"/>
          <w:color w:val="auto"/>
        </w:rPr>
      </w:pPr>
    </w:p>
    <w:p>
      <w:pPr>
        <w:jc w:val="both"/>
        <w:ind w:left="2001" w:hanging="394"/>
        <w:spacing w:after="0" w:line="238" w:lineRule="auto"/>
        <w:tabs>
          <w:tab w:leader="none" w:pos="2001" w:val="left"/>
        </w:tabs>
        <w:numPr>
          <w:ilvl w:val="2"/>
          <w:numId w:val="50"/>
        </w:numPr>
        <w:rPr>
          <w:rFonts w:ascii="Arial" w:cs="Arial" w:eastAsia="Arial" w:hAnsi="Arial"/>
          <w:sz w:val="18"/>
          <w:szCs w:val="18"/>
          <w:color w:val="auto"/>
        </w:rPr>
      </w:pPr>
      <w:r>
        <w:rPr>
          <w:rFonts w:ascii="Arial" w:cs="Arial" w:eastAsia="Arial" w:hAnsi="Arial"/>
          <w:sz w:val="18"/>
          <w:szCs w:val="18"/>
          <w:color w:val="auto"/>
        </w:rPr>
        <w:t>Completed enrollment in two cohorts of a Phase 1a/1b dose-finding clinical trial of NGM120 in November 2020: a Phase 1a cohort evaluating NGM120 as a monotherapy in patients with select advanced solid tumors and a Phase 1b cohort evaluating NGM120 in combination with gemcitabine and Abraxane® (paclitaxel protein bound) in patients with metastatic pancreatic cancer. This trial is ongoing.</w:t>
      </w:r>
    </w:p>
    <w:p>
      <w:pPr>
        <w:spacing w:after="0" w:line="204" w:lineRule="exact"/>
        <w:rPr>
          <w:rFonts w:ascii="Arial" w:cs="Arial" w:eastAsia="Arial" w:hAnsi="Arial"/>
          <w:sz w:val="18"/>
          <w:szCs w:val="18"/>
          <w:color w:val="auto"/>
        </w:rPr>
      </w:pPr>
    </w:p>
    <w:p>
      <w:pPr>
        <w:jc w:val="both"/>
        <w:ind w:left="2001" w:hanging="394"/>
        <w:spacing w:after="0" w:line="238" w:lineRule="auto"/>
        <w:tabs>
          <w:tab w:leader="none" w:pos="2001"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January 2021, initiated a placebo-controlled expansion of the Phase 1b portion of the trial testing NGM120 in combination with gemcitabine and Abraxane as first-line treatment in patients with metastatic pancreatic cancer to assess NGM120’s effect on both cancer and cancer-related cachexia, building upon our experiences in the Phase 1a/1b trial.</w:t>
      </w:r>
    </w:p>
    <w:p>
      <w:pPr>
        <w:spacing w:after="0" w:line="182" w:lineRule="exact"/>
        <w:rPr>
          <w:rFonts w:ascii="Arial" w:cs="Arial" w:eastAsia="Arial" w:hAnsi="Arial"/>
          <w:sz w:val="18"/>
          <w:szCs w:val="18"/>
          <w:color w:val="auto"/>
        </w:rPr>
      </w:pPr>
    </w:p>
    <w:p>
      <w:pPr>
        <w:ind w:left="2001" w:hanging="394"/>
        <w:spacing w:after="0"/>
        <w:tabs>
          <w:tab w:leader="none" w:pos="2001" w:val="left"/>
        </w:tabs>
        <w:numPr>
          <w:ilvl w:val="2"/>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report topline data from the Phase 1a/1b trial in the second half of 2021.</w:t>
      </w:r>
    </w:p>
    <w:p>
      <w:pPr>
        <w:spacing w:after="0" w:line="252" w:lineRule="exact"/>
        <w:rPr>
          <w:rFonts w:ascii="Arial" w:cs="Arial" w:eastAsia="Arial" w:hAnsi="Arial"/>
          <w:sz w:val="18"/>
          <w:szCs w:val="18"/>
          <w:color w:val="auto"/>
        </w:rPr>
      </w:pPr>
    </w:p>
    <w:p>
      <w:pPr>
        <w:jc w:val="both"/>
        <w:ind w:left="1201" w:hanging="391"/>
        <w:spacing w:after="0" w:line="243" w:lineRule="auto"/>
        <w:tabs>
          <w:tab w:leader="none" w:pos="1201" w:val="left"/>
        </w:tabs>
        <w:numPr>
          <w:ilvl w:val="1"/>
          <w:numId w:val="50"/>
        </w:numPr>
        <w:rPr>
          <w:rFonts w:ascii="Courier New" w:cs="Courier New" w:eastAsia="Courier New" w:hAnsi="Courier New"/>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 is a dual antagonist monoclonal antibody that inhibits Immunoglobulin-like transcript 2, or ILT2, and</w:t>
      </w:r>
      <w:r>
        <w:rPr>
          <w:rFonts w:ascii="Arial" w:cs="Arial" w:eastAsia="Arial" w:hAnsi="Arial"/>
          <w:sz w:val="18"/>
          <w:szCs w:val="18"/>
          <w:b w:val="1"/>
          <w:bCs w:val="1"/>
          <w:color w:val="auto"/>
        </w:rPr>
        <w:t xml:space="preserve"> </w:t>
      </w:r>
      <w:r>
        <w:rPr>
          <w:rFonts w:ascii="Arial" w:cs="Arial" w:eastAsia="Arial" w:hAnsi="Arial"/>
          <w:sz w:val="18"/>
          <w:szCs w:val="18"/>
          <w:color w:val="auto"/>
        </w:rPr>
        <w:t>Immunoglobulin-like transcript 4, or ILT4. ILT2 and ILT4 are key myeloid and lymphoid checkpoints that may restrict anti-tumor immunity, enable tumors to evade</w:t>
      </w: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340360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1"/>
          </w:cols>
          <w:pgMar w:left="719" w:top="463" w:right="339" w:bottom="1440" w:gutter="0" w:footer="0" w:header="0"/>
        </w:sectPr>
      </w:pPr>
    </w:p>
    <w:bookmarkStart w:id="112" w:name="page113"/>
    <w:bookmarkEnd w:id="112"/>
    <w:p>
      <w:pPr>
        <w:ind w:left="1600"/>
        <w:spacing w:after="0" w:line="246" w:lineRule="auto"/>
        <w:rPr>
          <w:sz w:val="20"/>
          <w:szCs w:val="20"/>
          <w:color w:val="auto"/>
        </w:rPr>
      </w:pPr>
      <w:r>
        <w:rPr>
          <w:rFonts w:ascii="Arial" w:cs="Arial" w:eastAsia="Arial" w:hAnsi="Arial"/>
          <w:sz w:val="18"/>
          <w:szCs w:val="18"/>
          <w:color w:val="auto"/>
        </w:rPr>
        <w:t>immune detection and contribute to T-cell checkpoint resistance. Merck has a one-time option to license NGM707 upon completion of a proof-of-concept study in humans. In 2020 and early 2021, we:</w:t>
      </w:r>
    </w:p>
    <w:p>
      <w:pPr>
        <w:spacing w:after="0" w:line="197" w:lineRule="exact"/>
        <w:rPr>
          <w:sz w:val="20"/>
          <w:szCs w:val="20"/>
          <w:color w:val="auto"/>
        </w:rPr>
      </w:pPr>
    </w:p>
    <w:p>
      <w:pPr>
        <w:ind w:left="2400" w:hanging="394"/>
        <w:spacing w:after="0" w:line="246" w:lineRule="auto"/>
        <w:tabs>
          <w:tab w:leader="none" w:pos="2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Completed all preclinical studies of NGM707 to enable an investigational new drug application-, or IND-, submission.</w:t>
      </w:r>
    </w:p>
    <w:p>
      <w:pPr>
        <w:spacing w:after="0" w:line="174" w:lineRule="exact"/>
        <w:rPr>
          <w:rFonts w:ascii="Arial" w:cs="Arial" w:eastAsia="Arial" w:hAnsi="Arial"/>
          <w:sz w:val="18"/>
          <w:szCs w:val="18"/>
          <w:color w:val="auto"/>
        </w:rPr>
      </w:pPr>
    </w:p>
    <w:p>
      <w:pPr>
        <w:ind w:left="2400" w:hanging="394"/>
        <w:spacing w:after="0" w:line="271" w:lineRule="auto"/>
        <w:tabs>
          <w:tab w:leader="none" w:pos="24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commence a first-in-human Phase 1 clinical trial of NGM707 in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solid tumors in mid-2021.</w:t>
      </w:r>
    </w:p>
    <w:p>
      <w:pPr>
        <w:spacing w:after="0" w:line="154" w:lineRule="exact"/>
        <w:rPr>
          <w:sz w:val="20"/>
          <w:szCs w:val="20"/>
          <w:color w:val="auto"/>
        </w:rPr>
      </w:pPr>
    </w:p>
    <w:p>
      <w:pPr>
        <w:jc w:val="both"/>
        <w:ind w:left="1600" w:hanging="391"/>
        <w:spacing w:after="0" w:line="243" w:lineRule="auto"/>
        <w:tabs>
          <w:tab w:leader="none" w:pos="1600" w:val="left"/>
        </w:tabs>
        <w:numPr>
          <w:ilvl w:val="0"/>
          <w:numId w:val="52"/>
        </w:numPr>
        <w:rPr>
          <w:rFonts w:ascii="Courier New" w:cs="Courier New" w:eastAsia="Courier New" w:hAnsi="Courier New"/>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antagonistic antibody that is designed to inhibit leukocyte-associated immunoglobulin-like</w:t>
      </w:r>
      <w:r>
        <w:rPr>
          <w:rFonts w:ascii="Arial" w:cs="Arial" w:eastAsia="Arial" w:hAnsi="Arial"/>
          <w:sz w:val="18"/>
          <w:szCs w:val="18"/>
          <w:b w:val="1"/>
          <w:bCs w:val="1"/>
          <w:color w:val="auto"/>
        </w:rPr>
        <w:t xml:space="preserve"> </w:t>
      </w:r>
      <w:r>
        <w:rPr>
          <w:rFonts w:ascii="Arial" w:cs="Arial" w:eastAsia="Arial" w:hAnsi="Arial"/>
          <w:sz w:val="18"/>
          <w:szCs w:val="18"/>
          <w:color w:val="auto"/>
        </w:rPr>
        <w:t>receptor 1, or LAIR1, and promote immune detection and activation against advanced solid tumors. Merck has a one-time option to license NGM438 upon completion of a proof-of-concept study in humans. In 2020 and early 2021, we:</w:t>
      </w:r>
    </w:p>
    <w:p>
      <w:pPr>
        <w:spacing w:after="0" w:line="200" w:lineRule="exact"/>
        <w:rPr>
          <w:rFonts w:ascii="Courier New" w:cs="Courier New" w:eastAsia="Courier New" w:hAnsi="Courier New"/>
          <w:sz w:val="18"/>
          <w:szCs w:val="18"/>
          <w:color w:val="auto"/>
        </w:rPr>
      </w:pPr>
    </w:p>
    <w:p>
      <w:pPr>
        <w:ind w:left="2400" w:hanging="394"/>
        <w:spacing w:after="0" w:line="246" w:lineRule="auto"/>
        <w:tabs>
          <w:tab w:leader="none" w:pos="2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Advanced preclinical IND-enabling studies of NGM438 and began preparing an IND for a planned submission in the second half of 2021.</w:t>
      </w:r>
    </w:p>
    <w:p>
      <w:pPr>
        <w:spacing w:after="0" w:line="174" w:lineRule="exact"/>
        <w:rPr>
          <w:rFonts w:ascii="Arial" w:cs="Arial" w:eastAsia="Arial" w:hAnsi="Arial"/>
          <w:sz w:val="18"/>
          <w:szCs w:val="18"/>
          <w:color w:val="auto"/>
        </w:rPr>
      </w:pPr>
    </w:p>
    <w:p>
      <w:pPr>
        <w:ind w:left="2400" w:hanging="394"/>
        <w:spacing w:after="0" w:line="271" w:lineRule="auto"/>
        <w:tabs>
          <w:tab w:leader="none" w:pos="2400"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commence a first-in-human Phase 1 clinical trial of NGM438 in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solid tumors in the fourth quarter of 2021.</w:t>
      </w:r>
    </w:p>
    <w:p>
      <w:pPr>
        <w:spacing w:after="0" w:line="176"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We have additional undisclosed programs that are in various stages of development ranging from functional validation to preclinical development.</w:t>
      </w:r>
    </w:p>
    <w:p>
      <w:pPr>
        <w:spacing w:after="0" w:line="8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regulatory matters, third-party payor matters and commercial viability. We do not have any products approved for sale and do not anticipate generating revenue from product sales for the foreseeable future, if ever.</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Partnering has been and is expected to continue to be a key component of our strategy as we plan to continue to develop a broad portfolio of product candidates and, if approved, to commercialize the resulting products. Our existing research collaboration, product development and license agreement with Merck, or the Collaboration Agreement, which we entered into in 2015, has to date provided us with substantial financial support from Merck. The collaboration has also afforded us substantial freedom to pursue development efforts for our collaboration programs and product candidates. We are currently in discussions with Merck with respect to modifying certain terms of the collaboration, as described in more detail below. In addition, for any programs wholly-owned by us and not subject to the Merck collaboration, such as aldafermin, we may decide to pursue a strategic partner to progress, in whole or in part, the program or commercialize any resulting approved product.</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all of our manufacturing activities are outsourced to third-party contract development and manufacturing organizations or third-party contract manufacturing organizations, which we refer to collectively as CMOs, who are generally single 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resources are focused, and will continue to be focused, on activities required to prepare aldafermin for potential regulatory approval for the treatment of NASH, including manufacturing of clinical trial materials and preparation for potential Phase 3 testing. If our CROs fail to satisfy their contractual duties to us or meet expected deadlines or if our CMOs experience difficulties in scaling production or experience product loss due to contamination, equipment failure, improper installation or operation of equipment, vendor or operator error, turnover of qualified staff or improper storage conditions, our ongoing and planned aldafermin trials would be delayed, perhaps substantially, which could materially and adversely affect our business.</w:t>
      </w:r>
    </w:p>
    <w:p>
      <w:pPr>
        <w:spacing w:after="0" w:line="98"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the suspension of development activities on multiple viable product candidates for portfolio management reasons in order to concentrate our resources on what we consider our most promising product candidates. For example, in 2020, we suspended development activities related to multiple metabolic disease product candidates in order to concentrate our resources on aldafermin and certain other product candidates subject to our Merck collaboration. Most recently, in December 2020, based on the overall clinical experience with both NGM386 (a once-daily GDF15 agonist product candidate we suspended development of earlier in 2020) and NGM395 (a long-acting GDF15 agonist product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3" w:name="page114"/>
    <w:bookmarkEnd w:id="113"/>
    <w:p>
      <w:pPr>
        <w:jc w:val="both"/>
        <w:spacing w:after="0" w:line="236" w:lineRule="auto"/>
        <w:rPr>
          <w:sz w:val="20"/>
          <w:szCs w:val="20"/>
          <w:color w:val="auto"/>
        </w:rPr>
      </w:pPr>
      <w:r>
        <w:rPr>
          <w:rFonts w:ascii="Arial" w:cs="Arial" w:eastAsia="Arial" w:hAnsi="Arial"/>
          <w:sz w:val="18"/>
          <w:szCs w:val="18"/>
          <w:color w:val="auto"/>
        </w:rPr>
        <w:t>candidate), we decided to suspend development of our GDF15 agonist program, including both NGM386 and NGM395, after we complete an ongoing Phase 1 clinical trial evaluating safety, tolerability and PK of NGM395 in obese but otherwise healthy adults. We remain interested in the potential applications of a GDF15 agonist, but we believe antagonizing the GDF15 receptor, GFRAL, with NGM120 in patients with cancer has a stronger near-term rationale for development. In mid-2020, we also suspended development of NGM217, an antibody binding an undisclosed target that is designed to restore pancreatic islet function and increase insulin production in patients with diabetes, after we completed a Phase 1 clinical trial of NGM217 assessing its safety, tolerability and PK in adults with autoimmune diabetes. This clinical trial demonstrated that NGM217 was well tolerated; however, we decided to suspend activities related to NGM217 to concentrate our resources on the development of other product candidates.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Merck Collaboration Update</w:t>
      </w:r>
    </w:p>
    <w:p>
      <w:pPr>
        <w:spacing w:after="0" w:line="12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The original research phase of the Collaboration Agreement with Merck was for five years. In March 2019, Merck exercised its option to extend the research phase of the collaboration through March 16, 2022. Under the terms of the collaboration, Merck was required to notify us no later than March 17, 2021 of its unilateral decision whether to exercise its option to extend the research phase of the collaboration for an additional two-year term through March 16, 2024. In March 2021, Merck initiated discussions with us with respect to elements of the ongoing collaboration that might be optimized to better address the evolving interests and priorities of both NGM and Merck during the remainder of the current research phase through March 16, 2022 and during any extension of the current research phase and any tail period after the end of the research phase. In this regard, the parties are negotiating in good faith certain modifications to the terms of the collaboration. Such modifications may include, among other things, focusing NGM’s research and development under the collaboration on therapeutic areas of particular interest to Merck, while enabling NGM to conduct research and development outside of these therapeutic areas which would, if mutually agreed to, allow NGM to discover and develop product candidates on its own or with third parties in other areas of interest. In order to allow negotiations to proceed, the parties have agreed to extend the March 17, 2021 deadline for Merck to deliver its extension notification decision until June 30, 2021. While we cannot predict whether or when Merck will elect to extend the research phase of the collaboration or on what terms, or whether or when we will reach agreement with Merck on the terms of a modified collaboration generally,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research phase. In any event, we expect that our funding obligations with respect to the development of our current and potential future product candidates will substantially increase following March 16, 2022, the end of the current two-year extension of the research phase, regardless of whether we are able to reach agreement with Merck on modified terms.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212" w:lineRule="exact"/>
        <w:rPr>
          <w:sz w:val="20"/>
          <w:szCs w:val="20"/>
          <w:color w:val="auto"/>
        </w:rPr>
      </w:pPr>
    </w:p>
    <w:p>
      <w:pPr>
        <w:jc w:val="both"/>
        <w:ind w:left="1660" w:hanging="397"/>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received from collaboration partners, primarily Merck, which since inception through December 31, 2020 includes reimbursement of research and development expenses of $400.6 million, upfront cash licensing fees of $123.0 million, primarily from Merck, and a payment of $20.0 million from Merck to license MK-3655 and related compounds;</w:t>
      </w:r>
    </w:p>
    <w:p>
      <w:pPr>
        <w:spacing w:after="0" w:line="202" w:lineRule="exact"/>
        <w:rPr>
          <w:rFonts w:ascii="Arial" w:cs="Arial" w:eastAsia="Arial" w:hAnsi="Arial"/>
          <w:sz w:val="18"/>
          <w:szCs w:val="18"/>
          <w:color w:val="auto"/>
        </w:rPr>
      </w:pPr>
    </w:p>
    <w:p>
      <w:pPr>
        <w:ind w:left="1660" w:hanging="397"/>
        <w:spacing w:after="0" w:line="246" w:lineRule="auto"/>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proceeds from a private placement of convertible preferred stock prior to our initial public offering, or IPO, including approximately $106.0 million of our Series E convertible preferred stock purchased by Merck;</w:t>
      </w:r>
    </w:p>
    <w:p>
      <w:pPr>
        <w:spacing w:after="0" w:line="196" w:lineRule="exact"/>
        <w:rPr>
          <w:rFonts w:ascii="Arial" w:cs="Arial" w:eastAsia="Arial" w:hAnsi="Arial"/>
          <w:sz w:val="18"/>
          <w:szCs w:val="18"/>
          <w:color w:val="auto"/>
        </w:rPr>
      </w:pPr>
    </w:p>
    <w:p>
      <w:pPr>
        <w:ind w:left="1660" w:right="20" w:hanging="397"/>
        <w:spacing w:after="0" w:line="246" w:lineRule="auto"/>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196" w:lineRule="exact"/>
        <w:rPr>
          <w:rFonts w:ascii="Arial" w:cs="Arial" w:eastAsia="Arial" w:hAnsi="Arial"/>
          <w:sz w:val="18"/>
          <w:szCs w:val="18"/>
          <w:color w:val="auto"/>
        </w:rPr>
      </w:pPr>
    </w:p>
    <w:p>
      <w:pPr>
        <w:jc w:val="both"/>
        <w:ind w:left="1660" w:hanging="397"/>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proceeds of $21.9 million from sales of 809,700 shares of our common stock at an average price of $27.94 per share in December 2020 under an Open Market Sale Agreement</w:t>
      </w:r>
      <w:r>
        <w:rPr>
          <w:rFonts w:ascii="Arial" w:cs="Arial" w:eastAsia="Arial" w:hAnsi="Arial"/>
          <w:sz w:val="15"/>
          <w:szCs w:val="15"/>
          <w:color w:val="auto"/>
        </w:rPr>
        <w:t>SM</w:t>
      </w:r>
      <w:r>
        <w:rPr>
          <w:rFonts w:ascii="Arial" w:cs="Arial" w:eastAsia="Arial" w:hAnsi="Arial"/>
          <w:sz w:val="18"/>
          <w:szCs w:val="18"/>
          <w:color w:val="auto"/>
        </w:rPr>
        <w:t>, or the Sales Agreement, we entered into with Jefferies LLC, or Jefferies, in June 2020; and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4" w:name="page115"/>
    <w:bookmarkEnd w:id="114"/>
    <w:p>
      <w:pPr>
        <w:jc w:val="both"/>
        <w:ind w:left="1660" w:hanging="397"/>
        <w:spacing w:after="0"/>
        <w:tabs>
          <w:tab w:leader="none" w:pos="1660" w:val="left"/>
        </w:tabs>
        <w:numPr>
          <w:ilvl w:val="0"/>
          <w:numId w:val="54"/>
        </w:numPr>
        <w:rPr>
          <w:rFonts w:ascii="MS PGothic" w:cs="MS PGothic" w:eastAsia="MS PGothic" w:hAnsi="MS PGothic"/>
          <w:sz w:val="18"/>
          <w:szCs w:val="18"/>
          <w:color w:val="auto"/>
        </w:rPr>
      </w:pPr>
      <w:r>
        <w:rPr>
          <w:rFonts w:ascii="Arial" w:cs="Arial" w:eastAsia="Arial" w:hAnsi="Arial"/>
          <w:sz w:val="18"/>
          <w:szCs w:val="18"/>
          <w:color w:val="auto"/>
        </w:rPr>
        <w:t>net proceeds of approximately $134.7 million from the sale of 5,324,074 shares of our common stock in January 2021 upon completion of an underwritten public offering of our common stock, or the follow-on offering, which included the full exercise by the underwriters of their option to purchase additional shares.</w:t>
      </w:r>
    </w:p>
    <w:p>
      <w:pPr>
        <w:spacing w:after="0" w:line="203"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At December 31, 2020, we had $295.2 million in cash, cash equivalents and short-term marketable securities, which does not include net proceeds of approximately $134.7 million from our follow-on offering in January 2021.</w:t>
      </w:r>
    </w:p>
    <w:p>
      <w:pPr>
        <w:spacing w:after="0" w:line="8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have incurred net losses each year since our inception. Our consolidated net losses were $102.5 million, $42.8 million and $0.5 million for the years ended December 31, 2020, 2019 and 2018, respectively. As of December 31, 2020, we had an accumulated deficit of $298.6 million. Substantially all of our net losses have resulted from costs incurred in connection with our research and development, or R&amp;D, programs and general and administrative costs associated with our operations. Our net losses may fluctuate significantly from quarter to quarter and year to year, depending on the timing of our clinical trials and our expenses on other R&amp;D activities, and the amount of R&amp;D funding we receive from collaboration partners, including Merck. For further discussion of our financial position and future sources of funding, see “Liquidity and Capital Resources”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study investigators, clinical research staff and employees, while maintaining business continuity. Following guidance from federal, state and local authorities, we continue to operate with a primarily remote work model. Only individuals conducting essential in-person laboratory work and other essential business functions are working on site and only for work that cannot be conducted remotely. There have been relatively minor impacts on productivity overall, but future developments could more materially and adversely impact our productivity. In addition, in 2020, we experienced higher-than-normal employee turnover and an increased rate of hiring new employees. We cannot predict whether these trends will continue or be exacerbated, when we will be permitted to return to an office-based working model or whether we will be required to adopt a more restrictive work model.</w:t>
      </w:r>
    </w:p>
    <w:p>
      <w:pPr>
        <w:spacing w:after="0" w:line="10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For patients enrolled in our clinical trials, we continue to work closely with clinical trial investigators and site staff with the goal of continuing treatment in a manner designed to uphold trial integrity, while allowing some flexibility in the manner and timing of patient visits, and to observe government and institutional guidelines designed to safeguard the health and safety of patients, clinical trial investigators and site staff. We have experienced, from time to time, a slower pace of clinical trial site initiation and clinical trial enrollment than originally anticipated in certain of our clinical trials, including the ALPINE 4, CATALINA and NGM120 trials, and we have experienced a higher dropout rate than anticipated in our ALPINE 2/3 trial after we completed enrollment, due to factors such as the vulnerability of our studied patient populations, clinical trial site suspensions, reallocation of medical resources and the challenges of working remotely due to shelter-in-place and similar government orders, among other factors.</w:t>
      </w:r>
    </w:p>
    <w:p>
      <w:pPr>
        <w:spacing w:after="0" w:line="100" w:lineRule="exact"/>
        <w:rPr>
          <w:sz w:val="20"/>
          <w:szCs w:val="20"/>
          <w:color w:val="auto"/>
        </w:rPr>
      </w:pPr>
    </w:p>
    <w:p>
      <w:pPr>
        <w:jc w:val="both"/>
        <w:ind w:firstLine="802"/>
        <w:spacing w:after="0" w:line="205" w:lineRule="exact"/>
        <w:rPr>
          <w:sz w:val="20"/>
          <w:szCs w:val="20"/>
          <w:color w:val="auto"/>
        </w:rPr>
      </w:pPr>
      <w:r>
        <w:rPr>
          <w:rFonts w:ascii="Arial" w:cs="Arial" w:eastAsia="Arial" w:hAnsi="Arial"/>
          <w:sz w:val="18"/>
          <w:szCs w:val="18"/>
          <w:color w:val="auto"/>
        </w:rPr>
        <w:t>We have been proactively working to mitigate these and other effects of the COVID-19 pandemic by monitoring site initiations, patient enrollment and patient study adherence to provide support to patients and trial staff, often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and/or patient-by-patient basis. For example, we have implemented additional study policies and procedures designed to help protect trial participants from exposure to COVID-19 as a result of their trial participation, which include the use of telemedicine visits, remote monitoring of patients and clinical trial sites and other measures, as appropriate, designed to ensure that data from clinical trials that may be disrupted as result of the pandemic are collected pursuant to the study protocol and consistent with current Good Clinical Practices, with any material protocol deviation reviewed and approved by the clinical trial site Institutional Review Boards. Most of our clinical trial sites, both within and outside of the United States, continue to screen patients in our clinical trials, and new patients are being enrolled when appropriate. While the COVID-19 pandemic has not yet resulted in a significant impact to our disclosed clinical development timelines and we believe the higher-than-planned enrollment we achieved in our ALPINE 2/3 trial has mitigated the effects of the increased dropout rate, as the pandemic continues, there may be continuing negative impacts on our ability to initiate new clinical trial sites, maintain enrollment of existing patients and enroll new patients, which may result in increased clinical trial costs and negatively impact our timelines and our ability to obtain regulatory approvals of our product candidates in a timely fashion, if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5" w:name="page116"/>
    <w:bookmarkEnd w:id="115"/>
    <w:p>
      <w:pPr>
        <w:jc w:val="both"/>
        <w:ind w:firstLine="802"/>
        <w:spacing w:after="0" w:line="238"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institutional review boards and ethics committees or other important agencies due to limitations in regulatory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addition, while we have not experienced any disruption to drug or related component supply for our ongoing clinical trials, we could experience disruptions to our supply chain and operations due to the continuing pandemic, and associated delays in the manufacturing and supply of drug substance and drug product for our clinical trials, which could adversely affect our ability to conduct ongoing and future clinical trials of our product candidates. For example, our aldafermin drug product CMO has advised us that it could be required under orders of the U.S. government to allocate manufacturing capacity to the manufacture or distribution of COVID-19 vaccines. If any of our CMOs become subject to acts or orders of U.S. or foreign government entities to allocate manufacturing capacity to the manufacture or distribution of COVID-19 vaccines or medical supplies needed to treat COVID-19 patients, this could also delay our clinical trials, perhaps substantially, particularly our ongoing and planned aldafermin trials, which could materially and adversely affect our business.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Finally, we cannot predict how the evolving effects of the COVID-19 pandemic may influence the future decisions of Merck to license any programs available to it under the Collaboration Agreement, to exercise its remaining option to extend the research phase of the collaboration beyond March 16, 2022 or to reach agreement with us on the terms of a modified collaboration, if any. For additional information about risks and uncertainties related to the COVID-19 pandemic that may impact our business, financial condition and results of operations, see the section titled “Risk Factors” in Part I, Item 1A of this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Our revenue to date has been generated primarily from recognition of license fees and R&amp;D service funding pursuant to our Collaboration Agreement with Merck. Merck is also a significant stockholder and, as such, collaboration revenue from Merck is referred to as related party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2015, we entered into the Collaboration Agreement with Merck, covering the discovery, development and commercialization of novel therapies across a range of therapeutic areas, including a broad, multi-year drug discovery and early development program financially supported by Merck, but scientifically directed by us with input from Merck. Merck generally has a one-time right to exercise its option to an exclusive, worldwide license for any collaboration product candidate and related program when a human proof-of-concept trial is completed. In 2018, Merck exercised its option to license MK-3655, which is a potential treatment for NASH. Under the current terms of the Collaboration Agreement, for a program that Merck licenses, we retain an option, when a product candidate has advanced to Phase 3 clinical trials, to participate in up to 50% of the economic return from that product candidate if it becomes an approved medicine by agreeing to share up to 50% of the costs of future development. If we do not elect this option, we will instead receive milestone and royalty payments and we will not be required to share in development costs.</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aldafermin program is not included in the Collaboration Agreement and it remains wholly-owned and controlled by us.</w:t>
      </w:r>
    </w:p>
    <w:p>
      <w:pPr>
        <w:spacing w:after="0" w:line="10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term of the current research phase of the collaboration and a general description of the funding we have received and may in the future receive under the collaboration for research and development expenses is included in “Our Collaboration with Merck” in Part I, Item 1A of this Annual Report on Form 10-K and “Overview of Our Business -- Merck Collaboration Update” above. Since inception through December 31, 2020, Merck had paid us $495.8 million under the Collaboration Agreement. Due to the nature of our agreement with Merck and the timing of related revenue recognition, our revenue has fluctuated from period to period in the past and we expect that it will continue to fluctuate in future periods.</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6" w:name="page117"/>
    <w:bookmarkEnd w:id="116"/>
    <w:p>
      <w:pPr>
        <w:jc w:val="both"/>
        <w:spacing w:after="0" w:line="238" w:lineRule="auto"/>
        <w:rPr>
          <w:sz w:val="20"/>
          <w:szCs w:val="20"/>
          <w:color w:val="auto"/>
        </w:rPr>
      </w:pPr>
      <w:r>
        <w:rPr>
          <w:rFonts w:ascii="Arial" w:cs="Arial" w:eastAsia="Arial" w:hAnsi="Arial"/>
          <w:sz w:val="18"/>
          <w:szCs w:val="18"/>
          <w:color w:val="auto"/>
        </w:rPr>
        <w:t>our performance obligation. We apply considerable judgment when we re -evaluate the estimate of expected costs to satisfy the performance obligation each reporting period and make adjustments for any significant changes. A significant change in the estimate of expected costs for the remainder of the current two-year extension period could have a material impact on revenue recognized (including the possible reversal of previously recognized revenue) at each reporting period.</w:t>
      </w:r>
    </w:p>
    <w:p>
      <w:pPr>
        <w:spacing w:after="0" w:line="9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sources of our collaboration revenue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40" w:type="dxa"/>
            <w:vAlign w:val="bottom"/>
            <w:tcBorders>
              <w:bottom w:val="single" w:sz="8" w:color="CFF0FC"/>
            </w:tcBorders>
          </w:tcPr>
          <w:p>
            <w:pPr>
              <w:spacing w:after="0"/>
              <w:rPr>
                <w:sz w:val="20"/>
                <w:szCs w:val="20"/>
                <w:color w:val="auto"/>
              </w:rPr>
            </w:pPr>
          </w:p>
        </w:tc>
        <w:tc>
          <w:tcPr>
            <w:tcW w:w="20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2"/>
              <w:spacing w:after="0" w:line="236"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7"/>
                <w:szCs w:val="27"/>
                <w:b w:val="1"/>
                <w:bCs w:val="1"/>
                <w:color w:val="auto"/>
                <w:vertAlign w:val="superscript"/>
              </w:rPr>
              <w:t>(1)</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0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60"/>
              <w:spacing w:after="0"/>
              <w:rPr>
                <w:sz w:val="20"/>
                <w:szCs w:val="20"/>
                <w:color w:val="auto"/>
              </w:rPr>
            </w:pPr>
            <w:r>
              <w:rPr>
                <w:rFonts w:ascii="Arial" w:cs="Arial" w:eastAsia="Arial" w:hAnsi="Arial"/>
                <w:sz w:val="18"/>
                <w:szCs w:val="18"/>
                <w:color w:val="auto"/>
              </w:rPr>
              <w:t>Collaboration service revenue</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87,368</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103,544</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69,865</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Recognition of upfront fee</w:t>
            </w:r>
          </w:p>
        </w:tc>
        <w:tc>
          <w:tcPr>
            <w:tcW w:w="20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FF0FC"/>
            </w:tcBorders>
          </w:tcPr>
          <w:p>
            <w:pPr>
              <w:spacing w:after="0"/>
              <w:rPr>
                <w:sz w:val="18"/>
                <w:szCs w:val="18"/>
                <w:color w:val="auto"/>
              </w:rPr>
            </w:pPr>
          </w:p>
        </w:tc>
      </w:tr>
      <w:tr>
        <w:trPr>
          <w:trHeight w:val="20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100" w:type="dxa"/>
            <w:vAlign w:val="bottom"/>
            <w:shd w:val="clear" w:color="auto" w:fill="CFF0FC"/>
          </w:tcPr>
          <w:p>
            <w:pPr>
              <w:spacing w:after="0"/>
              <w:rPr>
                <w:sz w:val="18"/>
                <w:szCs w:val="18"/>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8" w:lineRule="exact"/>
        <w:rPr>
          <w:sz w:val="20"/>
          <w:szCs w:val="20"/>
          <w:color w:val="auto"/>
        </w:rPr>
      </w:pPr>
    </w:p>
    <w:p>
      <w:pPr>
        <w:ind w:left="400" w:right="20" w:hanging="392"/>
        <w:spacing w:after="0" w:line="181" w:lineRule="auto"/>
        <w:tabs>
          <w:tab w:leader="none" w:pos="400" w:val="left"/>
        </w:tabs>
        <w:numPr>
          <w:ilvl w:val="0"/>
          <w:numId w:val="55"/>
        </w:numPr>
        <w:rPr>
          <w:rFonts w:ascii="Arial" w:cs="Arial" w:eastAsia="Arial" w:hAnsi="Arial"/>
          <w:sz w:val="28"/>
          <w:szCs w:val="28"/>
          <w:color w:val="auto"/>
          <w:vertAlign w:val="superscript"/>
        </w:rPr>
      </w:pPr>
      <w:r>
        <w:rPr>
          <w:rFonts w:ascii="Arial" w:cs="Arial" w:eastAsia="Arial" w:hAnsi="Arial"/>
          <w:sz w:val="16"/>
          <w:szCs w:val="16"/>
          <w:color w:val="auto"/>
        </w:rPr>
        <w:t>We adopted ASU 2014-09, Revenue from Contracts with Customers (Topic 606), and subsequent amendments, under the modified retrospective approach on January 1, 2019. Refer to Note 2 to our consolidated financial statements for more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R&amp;D efforts include drug discovery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9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Our R&amp;D expenses related to the development of aldafermin, MK-3655, NGM621, NGM120, NGM707 and NGM438 (and prior to suspending these programs, NGM386, NGM395 and NGM217) consist primarily of:</w:t>
      </w:r>
    </w:p>
    <w:p>
      <w:pPr>
        <w:spacing w:after="0" w:line="197" w:lineRule="exact"/>
        <w:rPr>
          <w:sz w:val="20"/>
          <w:szCs w:val="20"/>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211"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Our clinical development efforts are spread across multiple programs, most of which are subject to the Merck collaboration. For the foreseeable future, we anticipate the majority of our financial resources, other than those received from Merck and dedicated to Merck collaboration activities, will be dedicated to activities required to prepare aldafermin for potential regulatory approval for the treatment of NASH, including manufacturing of clinical trial materials and preparation for a potential pivotal program.</w:t>
      </w:r>
    </w:p>
    <w:p>
      <w:pPr>
        <w:spacing w:after="0" w:line="9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In the future, we may devote financial resources to other programs in the event Merck does not elect to license these programs upon completion of a proof-of-concept study, in the event Merck elects to terminate its license to any program it licenses or in the event we opt to co-develop any Merck-licensed programs, or if Merck no longer funds such programs under modified terms of the collaboration.</w:t>
      </w:r>
    </w:p>
    <w:p>
      <w:pPr>
        <w:spacing w:after="0" w:line="95"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Our R&amp;D efforts under the Merck collaboration are extensive and costly and are currently subject to reimbursement under our Merck collaboration during the current two-year extension up to the funding caps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7" w:name="page118"/>
    <w:bookmarkEnd w:id="117"/>
    <w:p>
      <w:pPr>
        <w:jc w:val="both"/>
        <w:spacing w:after="0" w:line="235" w:lineRule="auto"/>
        <w:rPr>
          <w:sz w:val="20"/>
          <w:szCs w:val="20"/>
          <w:color w:val="auto"/>
        </w:rPr>
      </w:pPr>
      <w:r>
        <w:rPr>
          <w:rFonts w:ascii="Arial" w:cs="Arial" w:eastAsia="Arial" w:hAnsi="Arial"/>
          <w:sz w:val="18"/>
          <w:szCs w:val="18"/>
          <w:color w:val="auto"/>
        </w:rPr>
        <w:t>provided in our Collaboration Agreement. If our R&amp;D expenses for product candidates subject to the Merck collaboration, including the clinical development of product candidates subject to the Merck collaboration through completion of proof-of-concept studies, exceed the funding caps provided in the Collaboration Agreement, which happened in the fiscal year ended December 31, 2020 and could happen in the future, we will be required to devote our own financial resources toward the development of such product candidates or, if we are unwilling or unable to do so, pause or suspend such development to remain within the funding caps. In addition, while we cannot predict whether or when Merck will elect to extend the research phase of the collaboration through March 16, 2024 or on what terms, or whether or when we will reach agreement with Merck on the terms of a modified collaboration generally,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our funding obligations with respect to the development of our current and potential future product candidates will substantially increase following March 16, 2022, the end of the current two-year extension of the research phase, regardless of whether we are able to reach agreement with Merck on modified terms.</w:t>
      </w:r>
    </w:p>
    <w:p>
      <w:pPr>
        <w:spacing w:after="0" w:line="10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203" w:lineRule="exact"/>
        <w:rPr>
          <w:sz w:val="20"/>
          <w:szCs w:val="20"/>
          <w:color w:val="auto"/>
        </w:rPr>
      </w:pPr>
    </w:p>
    <w:p>
      <w:pPr>
        <w:ind w:left="820" w:hanging="27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w:t>
      </w:r>
    </w:p>
    <w:p>
      <w:pPr>
        <w:spacing w:after="0" w:line="252"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and the timing of such election or termination;</w:t>
      </w:r>
    </w:p>
    <w:p>
      <w:pPr>
        <w:spacing w:after="0" w:line="252"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we exceed the current or any future funding caps provided in our Collaboration Agreement and whether Merck decides not to proceed with certain of our product candidates after the end of the research phase;</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252"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w:t>
      </w:r>
    </w:p>
    <w:p>
      <w:pPr>
        <w:spacing w:after="0" w:line="252"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Merck and Other Third Parties,” and “—Risks Related to Regulatory Approvals” in Part I, Item 1A of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R&amp;D activities. These increases will likely include increased costs related to the hiring of additional personnel, as well as fees paid to outside consultants, lawyers and accountants, among other expenses. Additionally, we anticipate continued increased costs associated with being a public company, including expenses related to services associated with maintaining compliance with Nasdaq listing rules and related SEC requirements and costs related to insurance, investor relations and SOX 404 compliance. In addition, we may incur expenses associated with building a commercial organization in connection with, and prior to, potential future regulatory approval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results of operations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2020 vs 2019</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2019 vs 2018</w:t>
            </w:r>
          </w:p>
        </w:tc>
        <w:tc>
          <w:tcPr>
            <w:tcW w:w="100" w:type="dxa"/>
            <w:vAlign w:val="bottom"/>
            <w:tcBorders>
              <w:bottom w:val="single" w:sz="8" w:color="CFF0FC"/>
            </w:tcBorders>
          </w:tcPr>
          <w:p>
            <w:pPr>
              <w:spacing w:after="0"/>
              <w:rPr>
                <w:sz w:val="18"/>
                <w:szCs w:val="18"/>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(16,176)</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(5,121)</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163,972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FF0FC"/>
            </w:tcBorders>
          </w:tcPr>
          <w:p>
            <w:pPr>
              <w:spacing w:after="0"/>
              <w:rPr>
                <w:sz w:val="18"/>
                <w:szCs w:val="18"/>
                <w:color w:val="auto"/>
              </w:rPr>
            </w:pPr>
          </w:p>
        </w:tc>
      </w:tr>
      <w:tr>
        <w:trPr>
          <w:trHeight w:val="209"/>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191,201</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38,317</w:t>
            </w:r>
          </w:p>
        </w:tc>
        <w:tc>
          <w:tcPr>
            <w:tcW w:w="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39,905</w:t>
            </w:r>
          </w:p>
        </w:tc>
        <w:tc>
          <w:tcPr>
            <w:tcW w:w="100" w:type="dxa"/>
            <w:vAlign w:val="bottom"/>
            <w:shd w:val="clear" w:color="auto" w:fill="CFF0FC"/>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(103,833)</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(49,340)</w:t>
            </w: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(54,493)</w:t>
            </w: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(45,026)</w:t>
            </w: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(4,753)</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r>
      <w:tr>
        <w:trPr>
          <w:trHeight w:val="20"/>
        </w:trPr>
        <w:tc>
          <w:tcPr>
            <w:tcW w:w="5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(102,487)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(42,795)</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(59,692)</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(42,302)</w:t>
            </w: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Revenue from Merck</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Revenue decreased $16.2 million in the year ended December 31, 2020 compared to the same period in 2019 primarily due to a decrease of $14.9 million related to the recognition of a portion of the initial upfront payment received from Merck that was included within the transaction price and recognized over the initial five-year term of our Collaboration Agreement using the cost-based input model. The initial five-year term ended in the first quarter of 2020. Revenue decreased $5.1 million in the year ended December 31, 2019 compared to the same period in 2018 primarily due to license revenue of $20.0 million received in 2018 due to Merck’s exercise of its option for MK-3655, partially offset by an increase of $ 9.7 million in reimbursable costs related to research personnel and R&amp;D activities and an increase of $5.2 million in revenue associated with the change in revenue recognition methodology under ASC 606, which was effective January 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ind w:left="560"/>
              <w:spacing w:after="0"/>
              <w:rPr>
                <w:sz w:val="20"/>
                <w:szCs w:val="20"/>
                <w:color w:val="auto"/>
              </w:rPr>
            </w:pPr>
            <w:r>
              <w:rPr>
                <w:rFonts w:ascii="Arial" w:cs="Arial" w:eastAsia="Arial" w:hAnsi="Arial"/>
                <w:sz w:val="18"/>
                <w:szCs w:val="18"/>
                <w:color w:val="auto"/>
              </w:rPr>
              <w:t>Our R&amp;D expenses by program were as follows (in thousands):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0"/>
        </w:trPr>
        <w:tc>
          <w:tcPr>
            <w:tcW w:w="5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External R&amp;D expenses: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Aldafermin (FGF19 analog)</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50,553</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32,001</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NGM621 (C3 inhibitor)</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NGM120 (GFRAL antagonist)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NGM707 (Anti-ILT2/ILT4 dual antagonist)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NGM438 (LAIR1 antagonist)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NGM395 (GDF15 analog)</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MK-3655 (FGFR1c/KLB agonist)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external R&amp;D expenses</w:t>
            </w:r>
          </w:p>
        </w:tc>
        <w:tc>
          <w:tcPr>
            <w:tcW w:w="8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10,791</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FF0FC"/>
          </w:tcPr>
          <w:p>
            <w:pPr>
              <w:spacing w:after="0"/>
              <w:rPr>
                <w:sz w:val="18"/>
                <w:szCs w:val="18"/>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Total external R&amp;D expenses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56,817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expenses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38,171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30,908</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Internal and unallocated R&amp;D expenses </w:t>
            </w:r>
            <w:r>
              <w:rPr>
                <w:rFonts w:ascii="Arial" w:cs="Arial" w:eastAsia="Arial" w:hAnsi="Arial"/>
                <w:sz w:val="15"/>
                <w:szCs w:val="15"/>
                <w:color w:val="auto"/>
              </w:rPr>
              <w:t>(1)</w:t>
            </w:r>
          </w:p>
        </w:tc>
        <w:tc>
          <w:tcPr>
            <w:tcW w:w="8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32,895</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34,265</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31,557</w:t>
            </w:r>
          </w:p>
        </w:tc>
        <w:tc>
          <w:tcPr>
            <w:tcW w:w="100" w:type="dxa"/>
            <w:vAlign w:val="bottom"/>
            <w:tcBorders>
              <w:bottom w:val="single" w:sz="8" w:color="CFF0FC"/>
            </w:tcBorders>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R&amp;D expenses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163,972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54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44"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28"/>
          <w:szCs w:val="28"/>
          <w:color w:val="auto"/>
          <w:vertAlign w:val="superscript"/>
        </w:rPr>
      </w:pPr>
      <w:r>
        <w:rPr>
          <w:rFonts w:ascii="Arial" w:cs="Arial" w:eastAsia="Arial" w:hAnsi="Arial"/>
          <w:sz w:val="16"/>
          <w:szCs w:val="16"/>
          <w:color w:val="auto"/>
        </w:rPr>
        <w:t>Internal and unallocated R&amp;D expenses consist primarily of research supplies and consulting fees, which we deploy across multiple R&amp;D programs.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R&amp;D expenses increased $34.7 million in the year ended December 31, 2020 compared to the same period in 2019 primarily due to a $31.0 million increase in external expenses driven by our manufacturing activities and ongoing clinical trials of aldafermin, NGM621, NGM120 and NGM395. The increase in R&amp;D expenses in 2020 also included increases of $5.6 million in personnel-related expenses and $4.8 million in costs associated with pre-clinical IND-enabling studies for NGM707 and NGM438. These increases were partially offset by a decrease of $3.9 million in clinical trial materials and $1.4 million in unallocated R&amp;D expenses related to multiple R&amp;D programs.</w:t>
      </w:r>
    </w:p>
    <w:p>
      <w:pPr>
        <w:spacing w:after="0" w:line="9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R&amp;D expenses increased $33.5 million in the year ended December 31, 2019 compared to the same period in 2018 primarily due to increases of $16.6 million in external expenses driven by ongoing clinical trials of aldafermin, $7.4 million related to clinical trial materials, $7.3 million in personnel-related expenses and $2.7 million in unallocated R&amp;D expenses related to early research testing.</w:t>
      </w:r>
    </w:p>
    <w:p>
      <w:pPr>
        <w:spacing w:after="0" w:line="9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expect R&amp;D expenses in 2021 will increase compared to 2020 due to our ongoing activities, particularly as we advance our clinical development of aldafermin. In addition, we may be required to develop and implement additional clinical study policies and procedures to mitigate the evolving effects of the COVID-19 pandemic, which could significantly increase our R&amp;D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General and administrative expenses increased $3.6 million in the year ended December 31, 2020 compared to the same period in 2019 primarily due to an increase in personnel-related expenses due to increased headcount. General and administrative expenses increased $6.4 million in the year ended December 31, 2019 compared to the same period in 2018 primarily due to a $3.4 million increase in personnel-related expenses due to increased headcount and the implementation of our employee stock purchase plan and a $2.0 million increase in consulting expenses.</w:t>
      </w:r>
    </w:p>
    <w:p>
      <w:pPr>
        <w:spacing w:after="0" w:line="94"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We anticipate general and administrative expenses in 2021 will increase compared to 2020 due to an increase in compensation-related expenses driven by higher headcount and other expenses related to the expansion and support of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22"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Interest income decreased $4.8 million in the year ended December 31, 2020 compared to the same period in 2019 primarily due to the decrease in market interest rates and a reduction in our cash balance. Interest income increased $3.1 million in the year ended December 31, 2019 compared to the same period in 2018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0" w:name="page121"/>
    <w:bookmarkEnd w:id="120"/>
    <w:p>
      <w:pPr>
        <w:jc w:val="both"/>
        <w:spacing w:after="0" w:line="246" w:lineRule="auto"/>
        <w:rPr>
          <w:sz w:val="20"/>
          <w:szCs w:val="20"/>
          <w:color w:val="auto"/>
        </w:rPr>
      </w:pPr>
      <w:r>
        <w:rPr>
          <w:rFonts w:ascii="Arial" w:cs="Arial" w:eastAsia="Arial" w:hAnsi="Arial"/>
          <w:sz w:val="18"/>
          <w:szCs w:val="18"/>
          <w:color w:val="auto"/>
        </w:rPr>
        <w:t>primarily due to an increase in our cash and investments balance subsequent to the completion of our IPO and concurrent private placement to Merck in April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We have incurred net losses every year since our inception. We have spent, and expect to continue to spend, significant resources to fund R&amp;D of, and seek regulatory approvals for, our product candidates, particularly aldafermin. These activities require us to incur substantial costs related to research, development, manufacturing, preclinical studies, clinical trial and related activities, as well as to cover other expenses related to our ongoing operations. For example, we will require substantial additional capital to achieve our development and commercialization goals for our aldafermin program that is being conducted outside of the Merck collaboration or for any other programs in the event Merck does not elect to license these programs upon completion of a proof-of-concept study, in the event Merck elects to terminate its license to any program it licenses or in the event we opt to co-develop any Merck-licensed programs, or if Merck no longer funds such programs under modified terms of the collaboration. In addition, while we cannot predict whether or when Merck will elect to extend the research phase of the collaboration through March 16, 2024 or on what terms,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See ““Overview of Our Business – Merck Collaboration Update” above. As a result, we expect to incur significant and increasing operating losses. We have no products approved for commercial sale, have not generated any revenue from product sales to date and we are not and may never be profitable. We have incurred losses in each year since commencing operations. Our consolidated net losses were $ 102.5 million, $42.8 million and $0.5 million for the years ended December 31, 2020, 2019 and 2018, respectively. As of December 31, 2020, we had an accumulated deficit of $298.6 million and we expect our accumulated deficit will increase significantly over time. The size of our future net losses will depend, in part, on the rate of future growth of our expenses, how much revenue, if any, continues to be generated under the Merck collaboration and our ability to generate revenue outside of the Merck collaboration.</w:t>
      </w:r>
    </w:p>
    <w:p>
      <w:pPr>
        <w:spacing w:after="0" w:line="10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addition, if our R&amp;D expenses for product candidates subject to the Merck collaboration exceed the funding caps provided in our current Collaboration Agreement, which happened in the fiscal year ended December 31, 2020 and could happen in the future, or if Merck no longer funds such programs under modified terms of the collaboration, we will be required to devote our own financial resources toward the development of such product candidates or, if we are unwilling or unable to do so, pause or suspend such development to remain within the funding caps or to proceed with development of unfunded programs</w:t>
      </w:r>
      <w:r>
        <w:rPr>
          <w:rFonts w:ascii="Arial" w:cs="Arial" w:eastAsia="Arial" w:hAnsi="Arial"/>
          <w:sz w:val="18"/>
          <w:szCs w:val="18"/>
          <w:i w:val="1"/>
          <w:iCs w:val="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2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The revenue we receive under our Collaboration Agreement with Merck is our only source of revenue. The original research phase of the Collaboration Agreement was for five years. As described in greater detail in “Overview of Our Business – Merck Collaboration Update” above, the parties are negotiating in good faith certain modifications to the terms of the collaboration. While we cannot predict whether or when Merck will elect to extend the research phase of the collaboration or on what terms, or whether or when we will reach agreement with Merck on the terms of a modified collaboration generally,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research phase. In any event, we expect that our funding obligations with respect to the development of our current and potential future product candidates will substantially increase following March 16, 2022, the end of the current two-year extension of the research phase, regardless of whether we are able to reach agreement with Merck on modified terms. Accordingly, we will require significant additional capital in order to proceed with development and commercialization of our current and potential future product candidates,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1" w:name="page122"/>
    <w:bookmarkEnd w:id="121"/>
    <w:p>
      <w:pPr>
        <w:jc w:val="both"/>
        <w:spacing w:after="0" w:line="238" w:lineRule="auto"/>
        <w:rPr>
          <w:sz w:val="20"/>
          <w:szCs w:val="20"/>
          <w:color w:val="auto"/>
        </w:rPr>
      </w:pPr>
      <w:r>
        <w:rPr>
          <w:rFonts w:ascii="Arial" w:cs="Arial" w:eastAsia="Arial" w:hAnsi="Arial"/>
          <w:sz w:val="18"/>
          <w:szCs w:val="18"/>
          <w:color w:val="auto"/>
        </w:rPr>
        <w:t>including any product candidate that had been subject to the Merck collaboration but Merck decides not to proceed with under the terms of a modified collaboration or after the end of the research phase, or we will need to enter into additional collaboration or license agreements in order to fund such development and commercialization. Neither may be possible and as a result, we may be required to delay, scale back or discontinue development of such product candidates.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Sources of Liquidity</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 June 2020, we entered into the Sales Agreement with Jefferies relating to the sale of shares of our common stock. In accordance with the terms of the Sales Agreement, we may offer and sell shares of our common stock having an aggregate offering price of up to $150.0 million from time to time through Jefferies, acting as our sales agent. In December 2020, under the Sales Agreement, we sold 809,700 shares of our common stock at an average price of $27.94 per share for net proceeds of $21.9 million, after deducting $0.7 million in sales commissions. As of December 31, 2020, $ 127.4 million of our common stock remained available to be sold under the Sales Agreement, subject to certain conditions as specified in the Sales Agreement.</w:t>
      </w:r>
    </w:p>
    <w:p>
      <w:pPr>
        <w:spacing w:after="0" w:line="9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As of December 31, 2020, we had cash and cash equivalents of $147.0 million, short-term marketable securities of $148.1 million, working capital of $265.8 million and an accumulated deficit of $298.6 million.</w:t>
      </w:r>
    </w:p>
    <w:p>
      <w:pPr>
        <w:spacing w:after="0" w:line="8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January 2021, we sold 5,324,074 shares of common stock (inclusive of shares sold pursuant to the full exercise of the option to purchase additional shares granted to the underwriters in connection with the offering) through an underwritten public offering at a price of $27.00 per share for aggregate net proceeds of approximately $134.7 million. We intend to use the net proceeds from this offering for working capital and other general corporate purposes, which may include funding our pipeline of development programs, general and administrative activities and capital expenditures.</w:t>
      </w:r>
    </w:p>
    <w:p>
      <w:pPr>
        <w:spacing w:after="0" w:line="9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 Item 1A of this Annual Report on Form 10-K.</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are unable to raise adequate additional capital, we may be prevented from pursuing development and commercialization efforts, which will have a material adverse effect on our business, operating results and prospects.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2" w:name="page123"/>
    <w:bookmarkEnd w:id="122"/>
    <w:p>
      <w:pPr>
        <w:ind w:left="500"/>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our cash flow activity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4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(83,496)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(41,174)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(7,597)</w:t>
            </w: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(50,998)</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38,729</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35,538</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180,751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(98,956)</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188,300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31,330</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Cash used in operating activities in 2020 was $ 83.5 million, which consisted of a net loss of $102.5 million, adjusted for non-cash charges of $22.3 million and net cash used in operating assets and liabilities of $3.3 million. The non-cash charges consisted primarily of stock-based compensation expense of $15.7 million and depreciation expense of $6.6 million. The change in operating assets and liabilities was mainly driven by increases in accrued expenses of $6.2 million, prepaid expenses and other current assets of $ 1.9 million, accounts payable of $0.9 million and a related party contract asset of $6.1 million. These increases were offset by a decrease in deferred rent of $2.8 million.</w:t>
      </w:r>
    </w:p>
    <w:p>
      <w:pPr>
        <w:spacing w:after="0" w:line="9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Cash used in operating activities in 2019 was $41.2 million, which consisted of a net loss of $42.8 million, adjusted for non-cash charges of $ 19.6 million and net cash used in operating assets and liabilities of $17.9 million. The non-cash charges consisted primarily of stock-based compensation expense of $12.9 million and depreciation expense of $7.6 million. The change in operating assets and liabilities was mainly driven by increases in the related party receivable of $1.5 million, prepaid expenses and other current assets of $ 2.0 million, accounts payable of $3.6 million and accrued expenses and other current liabilities of $8.9 million. These increases were offset by decreases in deferred rent of $2.7 million and contract liabilities of $24.2 million, which was primarily due to the adoption of ASC 606 and the timing of advance payments from Merck related to the reimbursement of costs associated with research and development activities.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Cash used in operating activities in 2018 was $ 7.6 million, which consisted of a net loss of $0.5 million, adjusted for non-cash charges of $16.5 million and cash used in operating assets and liabilities of $23.6 million. The non-cash charges consisted primarily of stock-based compensation expense of $9.9 million and depreciation expense of $7.2 million. The change in operating assets and liabilities was primarily due to increases in the related party receivable of $3.7 million, prepaid expenses and other current assets of $4.4 million, accounts payable of $3.5 million and accrued expenses and other current liabilities of $4.1 million. These increases were offset by decreases in deferred rent and contract liabilities of $2.0 million and $21.1 million, respectively. The decrease in contract liabilities is primarily due to the recognition of upfront fees from Merck and the timing of advance payments from Merck related to the reimbursement of costs associated with research and development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230"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Cash used in investing activities in 2020 was $51.0 million, which consisted of purchases of marketable securities of $177.7 million and purchases of property and equipment of $1.9 million partially offset by net proceeds on maturity of marketable securities of $128.5 million. Cash provided by investing activities in 2019 was $48.7 million, which consisted of net proceeds on maturity of marketable securities of $186.5 million partially offset by purchases of marketable securities of $134.3 million and purchases of property and equipment of $3.5 million. Cash provided by investing activities in 2018 was $38.7 million, which consisted of net proceeds on maturity of marketable securities of $178.2 million partially offset by purchases of marketable securities of $133.6 million and purchases of property and equipment of $5.8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22"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Cash provided by financing activities in 2020 was $35.5 million and primarily related to net proceeds from the Sales Agreement of $21.9 million and proceeds from employee equity incentive and purchase plans of $14.2 million. Cash provided by financing activities in 2019 was $180.8 million and primarily related to net proceeds from our IPO of $110.0 million, proceeds from a concurrent private placement with Merck of $65.9 million and proceeds from employee equity incentive and purchase plans of $4.8 million. Cash provided by financing activities in 2018 was $0.2 million and primarily related to proceeds from employee equity incentive plans of $2.6 million partially offset by deferred IPO costs of $2.2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18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out, as of December 31, 2020, our contractual obligations due by period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6"/>
                <w:szCs w:val="16"/>
                <w:b w:val="1"/>
                <w:bCs w:val="1"/>
                <w:color w:val="auto"/>
              </w:rPr>
              <w:t>Payments due by period</w:t>
            </w: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Less than</w:t>
            </w:r>
          </w:p>
        </w:tc>
        <w:tc>
          <w:tcPr>
            <w:tcW w:w="26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6"/>
                <w:szCs w:val="16"/>
                <w:b w:val="1"/>
                <w:bCs w:val="1"/>
                <w:color w:val="auto"/>
              </w:rPr>
              <w:t>1 to 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4 to 5</w:t>
            </w:r>
          </w:p>
        </w:tc>
        <w:tc>
          <w:tcPr>
            <w:tcW w:w="18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More than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1 year</w:t>
            </w:r>
          </w:p>
        </w:tc>
        <w:tc>
          <w:tcPr>
            <w:tcW w:w="26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5 years</w:t>
            </w:r>
          </w:p>
        </w:tc>
        <w:tc>
          <w:tcPr>
            <w:tcW w:w="26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09"/>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6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5,141</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10,749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tcPr>
          <w:p>
            <w:pPr>
              <w:spacing w:after="0"/>
              <w:rPr>
                <w:sz w:val="18"/>
                <w:szCs w:val="18"/>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shd w:val="clear" w:color="auto" w:fill="CFF0FC"/>
          </w:tcPr>
          <w:p>
            <w:pPr>
              <w:spacing w:after="0"/>
              <w:rPr>
                <w:sz w:val="18"/>
                <w:szCs w:val="18"/>
                <w:color w:val="auto"/>
              </w:rPr>
            </w:pPr>
          </w:p>
        </w:tc>
      </w:tr>
      <w:tr>
        <w:trPr>
          <w:trHeight w:val="20"/>
        </w:trPr>
        <w:tc>
          <w:tcPr>
            <w:tcW w:w="30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10" w:lineRule="exact"/>
        <w:rPr>
          <w:sz w:val="20"/>
          <w:szCs w:val="20"/>
          <w:color w:val="auto"/>
        </w:rPr>
      </w:pPr>
    </w:p>
    <w:p>
      <w:pPr>
        <w:ind w:left="400" w:hanging="392"/>
        <w:spacing w:after="0" w:line="260" w:lineRule="auto"/>
        <w:tabs>
          <w:tab w:leader="none" w:pos="400" w:val="left"/>
        </w:tabs>
        <w:numPr>
          <w:ilvl w:val="0"/>
          <w:numId w:val="59"/>
        </w:numPr>
        <w:rPr>
          <w:rFonts w:ascii="Arial" w:cs="Arial" w:eastAsia="Arial" w:hAnsi="Arial"/>
          <w:sz w:val="15"/>
          <w:szCs w:val="15"/>
          <w:color w:val="auto"/>
        </w:rPr>
      </w:pPr>
      <w:r>
        <w:rPr>
          <w:rFonts w:ascii="Arial" w:cs="Arial" w:eastAsia="Arial" w:hAnsi="Arial"/>
          <w:sz w:val="16"/>
          <w:szCs w:val="16"/>
          <w:color w:val="auto"/>
        </w:rPr>
        <w:t>Consists of our corporate headquarters lease encompassing approximately 122,000 square feet of office and laboratory space that expires in December 2023.</w:t>
      </w:r>
    </w:p>
    <w:p>
      <w:pPr>
        <w:spacing w:after="0" w:line="8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enter into agreements in the normal course of business with CROs, CMOs and other vendors for preclinical studies and other services and products for operating purposes that are generally cancelable at any time by us, upon prior written notice, and may or may not include cancellation fees. Given that the amount and timing related to such payments are uncertain, they have not been included in the contractual obligations table above.</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00"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Our significant accounting policies are described in Note 2 to our consolidated financial statements included in Part II, Item 8, “Financial Statements and Supplementary Data,” of this Annual Report on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4" w:name="page125"/>
    <w:bookmarkEnd w:id="124"/>
    <w:p>
      <w:pPr>
        <w:jc w:val="both"/>
        <w:spacing w:after="0" w:line="246" w:lineRule="auto"/>
        <w:rPr>
          <w:sz w:val="20"/>
          <w:szCs w:val="20"/>
          <w:color w:val="auto"/>
        </w:rPr>
      </w:pPr>
      <w:r>
        <w:rPr>
          <w:rFonts w:ascii="Arial" w:cs="Arial" w:eastAsia="Arial" w:hAnsi="Arial"/>
          <w:sz w:val="18"/>
          <w:szCs w:val="18"/>
          <w:color w:val="auto"/>
        </w:rPr>
        <w:t>We believe that the following accounting policies are the most critical for fully understanding and evaluating our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On January 1, 2019, we adopted Accounting Standards Update, or ASU, 2014-09, Revenue from Contracts with Customers (Topic 606), and subsequent amendments,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ASC 605.</w:t>
      </w:r>
    </w:p>
    <w:p>
      <w:pPr>
        <w:spacing w:after="0" w:line="9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Prior to the adoption of ASC 606, our revenue from collaboration agreements was recognized when we determined that persuasive evidence of an arrangement existed, services had been rendered, the price was fixed or determinable and collectability was reasonably assured. We would record amounts received prior to satisfying the above revenue recognition criteria as contract liabilities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we used the best estimate of selling price for that deliverable.</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most significant change to our policies upon the adoption of ASC 606 was the estimation of an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Given the differences in revenue recognition policies, the revenue recognized in years prior to 2019 is not strictly comparable to revenue recorded in the year ending December 31, 2019 or in future periods (see “Recently Adopted Accounting Pronouncements</w:t>
      </w:r>
      <w:r>
        <w:rPr>
          <w:rFonts w:ascii="Arial" w:cs="Arial" w:eastAsia="Arial" w:hAnsi="Arial"/>
          <w:sz w:val="18"/>
          <w:szCs w:val="18"/>
          <w:i w:val="1"/>
          <w:iCs w:val="1"/>
          <w:color w:val="auto"/>
        </w:rPr>
        <w:t>”</w:t>
      </w:r>
      <w:r>
        <w:rPr>
          <w:rFonts w:ascii="Arial" w:cs="Arial" w:eastAsia="Arial" w:hAnsi="Arial"/>
          <w:sz w:val="18"/>
          <w:szCs w:val="18"/>
          <w:color w:val="auto"/>
        </w:rPr>
        <w:t xml:space="preserve"> in our consolidated financial statements).</w:t>
      </w:r>
    </w:p>
    <w:p>
      <w:pPr>
        <w:spacing w:after="0" w:line="97"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color w:val="auto"/>
        </w:rPr>
        <w:t>The core principle in ASC 606 requires an entity to recognize revenue upon the transfer of goods or services to customers in an amount that reflects the consideration to which the entity expects to be entitled in exchange for those goods or services. We apply the following five-step revenue recognition model outlined in ASC 606 to adhere to this core principle: (1) identify the contract(s) with a customer;</w:t>
      </w:r>
    </w:p>
    <w:p>
      <w:pPr>
        <w:spacing w:after="0" w:line="2" w:lineRule="exact"/>
        <w:rPr>
          <w:sz w:val="20"/>
          <w:szCs w:val="20"/>
          <w:color w:val="auto"/>
        </w:rPr>
      </w:pPr>
    </w:p>
    <w:p>
      <w:pPr>
        <w:ind w:firstLine="8"/>
        <w:spacing w:after="0" w:line="246" w:lineRule="auto"/>
        <w:tabs>
          <w:tab w:leader="none" w:pos="3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(3) determine the transaction price; (4) allocate the transaction price to the performance obligations in the contract; and (5) recognize revenue when (or as) we satisfy a performance obligation.</w:t>
      </w:r>
    </w:p>
    <w:p>
      <w:pPr>
        <w:spacing w:after="0" w:line="8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All of our revenue to date has been generated from collaboration agreements, primarily the Collaboration Agreement. The terms of these agreements generally require us to provide (i) license options for our product candidates, (ii) R&amp;D services and (iii) non-mandatory services in connection with participation in research or steering committees. Payments received under these arrangements may include non-refundable upfront license fees, partial or complete reimbursement of R&amp;D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R&amp;D services performed.</w:t>
      </w:r>
    </w:p>
    <w:p>
      <w:pPr>
        <w:spacing w:after="0" w:line="9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assess whether the promises in our arrangements, including any options provided to the customer, are considered distinct performance obligations that should be accounted for separately. Judgment is required to determine whether the license to a compound is distinct from R&amp;D services or participation in steering committees, as well as whether options create material rights in the contract.</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R&amp;D services. We typically submit a budget for the R&amp;D services to the customer in advance of performing the services. The transaction price is allocated to the identified performance obligations based on the standalone selling price, or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We utilize judgment to assess the nature of our performance obligations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5" w:name="page126"/>
    <w:bookmarkEnd w:id="125"/>
    <w:p>
      <w:pPr>
        <w:jc w:val="both"/>
        <w:spacing w:after="0"/>
        <w:rPr>
          <w:sz w:val="20"/>
          <w:szCs w:val="20"/>
          <w:color w:val="auto"/>
        </w:rPr>
      </w:pPr>
      <w:r>
        <w:rPr>
          <w:rFonts w:ascii="Arial" w:cs="Arial" w:eastAsia="Arial" w:hAnsi="Arial"/>
          <w:sz w:val="18"/>
          <w:szCs w:val="18"/>
          <w:color w:val="auto"/>
        </w:rPr>
        <w:t>to determine whether they are satisfied over time or at a point in time and, if over time, the appropriate method of measuring progress toward completion. We evaluate the measure of progress each reporting period and, if necessary, adjust the measure of performance and related revenue recognition.</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Our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we 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or our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of achievement of each such milestone and any related constraint and, if necessary, adjust our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As part of the process of preparing these consolidated financial statements, we are required to estimate and accrue expenses, the largest of which are R&amp;D expenses. This process involves:</w:t>
      </w:r>
    </w:p>
    <w:p>
      <w:pPr>
        <w:spacing w:after="0" w:line="89" w:lineRule="exact"/>
        <w:rPr>
          <w:sz w:val="20"/>
          <w:szCs w:val="20"/>
          <w:color w:val="auto"/>
        </w:rPr>
      </w:pPr>
    </w:p>
    <w:p>
      <w:pPr>
        <w:ind w:left="820" w:hanging="272"/>
        <w:spacing w:after="0" w:line="246"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identifying services that have been performed on our behalf by third-party vendors and estimating the level of service performed and the associated cost incurred for the service when we have not yet been invoiced or otherwise notified of actual cost;</w:t>
      </w:r>
    </w:p>
    <w:p>
      <w:pPr>
        <w:spacing w:after="0" w:line="88"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estimating and accruing expenses in our consolidated financial statements as of each balance sheet date based on facts and circumstances known to us at the time; and</w:t>
      </w:r>
    </w:p>
    <w:p>
      <w:pPr>
        <w:spacing w:after="0" w:line="88" w:lineRule="exact"/>
        <w:rPr>
          <w:rFonts w:ascii="Arial" w:cs="Arial" w:eastAsia="Arial" w:hAnsi="Arial"/>
          <w:sz w:val="18"/>
          <w:szCs w:val="18"/>
          <w:color w:val="auto"/>
        </w:rPr>
      </w:pPr>
    </w:p>
    <w:p>
      <w:pPr>
        <w:ind w:left="820" w:hanging="272"/>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estimated R&amp;D expenses that we accrue include:</w:t>
      </w:r>
    </w:p>
    <w:p>
      <w:pPr>
        <w:spacing w:after="0" w:line="104" w:lineRule="exact"/>
        <w:rPr>
          <w:sz w:val="20"/>
          <w:szCs w:val="20"/>
          <w:color w:val="auto"/>
        </w:rPr>
      </w:pPr>
    </w:p>
    <w:p>
      <w:pPr>
        <w:ind w:left="820" w:hanging="272"/>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paid to CROs in connection with preclinical studies and clinical trials;</w:t>
      </w:r>
    </w:p>
    <w:p>
      <w:pPr>
        <w:spacing w:after="0" w:line="103" w:lineRule="exact"/>
        <w:rPr>
          <w:rFonts w:ascii="Arial" w:cs="Arial" w:eastAsia="Arial" w:hAnsi="Arial"/>
          <w:sz w:val="18"/>
          <w:szCs w:val="18"/>
          <w:color w:val="auto"/>
        </w:rPr>
      </w:pPr>
    </w:p>
    <w:p>
      <w:pPr>
        <w:ind w:left="820" w:hanging="272"/>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103"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paid to CMOs in connection with the production of clinical trial materials and to procure raw materials and components for manufacture; and</w:t>
      </w:r>
    </w:p>
    <w:p>
      <w:pPr>
        <w:spacing w:after="0" w:line="88" w:lineRule="exact"/>
        <w:rPr>
          <w:rFonts w:ascii="Arial" w:cs="Arial" w:eastAsia="Arial" w:hAnsi="Arial"/>
          <w:sz w:val="18"/>
          <w:szCs w:val="18"/>
          <w:color w:val="auto"/>
        </w:rPr>
      </w:pPr>
    </w:p>
    <w:p>
      <w:pPr>
        <w:ind w:left="820" w:hanging="272"/>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professional service fees for consulting and other services.</w:t>
      </w:r>
    </w:p>
    <w:p>
      <w:pPr>
        <w:spacing w:after="0" w:line="10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We base our expense accruals related to clinical trials on our estimates of the services received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All of our clinical trials have been executed with support from CROs and other vendors. We accrue costs for clinical trial activities performed by CROs based upon the estimated amount of work completed on each trial. For clinical trial expenses,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6" w:name="page127"/>
    <w:bookmarkEnd w:id="126"/>
    <w:p>
      <w:pPr>
        <w:jc w:val="both"/>
        <w:spacing w:after="0" w:line="246" w:lineRule="auto"/>
        <w:rPr>
          <w:sz w:val="20"/>
          <w:szCs w:val="20"/>
          <w:color w:val="auto"/>
        </w:rPr>
      </w:pPr>
      <w:r>
        <w:rPr>
          <w:rFonts w:ascii="Arial" w:cs="Arial" w:eastAsia="Arial" w:hAnsi="Arial"/>
          <w:sz w:val="18"/>
          <w:szCs w:val="18"/>
          <w:color w:val="auto"/>
        </w:rPr>
        <w:t>extent possible through internal reviews, correspondence with CROs and review of contractual terms. We base our estimates on the best information available at the time.</w:t>
      </w:r>
    </w:p>
    <w:p>
      <w:pPr>
        <w:spacing w:after="0" w:line="89"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To date, we have not experienced significant changes in our estimates of accrued R&amp;D expenses after a reporting period.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Stock-based compensation expense represents the grant-date fair value of employee stock option granted under our 2008 Equity Incentive Plan and our 2018 Equity Incentive Plan and rights to acquire stock granted under our 2019 Employee Stock Purchase Plan recognized over the requisite service period of the awards (usually the vesting period) on a straight-line basis, net of estimated forfeitures.</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On January 1, 2019, we adopted ASU 2018-07, Compensation – Stock Compensation (Topic 718): Improvements to Non-Employee Share-Based Payment Accounting. Subsequent to the adoption of ASU 2018-07, stock-based compensation expense for non-employee stock-based awards is also measured based on the fair value on grant date with its estimated fair value recorded over the requisite service period of the awards (usually the vesting period) on a straight-line basis, net of estimated forfeitures.</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 including stock price volatility, the expected life of stock options, risk-free interest rate and the fair value of the underlying common stock on the date of grant.</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expected volatility is based on the historical volatility of the stock of similar entities within our industry over periods commensurate with our expected term assumption. The expected term of stock option grants represents the weighted-average period the options are expected to remain outstanding and is based on the “simplified” method where the expected term is the midpoint between the vesting date and the end of the contractual term for each option. We base the risk-free interest rate on the interest rate payable on U.S. Treasury securities in effect at the time of grant for a period that is commensurate with the assumed expected option term. In reference to the expected dividend yield assumption, we have not historically paid and do not expect for the foreseeable future to pay, a dividend.</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recorded stock-based compensation expense related to employees, directors and nonemployees of $15.7 million, $12.9 million and $9.9 million for the years ended December 31, 2020, 2019 and 2018, respectively. As of December 31, 2020, we had unrecognized stock-based compensation cost related to options granted to employees and directors of $29.6 million, net of forfeitures, which is expected to be recognized as expense over a period of approximately 2.75 years.</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 xml:space="preserve">Prior to the closing of our IPO,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or AICPA, Practice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Given the absence of a public trading market for our common stock historically,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99"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After our IPO, the fair market value of each share of underlying common stock is determined based on the closing price of our common stock as reported by the Nasdaq Global Select Market on the date of grant.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JOBS Act Accounting Election</w:t>
      </w:r>
    </w:p>
    <w:p>
      <w:pPr>
        <w:spacing w:after="0" w:line="126"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the JOBS Act. Under the JOBS Act, emerging growth companies may delay the adoption of new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7" w:name="page128"/>
    <w:bookmarkEnd w:id="127"/>
    <w:p>
      <w:pPr>
        <w:jc w:val="both"/>
        <w:spacing w:after="0" w:line="246" w:lineRule="auto"/>
        <w:rPr>
          <w:sz w:val="20"/>
          <w:szCs w:val="20"/>
          <w:color w:val="auto"/>
        </w:rPr>
      </w:pPr>
      <w:r>
        <w:rPr>
          <w:rFonts w:ascii="Arial" w:cs="Arial" w:eastAsia="Arial" w:hAnsi="Arial"/>
          <w:sz w:val="18"/>
          <w:szCs w:val="18"/>
          <w:color w:val="auto"/>
        </w:rPr>
        <w:t>revised accounting standards issued subsequent to the enactment of the JOBS Act until such time as those standards would otherwise apply to private companies.</w:t>
      </w:r>
    </w:p>
    <w:p>
      <w:pPr>
        <w:spacing w:after="0" w:line="8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time to comply with new or revised accounting standards as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We will remain an emerging growth company until the earlier to occur of (1) (a) December 31, 2024, (b) the last day of the fiscal year in which our annual gross revenue is $ 1.07 billion or more or (c) the date on which we are deemed to be a “large-accelerated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See Note 2 to our consolidated financial statements included in Part II, Item 8, “Financial Statements and Supplementary Data,” of this Annual Report on Form 10-K for a description of recent accounting pronouncements applicable to our business.</w:t>
      </w:r>
    </w:p>
    <w:p>
      <w:pPr>
        <w:spacing w:after="0" w:line="1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We are exposed to market risk related to changes in interest rates. We had cash, cash equivalents and short-term marketable securities of $295.2 million as of December 31, 2020, which consisted primarily of money market funds and marketable securities, largely composed of investment grade, short-to-intermediate term fixed income securities.</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charter. Our investments are subject to interest rate risk and could fall in value if market interest rates increase. A hypothetical 10% relative change in interest rates during any of the periods presented would not have had a material impact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Sensitivity</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majority of our transactions occur in U.S. dollars. However, we do have certain transactions that are denominated in currencies other than the U.S. dollar, primarily British Pounds, Swiss Francs, Australian dollars and the Euro, and we therefore are subject to foreign exchange risk. The fluctuation in the value of the U.S. dollar against other currencies affects the reported amounts of expenses, assets and liabilities associated with a limited number of manufacturing, preclinical and clinical activities. A hypothetical 10% change in foreign currency exchange rates during any of the periods presented would not have had a material impact on our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8" w:name="page129"/>
    <w:bookmarkEnd w:id="128"/>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Statements and Supplementary Data.</w:t>
      </w:r>
    </w:p>
    <w:p>
      <w:pPr>
        <w:spacing w:after="0" w:line="200" w:lineRule="exact"/>
        <w:rPr>
          <w:sz w:val="20"/>
          <w:szCs w:val="20"/>
          <w:color w:val="auto"/>
        </w:rPr>
      </w:pPr>
    </w:p>
    <w:p>
      <w:pPr>
        <w:spacing w:after="0" w:line="228" w:lineRule="exact"/>
        <w:rPr>
          <w:sz w:val="20"/>
          <w:szCs w:val="20"/>
          <w:color w:val="auto"/>
        </w:rPr>
      </w:pPr>
    </w:p>
    <w:p>
      <w:pPr>
        <w:jc w:val="center"/>
        <w:ind w:left="1160"/>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Report of Independent Registered Public Accounting Firm</w:t>
        </w:r>
      </w:hyperlink>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Audited Consolidated Financial Statements</w:t>
      </w:r>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Consolidated Balance Sheets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Consolidated Statements of Operations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Consolidated Statements of Comprehensive Loss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Consolidated Statements of Convertible Preferred Stock and Stockholders’ Equity (Deficit)</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Consolidated Statements of Cash Flows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68"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Page</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129</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130</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131</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132</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133</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134</w:t>
      </w:r>
    </w:p>
    <w:p>
      <w:pPr>
        <w:sectPr>
          <w:pgSz w:w="11900" w:h="16838" w:orient="portrait"/>
          <w:cols w:equalWidth="0" w:num="2">
            <w:col w:w="10100" w:space="720"/>
            <w:col w:w="420"/>
          </w:cols>
          <w:pgMar w:left="320" w:top="549" w:right="339" w:bottom="1440" w:gutter="0" w:footer="0" w:header="0"/>
        </w:sectPr>
      </w:pPr>
    </w:p>
    <w:bookmarkStart w:id="129" w:name="page130"/>
    <w:bookmarkEnd w:id="129"/>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rPr>
          <w:sz w:val="20"/>
          <w:szCs w:val="20"/>
          <w:color w:val="auto"/>
        </w:rPr>
      </w:pPr>
      <w:r>
        <w:rPr>
          <w:rFonts w:ascii="Arial" w:cs="Arial" w:eastAsia="Arial" w:hAnsi="Arial"/>
          <w:sz w:val="18"/>
          <w:szCs w:val="18"/>
          <w:color w:val="auto"/>
        </w:rPr>
        <w:t>NGM Biopharmaceuticals,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2020 and 2019, and the related consolidated statements of operations, comprehensive loss, convertible preferred stock and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rPr>
          <w:sz w:val="20"/>
          <w:szCs w:val="20"/>
          <w:color w:val="auto"/>
        </w:rPr>
      </w:pPr>
      <w:r>
        <w:rPr>
          <w:rFonts w:ascii="Arial" w:cs="Arial" w:eastAsia="Arial" w:hAnsi="Arial"/>
          <w:sz w:val="18"/>
          <w:szCs w:val="18"/>
          <w:color w:val="auto"/>
        </w:rPr>
        <w:t>March 15,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0" w:name="page131"/>
    <w:bookmarkEnd w:id="130"/>
    <w:p>
      <w:pPr>
        <w:ind w:left="4080"/>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ind w:left="4120"/>
        <w:spacing w:after="0"/>
        <w:rPr>
          <w:sz w:val="20"/>
          <w:szCs w:val="20"/>
          <w:color w:val="auto"/>
        </w:rPr>
      </w:pPr>
      <w:r>
        <w:rPr>
          <w:rFonts w:ascii="Arial" w:cs="Arial" w:eastAsia="Arial" w:hAnsi="Arial"/>
          <w:sz w:val="18"/>
          <w:szCs w:val="18"/>
          <w:i w:val="1"/>
          <w:iCs w:val="1"/>
          <w:color w:val="auto"/>
        </w:rPr>
        <w:t>(In thousands, except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December 31,</w:t>
            </w:r>
          </w:p>
        </w:tc>
      </w:tr>
      <w:tr>
        <w:trPr>
          <w:trHeight w:val="208"/>
        </w:trPr>
        <w:tc>
          <w:tcPr>
            <w:tcW w:w="77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34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147,017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148,139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98,913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Related party contract asset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308,426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355,248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FF0FC"/>
          </w:tcPr>
          <w:p>
            <w:pPr>
              <w:spacing w:after="0"/>
              <w:rPr>
                <w:sz w:val="18"/>
                <w:szCs w:val="18"/>
                <w:color w:val="auto"/>
              </w:rPr>
            </w:pPr>
          </w:p>
        </w:tc>
      </w:tr>
      <w:tr>
        <w:trPr>
          <w:trHeight w:val="24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tcBorders>
              <w:bottom w:val="single" w:sz="8" w:color="CFF0FC"/>
            </w:tcBorders>
          </w:tcPr>
          <w:p>
            <w:pPr>
              <w:spacing w:after="0"/>
              <w:rPr>
                <w:sz w:val="21"/>
                <w:szCs w:val="21"/>
                <w:color w:val="auto"/>
              </w:rPr>
            </w:pPr>
          </w:p>
        </w:tc>
      </w:tr>
      <w:tr>
        <w:trPr>
          <w:trHeight w:val="197"/>
        </w:trPr>
        <w:tc>
          <w:tcPr>
            <w:tcW w:w="7700" w:type="dxa"/>
            <w:vAlign w:val="bottom"/>
            <w:shd w:val="clear" w:color="auto" w:fill="CFF0FC"/>
          </w:tcPr>
          <w:p>
            <w:pPr>
              <w:ind w:left="19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current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4,872</w:t>
            </w: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42,583</w:t>
            </w: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1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49,000</w:t>
            </w: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no shares issued or outstanding as of December 31, 2020</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and 2019, respectively</w:t>
            </w:r>
          </w:p>
        </w:tc>
        <w:tc>
          <w:tcPr>
            <w:tcW w:w="180" w:type="dxa"/>
            <w:vAlign w:val="bottom"/>
          </w:tcPr>
          <w:p>
            <w:pPr>
              <w:spacing w:after="0"/>
              <w:rPr>
                <w:sz w:val="17"/>
                <w:szCs w:val="17"/>
                <w:color w:val="auto"/>
              </w:rPr>
            </w:pPr>
          </w:p>
        </w:tc>
        <w:tc>
          <w:tcPr>
            <w:tcW w:w="16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400,000,000 shares authorized;</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70,585,364 and 66,960,279 shares issued and outstanding as of</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300"/>
              <w:spacing w:after="0" w:line="203" w:lineRule="exact"/>
              <w:rPr>
                <w:sz w:val="20"/>
                <w:szCs w:val="20"/>
                <w:color w:val="auto"/>
              </w:rPr>
            </w:pPr>
            <w:r>
              <w:rPr>
                <w:rFonts w:ascii="Arial" w:cs="Arial" w:eastAsia="Arial" w:hAnsi="Arial"/>
                <w:sz w:val="18"/>
                <w:szCs w:val="18"/>
                <w:color w:val="auto"/>
              </w:rPr>
              <w:t>December 31, 2020 and 2019, respectively</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578,599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526,771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gain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(298,631)</w:t>
            </w: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(196,144)</w:t>
            </w: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280,043</w:t>
            </w: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330,719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ind w:left="354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8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163,972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28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100" w:type="dxa"/>
            <w:vAlign w:val="bottom"/>
            <w:tcBorders>
              <w:bottom w:val="single" w:sz="8" w:color="CFF0FC"/>
            </w:tcBorders>
          </w:tcPr>
          <w:p>
            <w:pPr>
              <w:spacing w:after="0"/>
              <w:rPr>
                <w:sz w:val="18"/>
                <w:szCs w:val="18"/>
                <w:color w:val="auto"/>
              </w:rPr>
            </w:pPr>
          </w:p>
        </w:tc>
      </w:tr>
      <w:tr>
        <w:trPr>
          <w:trHeight w:val="209"/>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191,201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280" w:type="dxa"/>
            <w:vAlign w:val="bottom"/>
            <w:tcBorders>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112,979</w:t>
            </w:r>
          </w:p>
        </w:tc>
        <w:tc>
          <w:tcPr>
            <w:tcW w:w="100" w:type="dxa"/>
            <w:vAlign w:val="bottom"/>
            <w:shd w:val="clear" w:color="auto" w:fill="CFF0FC"/>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(103,833)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(49,340)</w:t>
            </w:r>
          </w:p>
        </w:tc>
        <w:tc>
          <w:tcPr>
            <w:tcW w:w="3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(4,314)</w:t>
            </w:r>
          </w:p>
        </w:tc>
      </w:t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8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(102,487)</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(42,795)</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568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(1.50)</w:t>
            </w:r>
          </w:p>
        </w:tc>
        <w:tc>
          <w:tcPr>
            <w:tcW w:w="5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(0.85)</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(0.08)</w:t>
            </w:r>
          </w:p>
        </w:tc>
      </w:tr>
      <w:tr>
        <w:trPr>
          <w:trHeight w:val="196"/>
        </w:trPr>
        <w:tc>
          <w:tcPr>
            <w:tcW w:w="56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w:t>
            </w:r>
          </w:p>
        </w:tc>
        <w:tc>
          <w:tcPr>
            <w:tcW w:w="3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right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6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basic and diluted</w:t>
            </w: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68,475,378</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50,297,524</w:t>
            </w: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6,383,751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(102,487)</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(42,795)</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6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marketable securities</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(102,508)</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(42,503)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jc w:val="center"/>
        <w:ind w:right="-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STATEMENTS OF CONVERTIBLE PREFERRED STOCK</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STOCKHOLDERS’ EQUITY (DEFICIT)</w:t>
      </w:r>
    </w:p>
    <w:p>
      <w:pPr>
        <w:jc w:val="center"/>
        <w:ind w:right="-79"/>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180"/>
          </w:cols>
          <w:pgMar w:left="320" w:top="333" w:right="399" w:bottom="1440" w:gutter="0" w:footer="0" w:header="0"/>
        </w:sectPr>
      </w:pPr>
    </w:p>
    <w:p>
      <w:pPr>
        <w:spacing w:after="0" w:line="236" w:lineRule="exact"/>
        <w:rPr>
          <w:sz w:val="20"/>
          <w:szCs w:val="20"/>
          <w:color w:val="auto"/>
        </w:rPr>
      </w:pPr>
    </w:p>
    <w:p>
      <w:pPr>
        <w:jc w:val="center"/>
        <w:ind w:left="3420"/>
        <w:spacing w:after="0"/>
        <w:rPr>
          <w:sz w:val="20"/>
          <w:szCs w:val="20"/>
          <w:color w:val="auto"/>
        </w:rPr>
      </w:pPr>
      <w:r>
        <w:rPr>
          <w:rFonts w:ascii="Arial" w:cs="Arial" w:eastAsia="Arial" w:hAnsi="Arial"/>
          <w:sz w:val="13"/>
          <w:szCs w:val="13"/>
          <w:b w:val="1"/>
          <w:bCs w:val="1"/>
          <w:color w:val="auto"/>
        </w:rPr>
        <w:t>Convertible</w:t>
      </w:r>
    </w:p>
    <w:p>
      <w:pPr>
        <w:spacing w:after="0" w:line="15" w:lineRule="exact"/>
        <w:rPr>
          <w:sz w:val="20"/>
          <w:szCs w:val="20"/>
          <w:color w:val="auto"/>
        </w:rPr>
      </w:pPr>
    </w:p>
    <w:p>
      <w:pPr>
        <w:jc w:val="center"/>
        <w:ind w:left="3420"/>
        <w:spacing w:after="0"/>
        <w:rPr>
          <w:sz w:val="20"/>
          <w:szCs w:val="20"/>
          <w:color w:val="auto"/>
        </w:rPr>
      </w:pPr>
      <w:r>
        <w:rPr>
          <w:rFonts w:ascii="Arial" w:cs="Arial" w:eastAsia="Arial" w:hAnsi="Arial"/>
          <w:sz w:val="13"/>
          <w:szCs w:val="13"/>
          <w:b w:val="1"/>
          <w:bCs w:val="1"/>
          <w:color w:val="auto"/>
        </w:rPr>
        <w:t>Preferred Stock</w:t>
      </w:r>
    </w:p>
    <w:tbl>
      <w:tblPr>
        <w:tblLayout w:type="fixed"/>
        <w:tblInd w:w="0" w:type="dxa"/>
        <w:tblCellMar>
          <w:top w:w="0" w:type="dxa"/>
          <w:left w:w="0" w:type="dxa"/>
          <w:bottom w:w="0" w:type="dxa"/>
          <w:right w:w="0" w:type="dxa"/>
        </w:tblCellMar>
      </w:tblPr>
      <w:tr>
        <w:trPr>
          <w:trHeight w:val="155"/>
        </w:trPr>
        <w:tc>
          <w:tcPr>
            <w:tcW w:w="3500" w:type="dxa"/>
            <w:vAlign w:val="bottom"/>
          </w:tcPr>
          <w:p>
            <w:pPr>
              <w:spacing w:after="0"/>
              <w:rPr>
                <w:sz w:val="13"/>
                <w:szCs w:val="13"/>
                <w:color w:val="auto"/>
              </w:rPr>
            </w:pPr>
          </w:p>
        </w:tc>
        <w:tc>
          <w:tcPr>
            <w:tcW w:w="8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r>
      <w:tr>
        <w:trPr>
          <w:trHeight w:val="168"/>
        </w:trPr>
        <w:tc>
          <w:tcPr>
            <w:tcW w:w="3500" w:type="dxa"/>
            <w:vAlign w:val="bottom"/>
          </w:tcPr>
          <w:p>
            <w:pPr>
              <w:spacing w:after="0"/>
              <w:rPr>
                <w:sz w:val="20"/>
                <w:szCs w:val="20"/>
                <w:color w:val="auto"/>
              </w:rPr>
            </w:pPr>
            <w:r>
              <w:rPr>
                <w:rFonts w:ascii="Arial" w:cs="Arial" w:eastAsia="Arial" w:hAnsi="Arial"/>
                <w:sz w:val="13"/>
                <w:szCs w:val="13"/>
                <w:color w:val="auto"/>
              </w:rPr>
              <w:t>Balance at December 31, 2017</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47,267</w:t>
            </w:r>
          </w:p>
        </w:tc>
        <w:tc>
          <w:tcPr>
            <w:tcW w:w="2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294,874</w:t>
            </w:r>
          </w:p>
        </w:tc>
        <w:tc>
          <w:tcPr>
            <w:tcW w:w="60" w:type="dxa"/>
            <w:vAlign w:val="bottom"/>
          </w:tcPr>
          <w:p>
            <w:pPr>
              <w:spacing w:after="0"/>
              <w:rPr>
                <w:sz w:val="14"/>
                <w:szCs w:val="14"/>
                <w:color w:val="auto"/>
              </w:rPr>
            </w:pP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to</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participants in 401(k)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Vesting of common stock from</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early exercises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62"/>
        </w:trPr>
        <w:tc>
          <w:tcPr>
            <w:tcW w:w="350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expense</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Changes in unrealized gain 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available-for-sale securities, net of tax</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68"/>
        </w:trPr>
        <w:tc>
          <w:tcPr>
            <w:tcW w:w="3500" w:type="dxa"/>
            <w:vAlign w:val="bottom"/>
          </w:tcPr>
          <w:p>
            <w:pPr>
              <w:spacing w:after="0"/>
              <w:rPr>
                <w:sz w:val="20"/>
                <w:szCs w:val="20"/>
                <w:color w:val="auto"/>
              </w:rPr>
            </w:pPr>
            <w:r>
              <w:rPr>
                <w:rFonts w:ascii="Arial" w:cs="Arial" w:eastAsia="Arial" w:hAnsi="Arial"/>
                <w:sz w:val="13"/>
                <w:szCs w:val="13"/>
                <w:color w:val="auto"/>
              </w:rPr>
              <w:t>Balance at December 31, 2018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47,267</w:t>
            </w:r>
          </w:p>
        </w:tc>
        <w:tc>
          <w:tcPr>
            <w:tcW w:w="2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294,874</w:t>
            </w:r>
          </w:p>
        </w:tc>
        <w:tc>
          <w:tcPr>
            <w:tcW w:w="60" w:type="dxa"/>
            <w:vAlign w:val="bottom"/>
          </w:tcPr>
          <w:p>
            <w:pPr>
              <w:spacing w:after="0"/>
              <w:rPr>
                <w:sz w:val="14"/>
                <w:szCs w:val="14"/>
                <w:color w:val="auto"/>
              </w:rPr>
            </w:pP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Cumulative effect adjustment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upon adoption of ASU 2014-09</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Net exercise of preferred 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500" w:type="dxa"/>
            <w:vAlign w:val="bottom"/>
          </w:tcPr>
          <w:p>
            <w:pPr>
              <w:ind w:left="360"/>
              <w:spacing w:after="0"/>
              <w:rPr>
                <w:sz w:val="20"/>
                <w:szCs w:val="20"/>
                <w:color w:val="auto"/>
              </w:rPr>
            </w:pPr>
            <w:r>
              <w:rPr>
                <w:rFonts w:ascii="Arial" w:cs="Arial" w:eastAsia="Arial" w:hAnsi="Arial"/>
                <w:sz w:val="13"/>
                <w:szCs w:val="13"/>
                <w:color w:val="auto"/>
              </w:rPr>
              <w:t>warrant to Series A preferred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stock</w:t>
            </w:r>
          </w:p>
        </w:tc>
        <w:tc>
          <w:tcPr>
            <w:tcW w:w="66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198</w:t>
            </w:r>
          </w:p>
        </w:tc>
        <w:tc>
          <w:tcPr>
            <w:tcW w:w="60" w:type="dxa"/>
            <w:vAlign w:val="bottom"/>
          </w:tcPr>
          <w:p>
            <w:pPr>
              <w:spacing w:after="0"/>
              <w:rPr>
                <w:sz w:val="14"/>
                <w:szCs w:val="14"/>
                <w:color w:val="auto"/>
              </w:rPr>
            </w:pP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Conversion of Series A, B, C, D, 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500" w:type="dxa"/>
            <w:vAlign w:val="bottom"/>
          </w:tcPr>
          <w:p>
            <w:pPr>
              <w:ind w:left="360"/>
              <w:spacing w:after="0"/>
              <w:rPr>
                <w:sz w:val="20"/>
                <w:szCs w:val="20"/>
                <w:color w:val="auto"/>
              </w:rPr>
            </w:pPr>
            <w:r>
              <w:rPr>
                <w:rFonts w:ascii="Arial" w:cs="Arial" w:eastAsia="Arial" w:hAnsi="Arial"/>
                <w:sz w:val="13"/>
                <w:szCs w:val="13"/>
                <w:color w:val="auto"/>
              </w:rPr>
              <w:t>convertible preferred stock to</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500" w:type="dxa"/>
            <w:vAlign w:val="bottom"/>
          </w:tcPr>
          <w:p>
            <w:pPr>
              <w:ind w:left="360"/>
              <w:spacing w:after="0"/>
              <w:rPr>
                <w:sz w:val="20"/>
                <w:szCs w:val="20"/>
                <w:color w:val="auto"/>
              </w:rPr>
            </w:pPr>
            <w:r>
              <w:rPr>
                <w:rFonts w:ascii="Arial" w:cs="Arial" w:eastAsia="Arial" w:hAnsi="Arial"/>
                <w:sz w:val="13"/>
                <w:szCs w:val="13"/>
                <w:color w:val="auto"/>
              </w:rPr>
              <w:t>common stock concurrent with</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initial public offering</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(47,283)</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(295,072)</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500" w:type="dxa"/>
            <w:vAlign w:val="bottom"/>
          </w:tcPr>
          <w:p>
            <w:pPr>
              <w:ind w:left="360"/>
              <w:spacing w:after="0"/>
              <w:rPr>
                <w:sz w:val="20"/>
                <w:szCs w:val="20"/>
                <w:color w:val="auto"/>
              </w:rPr>
            </w:pPr>
            <w:r>
              <w:rPr>
                <w:rFonts w:ascii="Arial" w:cs="Arial" w:eastAsia="Arial" w:hAnsi="Arial"/>
                <w:sz w:val="13"/>
                <w:szCs w:val="13"/>
                <w:color w:val="auto"/>
              </w:rPr>
              <w:t>initial public offering, net of</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issuance costs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private placement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to</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participants in 401(k)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in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00" w:type="dxa"/>
            <w:vAlign w:val="bottom"/>
          </w:tcPr>
          <w:p>
            <w:pPr>
              <w:ind w:left="360"/>
              <w:spacing w:after="0"/>
              <w:rPr>
                <w:sz w:val="20"/>
                <w:szCs w:val="20"/>
                <w:color w:val="auto"/>
              </w:rPr>
            </w:pPr>
            <w:r>
              <w:rPr>
                <w:rFonts w:ascii="Arial" w:cs="Arial" w:eastAsia="Arial" w:hAnsi="Arial"/>
                <w:sz w:val="13"/>
                <w:szCs w:val="13"/>
                <w:color w:val="auto"/>
              </w:rPr>
              <w:t>connection with employee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Vesting of common stock from</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early exercises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expense</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Changes in unrealized gain 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available-for-sale securities, net of tax</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68"/>
        </w:trPr>
        <w:tc>
          <w:tcPr>
            <w:tcW w:w="3500" w:type="dxa"/>
            <w:vAlign w:val="bottom"/>
          </w:tcPr>
          <w:p>
            <w:pPr>
              <w:spacing w:after="0"/>
              <w:rPr>
                <w:sz w:val="20"/>
                <w:szCs w:val="20"/>
                <w:color w:val="auto"/>
              </w:rPr>
            </w:pPr>
            <w:r>
              <w:rPr>
                <w:rFonts w:ascii="Arial" w:cs="Arial" w:eastAsia="Arial" w:hAnsi="Arial"/>
                <w:sz w:val="13"/>
                <w:szCs w:val="13"/>
                <w:color w:val="auto"/>
              </w:rPr>
              <w:t>Balance at December 31, 2019</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under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00" w:type="dxa"/>
            <w:vAlign w:val="bottom"/>
          </w:tcPr>
          <w:p>
            <w:pPr>
              <w:ind w:left="360"/>
              <w:spacing w:after="0"/>
              <w:rPr>
                <w:sz w:val="20"/>
                <w:szCs w:val="20"/>
                <w:color w:val="auto"/>
              </w:rPr>
            </w:pPr>
            <w:r>
              <w:rPr>
                <w:rFonts w:ascii="Arial" w:cs="Arial" w:eastAsia="Arial" w:hAnsi="Arial"/>
                <w:sz w:val="13"/>
                <w:szCs w:val="13"/>
                <w:color w:val="auto"/>
              </w:rPr>
              <w:t>Open Market Agreement, net of</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issuance costs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in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500" w:type="dxa"/>
            <w:vAlign w:val="bottom"/>
          </w:tcPr>
          <w:p>
            <w:pPr>
              <w:ind w:left="360"/>
              <w:spacing w:after="0"/>
              <w:rPr>
                <w:sz w:val="20"/>
                <w:szCs w:val="20"/>
                <w:color w:val="auto"/>
              </w:rPr>
            </w:pPr>
            <w:r>
              <w:rPr>
                <w:rFonts w:ascii="Arial" w:cs="Arial" w:eastAsia="Arial" w:hAnsi="Arial"/>
                <w:sz w:val="13"/>
                <w:szCs w:val="13"/>
                <w:color w:val="auto"/>
              </w:rPr>
              <w:t>connection with employee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Vesting of common stock from</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early exercises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260"/>
              <w:spacing w:after="0"/>
              <w:rPr>
                <w:sz w:val="20"/>
                <w:szCs w:val="20"/>
                <w:color w:val="auto"/>
              </w:rPr>
            </w:pPr>
            <w:r>
              <w:rPr>
                <w:rFonts w:ascii="Arial" w:cs="Arial" w:eastAsia="Arial" w:hAnsi="Arial"/>
                <w:sz w:val="13"/>
                <w:szCs w:val="13"/>
                <w:color w:val="auto"/>
              </w:rPr>
              <w:t>Issuance of common stock to</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participants in 401(k)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expense</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Changes in unrealized gain 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tcPr>
          <w:p>
            <w:pPr>
              <w:ind w:left="360"/>
              <w:spacing w:after="0"/>
              <w:rPr>
                <w:sz w:val="20"/>
                <w:szCs w:val="20"/>
                <w:color w:val="auto"/>
              </w:rPr>
            </w:pPr>
            <w:r>
              <w:rPr>
                <w:rFonts w:ascii="Arial" w:cs="Arial" w:eastAsia="Arial" w:hAnsi="Arial"/>
                <w:sz w:val="13"/>
                <w:szCs w:val="13"/>
                <w:color w:val="auto"/>
              </w:rPr>
              <w:t>available-for-sale securities, net of tax</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35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55"/>
        </w:trPr>
        <w:tc>
          <w:tcPr>
            <w:tcW w:w="3500" w:type="dxa"/>
            <w:vAlign w:val="bottom"/>
          </w:tcPr>
          <w:p>
            <w:pPr>
              <w:spacing w:after="0"/>
              <w:rPr>
                <w:sz w:val="20"/>
                <w:szCs w:val="20"/>
                <w:color w:val="auto"/>
              </w:rPr>
            </w:pPr>
            <w:r>
              <w:rPr>
                <w:rFonts w:ascii="Arial" w:cs="Arial" w:eastAsia="Arial" w:hAnsi="Arial"/>
                <w:sz w:val="13"/>
                <w:szCs w:val="13"/>
                <w:color w:val="auto"/>
              </w:rPr>
              <w:t>Balance at December 31, 2020</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20"/>
        </w:trPr>
        <w:tc>
          <w:tcPr>
            <w:tcW w:w="3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65"/>
        </w:trPr>
        <w:tc>
          <w:tcPr>
            <w:tcW w:w="13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r>
      <w:tr>
        <w:trPr>
          <w:trHeight w:val="155"/>
        </w:trPr>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Gain (Loss)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3"/>
                <w:szCs w:val="13"/>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Equity(Deficit)</w:t>
            </w:r>
          </w:p>
        </w:tc>
        <w:tc>
          <w:tcPr>
            <w:tcW w:w="40" w:type="dxa"/>
            <w:vAlign w:val="bottom"/>
          </w:tcPr>
          <w:p>
            <w:pPr>
              <w:spacing w:after="0"/>
              <w:rPr>
                <w:sz w:val="13"/>
                <w:szCs w:val="13"/>
                <w:color w:val="auto"/>
              </w:rPr>
            </w:pPr>
          </w:p>
        </w:tc>
      </w:tr>
      <w:tr>
        <w:trPr>
          <w:trHeight w:val="168"/>
        </w:trPr>
        <w:tc>
          <w:tcPr>
            <w:tcW w:w="660" w:type="dxa"/>
            <w:vAlign w:val="bottom"/>
          </w:tcPr>
          <w:p>
            <w:pPr>
              <w:jc w:val="right"/>
              <w:spacing w:after="0"/>
              <w:rPr>
                <w:sz w:val="20"/>
                <w:szCs w:val="20"/>
                <w:color w:val="auto"/>
              </w:rPr>
            </w:pPr>
            <w:r>
              <w:rPr>
                <w:rFonts w:ascii="Arial" w:cs="Arial" w:eastAsia="Arial" w:hAnsi="Arial"/>
                <w:sz w:val="13"/>
                <w:szCs w:val="13"/>
                <w:color w:val="auto"/>
              </w:rPr>
              <w:t>6,105</w:t>
            </w:r>
          </w:p>
        </w:tc>
        <w:tc>
          <w:tcPr>
            <w:tcW w:w="220" w:type="dxa"/>
            <w:vAlign w:val="bottom"/>
          </w:tcPr>
          <w:p>
            <w:pPr>
              <w:spacing w:after="0"/>
              <w:rPr>
                <w:sz w:val="14"/>
                <w:szCs w:val="14"/>
                <w:color w:val="auto"/>
              </w:rPr>
            </w:pPr>
          </w:p>
        </w:tc>
        <w:tc>
          <w:tcPr>
            <w:tcW w:w="440" w:type="dxa"/>
            <w:vAlign w:val="bottom"/>
          </w:tcPr>
          <w:p>
            <w:pPr>
              <w:jc w:val="right"/>
              <w:ind w:right="326"/>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26,147</w:t>
            </w:r>
          </w:p>
        </w:tc>
        <w:tc>
          <w:tcPr>
            <w:tcW w:w="14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(431)</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(146,700)</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(120,978)</w:t>
            </w:r>
          </w:p>
        </w:tc>
      </w:tr>
      <w:tr>
        <w:trPr>
          <w:trHeight w:val="311"/>
        </w:trPr>
        <w:tc>
          <w:tcPr>
            <w:tcW w:w="660" w:type="dxa"/>
            <w:vAlign w:val="bottom"/>
          </w:tcPr>
          <w:p>
            <w:pPr>
              <w:jc w:val="right"/>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w:t>
            </w:r>
          </w:p>
        </w:tc>
        <w:tc>
          <w:tcPr>
            <w:tcW w:w="40" w:type="dxa"/>
            <w:vAlign w:val="bottom"/>
          </w:tcPr>
          <w:p>
            <w:pPr>
              <w:spacing w:after="0"/>
              <w:rPr>
                <w:sz w:val="24"/>
                <w:szCs w:val="24"/>
                <w:color w:val="auto"/>
              </w:rPr>
            </w:pPr>
          </w:p>
        </w:tc>
      </w:tr>
      <w:tr>
        <w:trPr>
          <w:trHeight w:val="311"/>
        </w:trPr>
        <w:tc>
          <w:tcPr>
            <w:tcW w:w="660" w:type="dxa"/>
            <w:vAlign w:val="bottom"/>
          </w:tcPr>
          <w:p>
            <w:pPr>
              <w:jc w:val="right"/>
              <w:spacing w:after="0"/>
              <w:rPr>
                <w:sz w:val="20"/>
                <w:szCs w:val="20"/>
                <w:color w:val="auto"/>
              </w:rPr>
            </w:pPr>
            <w:r>
              <w:rPr>
                <w:rFonts w:ascii="Arial" w:cs="Arial" w:eastAsia="Arial" w:hAnsi="Arial"/>
                <w:sz w:val="13"/>
                <w:szCs w:val="13"/>
                <w:color w:val="auto"/>
              </w:rPr>
              <w:t>479</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2,582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2,583</w:t>
            </w:r>
          </w:p>
        </w:tc>
        <w:tc>
          <w:tcPr>
            <w:tcW w:w="40" w:type="dxa"/>
            <w:vAlign w:val="bottom"/>
          </w:tcPr>
          <w:p>
            <w:pPr>
              <w:spacing w:after="0"/>
              <w:rPr>
                <w:sz w:val="24"/>
                <w:szCs w:val="24"/>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161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764</w:t>
            </w:r>
          </w:p>
        </w:tc>
        <w:tc>
          <w:tcPr>
            <w:tcW w:w="40" w:type="dxa"/>
            <w:vAlign w:val="bottom"/>
          </w:tcPr>
          <w:p>
            <w:pPr>
              <w:spacing w:after="0"/>
              <w:rPr>
                <w:sz w:val="24"/>
                <w:szCs w:val="24"/>
                <w:color w:val="auto"/>
              </w:rPr>
            </w:pPr>
          </w:p>
        </w:tc>
      </w:tr>
      <w:tr>
        <w:trPr>
          <w:trHeight w:val="162"/>
        </w:trPr>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(23)</w:t>
            </w:r>
          </w:p>
        </w:tc>
        <w:tc>
          <w:tcPr>
            <w:tcW w:w="4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(185)</w:t>
            </w:r>
          </w:p>
        </w:tc>
      </w:tr>
      <w:tr>
        <w:trPr>
          <w:trHeight w:val="311"/>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9,859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9,859</w:t>
            </w:r>
          </w:p>
        </w:tc>
        <w:tc>
          <w:tcPr>
            <w:tcW w:w="40" w:type="dxa"/>
            <w:vAlign w:val="bottom"/>
          </w:tcPr>
          <w:p>
            <w:pPr>
              <w:spacing w:after="0"/>
              <w:rPr>
                <w:sz w:val="24"/>
                <w:szCs w:val="24"/>
                <w:color w:val="auto"/>
              </w:rPr>
            </w:pPr>
          </w:p>
        </w:tc>
      </w:tr>
      <w:tr>
        <w:trPr>
          <w:trHeight w:val="310"/>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164</w:t>
            </w:r>
          </w:p>
        </w:tc>
        <w:tc>
          <w:tcPr>
            <w:tcW w:w="40" w:type="dxa"/>
            <w:vAlign w:val="bottom"/>
          </w:tcPr>
          <w:p>
            <w:pPr>
              <w:spacing w:after="0"/>
              <w:rPr>
                <w:sz w:val="24"/>
                <w:szCs w:val="24"/>
                <w:color w:val="auto"/>
              </w:rPr>
            </w:pPr>
          </w:p>
        </w:tc>
      </w:tr>
      <w:tr>
        <w:trPr>
          <w:trHeight w:val="149"/>
        </w:trPr>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(493)</w:t>
            </w:r>
          </w:p>
        </w:tc>
        <w:tc>
          <w:tcPr>
            <w:tcW w:w="1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(493)</w:t>
            </w:r>
          </w:p>
        </w:tc>
      </w:tr>
      <w:tr>
        <w:trPr>
          <w:trHeight w:val="20"/>
        </w:trPr>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60" w:type="dxa"/>
            <w:vAlign w:val="bottom"/>
          </w:tcPr>
          <w:p>
            <w:pPr>
              <w:jc w:val="right"/>
              <w:spacing w:after="0"/>
              <w:rPr>
                <w:sz w:val="20"/>
                <w:szCs w:val="20"/>
                <w:color w:val="auto"/>
              </w:rPr>
            </w:pPr>
            <w:r>
              <w:rPr>
                <w:rFonts w:ascii="Arial" w:cs="Arial" w:eastAsia="Arial" w:hAnsi="Arial"/>
                <w:sz w:val="13"/>
                <w:szCs w:val="13"/>
                <w:color w:val="auto"/>
              </w:rPr>
              <w:t>6,733</w:t>
            </w:r>
          </w:p>
        </w:tc>
        <w:tc>
          <w:tcPr>
            <w:tcW w:w="220" w:type="dxa"/>
            <w:vAlign w:val="bottom"/>
          </w:tcPr>
          <w:p>
            <w:pPr>
              <w:spacing w:after="0"/>
              <w:rPr>
                <w:sz w:val="14"/>
                <w:szCs w:val="14"/>
                <w:color w:val="auto"/>
              </w:rPr>
            </w:pPr>
          </w:p>
        </w:tc>
        <w:tc>
          <w:tcPr>
            <w:tcW w:w="440" w:type="dxa"/>
            <w:vAlign w:val="bottom"/>
          </w:tcPr>
          <w:p>
            <w:pPr>
              <w:jc w:val="right"/>
              <w:ind w:right="326"/>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39,258</w:t>
            </w:r>
          </w:p>
        </w:tc>
        <w:tc>
          <w:tcPr>
            <w:tcW w:w="14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(267)</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(147,193)</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(108,195)</w:t>
            </w:r>
          </w:p>
        </w:tc>
      </w:tr>
      <w:tr>
        <w:trPr>
          <w:trHeight w:val="310"/>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(6,156)</w:t>
            </w: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(6,156)</w:t>
            </w:r>
          </w:p>
        </w:tc>
      </w:tr>
      <w:tr>
        <w:trPr>
          <w:trHeight w:val="459"/>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608"/>
        </w:trPr>
        <w:tc>
          <w:tcPr>
            <w:tcW w:w="660" w:type="dxa"/>
            <w:vAlign w:val="bottom"/>
          </w:tcPr>
          <w:p>
            <w:pPr>
              <w:jc w:val="right"/>
              <w:spacing w:after="0"/>
              <w:rPr>
                <w:sz w:val="20"/>
                <w:szCs w:val="20"/>
                <w:color w:val="auto"/>
              </w:rPr>
            </w:pPr>
            <w:r>
              <w:rPr>
                <w:rFonts w:ascii="Arial" w:cs="Arial" w:eastAsia="Arial" w:hAnsi="Arial"/>
                <w:sz w:val="13"/>
                <w:szCs w:val="13"/>
                <w:color w:val="auto"/>
              </w:rPr>
              <w:t>47,283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295,025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295,072</w:t>
            </w:r>
          </w:p>
        </w:tc>
        <w:tc>
          <w:tcPr>
            <w:tcW w:w="40" w:type="dxa"/>
            <w:vAlign w:val="bottom"/>
          </w:tcPr>
          <w:p>
            <w:pPr>
              <w:spacing w:after="0"/>
              <w:rPr>
                <w:sz w:val="24"/>
                <w:szCs w:val="24"/>
                <w:color w:val="auto"/>
              </w:rPr>
            </w:pPr>
          </w:p>
        </w:tc>
      </w:tr>
      <w:tr>
        <w:trPr>
          <w:trHeight w:val="459"/>
        </w:trPr>
        <w:tc>
          <w:tcPr>
            <w:tcW w:w="660" w:type="dxa"/>
            <w:vAlign w:val="bottom"/>
          </w:tcPr>
          <w:p>
            <w:pPr>
              <w:jc w:val="right"/>
              <w:spacing w:after="0"/>
              <w:rPr>
                <w:sz w:val="20"/>
                <w:szCs w:val="20"/>
                <w:color w:val="auto"/>
              </w:rPr>
            </w:pPr>
            <w:r>
              <w:rPr>
                <w:rFonts w:ascii="Arial" w:cs="Arial" w:eastAsia="Arial" w:hAnsi="Arial"/>
                <w:sz w:val="13"/>
                <w:szCs w:val="13"/>
                <w:color w:val="auto"/>
              </w:rPr>
              <w:t>7,521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107,748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107,756</w:t>
            </w:r>
          </w:p>
        </w:tc>
        <w:tc>
          <w:tcPr>
            <w:tcW w:w="40" w:type="dxa"/>
            <w:vAlign w:val="bottom"/>
          </w:tcPr>
          <w:p>
            <w:pPr>
              <w:spacing w:after="0"/>
              <w:rPr>
                <w:sz w:val="24"/>
                <w:szCs w:val="24"/>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4,122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65,943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65,947</w:t>
            </w:r>
          </w:p>
        </w:tc>
        <w:tc>
          <w:tcPr>
            <w:tcW w:w="40" w:type="dxa"/>
            <w:vAlign w:val="bottom"/>
          </w:tcPr>
          <w:p>
            <w:pPr>
              <w:spacing w:after="0"/>
              <w:rPr>
                <w:sz w:val="24"/>
                <w:szCs w:val="24"/>
                <w:color w:val="auto"/>
              </w:rPr>
            </w:pPr>
          </w:p>
        </w:tc>
      </w:tr>
      <w:tr>
        <w:trPr>
          <w:trHeight w:val="311"/>
        </w:trPr>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w:t>
            </w:r>
          </w:p>
        </w:tc>
        <w:tc>
          <w:tcPr>
            <w:tcW w:w="40" w:type="dxa"/>
            <w:vAlign w:val="bottom"/>
          </w:tcPr>
          <w:p>
            <w:pPr>
              <w:spacing w:after="0"/>
              <w:rPr>
                <w:sz w:val="24"/>
                <w:szCs w:val="24"/>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984</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3,574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3,575</w:t>
            </w:r>
          </w:p>
        </w:tc>
        <w:tc>
          <w:tcPr>
            <w:tcW w:w="40" w:type="dxa"/>
            <w:vAlign w:val="bottom"/>
          </w:tcPr>
          <w:p>
            <w:pPr>
              <w:spacing w:after="0"/>
              <w:rPr>
                <w:sz w:val="24"/>
                <w:szCs w:val="24"/>
                <w:color w:val="auto"/>
              </w:rPr>
            </w:pPr>
          </w:p>
        </w:tc>
      </w:tr>
      <w:tr>
        <w:trPr>
          <w:trHeight w:val="459"/>
        </w:trPr>
        <w:tc>
          <w:tcPr>
            <w:tcW w:w="660" w:type="dxa"/>
            <w:vAlign w:val="bottom"/>
          </w:tcPr>
          <w:p>
            <w:pPr>
              <w:jc w:val="right"/>
              <w:spacing w:after="0"/>
              <w:rPr>
                <w:sz w:val="20"/>
                <w:szCs w:val="20"/>
                <w:color w:val="auto"/>
              </w:rPr>
            </w:pPr>
            <w:r>
              <w:rPr>
                <w:rFonts w:ascii="Arial" w:cs="Arial" w:eastAsia="Arial" w:hAnsi="Arial"/>
                <w:sz w:val="13"/>
                <w:szCs w:val="13"/>
                <w:color w:val="auto"/>
              </w:rPr>
              <w:t>103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1,270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1,270</w:t>
            </w:r>
          </w:p>
        </w:tc>
        <w:tc>
          <w:tcPr>
            <w:tcW w:w="40" w:type="dxa"/>
            <w:vAlign w:val="bottom"/>
          </w:tcPr>
          <w:p>
            <w:pPr>
              <w:spacing w:after="0"/>
              <w:rPr>
                <w:sz w:val="24"/>
                <w:szCs w:val="24"/>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132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993</w:t>
            </w:r>
          </w:p>
        </w:tc>
        <w:tc>
          <w:tcPr>
            <w:tcW w:w="40" w:type="dxa"/>
            <w:vAlign w:val="bottom"/>
          </w:tcPr>
          <w:p>
            <w:pPr>
              <w:spacing w:after="0"/>
              <w:rPr>
                <w:sz w:val="24"/>
                <w:szCs w:val="24"/>
                <w:color w:val="auto"/>
              </w:rPr>
            </w:pPr>
          </w:p>
        </w:tc>
      </w:tr>
      <w:tr>
        <w:trPr>
          <w:trHeight w:val="310"/>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12,862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12,862</w:t>
            </w:r>
          </w:p>
        </w:tc>
        <w:tc>
          <w:tcPr>
            <w:tcW w:w="40" w:type="dxa"/>
            <w:vAlign w:val="bottom"/>
          </w:tcPr>
          <w:p>
            <w:pPr>
              <w:spacing w:after="0"/>
              <w:rPr>
                <w:sz w:val="24"/>
                <w:szCs w:val="24"/>
                <w:color w:val="auto"/>
              </w:rPr>
            </w:pPr>
          </w:p>
        </w:tc>
      </w:tr>
      <w:tr>
        <w:trPr>
          <w:trHeight w:val="310"/>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292</w:t>
            </w:r>
          </w:p>
        </w:tc>
        <w:tc>
          <w:tcPr>
            <w:tcW w:w="40" w:type="dxa"/>
            <w:vAlign w:val="bottom"/>
          </w:tcPr>
          <w:p>
            <w:pPr>
              <w:spacing w:after="0"/>
              <w:rPr>
                <w:sz w:val="24"/>
                <w:szCs w:val="24"/>
                <w:color w:val="auto"/>
              </w:rPr>
            </w:pPr>
          </w:p>
        </w:tc>
      </w:tr>
      <w:tr>
        <w:trPr>
          <w:trHeight w:val="149"/>
        </w:trPr>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(42,795)</w:t>
            </w:r>
          </w:p>
        </w:tc>
        <w:tc>
          <w:tcPr>
            <w:tcW w:w="1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(42,795)</w:t>
            </w:r>
          </w:p>
        </w:tc>
      </w:tr>
      <w:tr>
        <w:trPr>
          <w:trHeight w:val="20"/>
        </w:trPr>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60" w:type="dxa"/>
            <w:vAlign w:val="bottom"/>
          </w:tcPr>
          <w:p>
            <w:pPr>
              <w:jc w:val="right"/>
              <w:spacing w:after="0"/>
              <w:rPr>
                <w:sz w:val="20"/>
                <w:szCs w:val="20"/>
                <w:color w:val="auto"/>
              </w:rPr>
            </w:pPr>
            <w:r>
              <w:rPr>
                <w:rFonts w:ascii="Arial" w:cs="Arial" w:eastAsia="Arial" w:hAnsi="Arial"/>
                <w:sz w:val="13"/>
                <w:szCs w:val="13"/>
                <w:color w:val="auto"/>
              </w:rPr>
              <w:t>66,886</w:t>
            </w:r>
          </w:p>
        </w:tc>
        <w:tc>
          <w:tcPr>
            <w:tcW w:w="220" w:type="dxa"/>
            <w:vAlign w:val="bottom"/>
          </w:tcPr>
          <w:p>
            <w:pPr>
              <w:spacing w:after="0"/>
              <w:rPr>
                <w:sz w:val="14"/>
                <w:szCs w:val="14"/>
                <w:color w:val="auto"/>
              </w:rPr>
            </w:pPr>
          </w:p>
        </w:tc>
        <w:tc>
          <w:tcPr>
            <w:tcW w:w="440" w:type="dxa"/>
            <w:vAlign w:val="bottom"/>
          </w:tcPr>
          <w:p>
            <w:pPr>
              <w:jc w:val="right"/>
              <w:ind w:right="326"/>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67</w:t>
            </w: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526,771</w:t>
            </w:r>
          </w:p>
        </w:tc>
        <w:tc>
          <w:tcPr>
            <w:tcW w:w="14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(196,144)</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330,719</w:t>
            </w:r>
          </w:p>
        </w:tc>
        <w:tc>
          <w:tcPr>
            <w:tcW w:w="40" w:type="dxa"/>
            <w:vAlign w:val="bottom"/>
          </w:tcPr>
          <w:p>
            <w:pPr>
              <w:spacing w:after="0"/>
              <w:rPr>
                <w:sz w:val="14"/>
                <w:szCs w:val="14"/>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2,616</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11,835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11,838</w:t>
            </w:r>
          </w:p>
        </w:tc>
        <w:tc>
          <w:tcPr>
            <w:tcW w:w="40" w:type="dxa"/>
            <w:vAlign w:val="bottom"/>
          </w:tcPr>
          <w:p>
            <w:pPr>
              <w:spacing w:after="0"/>
              <w:rPr>
                <w:sz w:val="24"/>
                <w:szCs w:val="24"/>
                <w:color w:val="auto"/>
              </w:rPr>
            </w:pPr>
          </w:p>
        </w:tc>
      </w:tr>
      <w:tr>
        <w:trPr>
          <w:trHeight w:val="459"/>
        </w:trPr>
        <w:tc>
          <w:tcPr>
            <w:tcW w:w="660" w:type="dxa"/>
            <w:vAlign w:val="bottom"/>
          </w:tcPr>
          <w:p>
            <w:pPr>
              <w:jc w:val="right"/>
              <w:spacing w:after="0"/>
              <w:rPr>
                <w:sz w:val="20"/>
                <w:szCs w:val="20"/>
                <w:color w:val="auto"/>
              </w:rPr>
            </w:pPr>
            <w:r>
              <w:rPr>
                <w:rFonts w:ascii="Arial" w:cs="Arial" w:eastAsia="Arial" w:hAnsi="Arial"/>
                <w:sz w:val="13"/>
                <w:szCs w:val="13"/>
                <w:color w:val="auto"/>
              </w:rPr>
              <w:t>810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21,329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21,330</w:t>
            </w:r>
          </w:p>
        </w:tc>
        <w:tc>
          <w:tcPr>
            <w:tcW w:w="40" w:type="dxa"/>
            <w:vAlign w:val="bottom"/>
          </w:tcPr>
          <w:p>
            <w:pPr>
              <w:spacing w:after="0"/>
              <w:rPr>
                <w:sz w:val="24"/>
                <w:szCs w:val="24"/>
                <w:color w:val="auto"/>
              </w:rPr>
            </w:pPr>
          </w:p>
        </w:tc>
      </w:tr>
      <w:tr>
        <w:trPr>
          <w:trHeight w:val="459"/>
        </w:trPr>
        <w:tc>
          <w:tcPr>
            <w:tcW w:w="660" w:type="dxa"/>
            <w:vAlign w:val="bottom"/>
          </w:tcPr>
          <w:p>
            <w:pPr>
              <w:jc w:val="right"/>
              <w:spacing w:after="0"/>
              <w:rPr>
                <w:sz w:val="20"/>
                <w:szCs w:val="20"/>
                <w:color w:val="auto"/>
              </w:rPr>
            </w:pPr>
            <w:r>
              <w:rPr>
                <w:rFonts w:ascii="Arial" w:cs="Arial" w:eastAsia="Arial" w:hAnsi="Arial"/>
                <w:sz w:val="13"/>
                <w:szCs w:val="13"/>
                <w:color w:val="auto"/>
              </w:rPr>
              <w:t>197</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2,370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2,370</w:t>
            </w:r>
          </w:p>
        </w:tc>
        <w:tc>
          <w:tcPr>
            <w:tcW w:w="40" w:type="dxa"/>
            <w:vAlign w:val="bottom"/>
          </w:tcPr>
          <w:p>
            <w:pPr>
              <w:spacing w:after="0"/>
              <w:rPr>
                <w:sz w:val="24"/>
                <w:szCs w:val="24"/>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68</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524</w:t>
            </w:r>
          </w:p>
        </w:tc>
        <w:tc>
          <w:tcPr>
            <w:tcW w:w="40" w:type="dxa"/>
            <w:vAlign w:val="bottom"/>
          </w:tcPr>
          <w:p>
            <w:pPr>
              <w:spacing w:after="0"/>
              <w:rPr>
                <w:sz w:val="24"/>
                <w:szCs w:val="24"/>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w:t>
            </w:r>
          </w:p>
        </w:tc>
        <w:tc>
          <w:tcPr>
            <w:tcW w:w="40" w:type="dxa"/>
            <w:vAlign w:val="bottom"/>
          </w:tcPr>
          <w:p>
            <w:pPr>
              <w:spacing w:after="0"/>
              <w:rPr>
                <w:sz w:val="24"/>
                <w:szCs w:val="24"/>
                <w:color w:val="auto"/>
              </w:rPr>
            </w:pPr>
          </w:p>
        </w:tc>
      </w:tr>
      <w:tr>
        <w:trPr>
          <w:trHeight w:val="310"/>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15,651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15,651</w:t>
            </w:r>
          </w:p>
        </w:tc>
        <w:tc>
          <w:tcPr>
            <w:tcW w:w="40" w:type="dxa"/>
            <w:vAlign w:val="bottom"/>
          </w:tcPr>
          <w:p>
            <w:pPr>
              <w:spacing w:after="0"/>
              <w:rPr>
                <w:sz w:val="24"/>
                <w:szCs w:val="24"/>
                <w:color w:val="auto"/>
              </w:rPr>
            </w:pPr>
          </w:p>
        </w:tc>
      </w:tr>
      <w:tr>
        <w:trPr>
          <w:trHeight w:val="310"/>
        </w:trPr>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49"/>
        </w:trPr>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(102,487)</w:t>
            </w:r>
          </w:p>
        </w:tc>
        <w:tc>
          <w:tcPr>
            <w:tcW w:w="1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(102,487)</w:t>
            </w:r>
          </w:p>
        </w:tc>
      </w:tr>
      <w:tr>
        <w:trPr>
          <w:trHeight w:val="20"/>
        </w:trPr>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660" w:type="dxa"/>
            <w:vAlign w:val="bottom"/>
          </w:tcPr>
          <w:p>
            <w:pPr>
              <w:jc w:val="right"/>
              <w:spacing w:after="0"/>
              <w:rPr>
                <w:sz w:val="20"/>
                <w:szCs w:val="20"/>
                <w:color w:val="auto"/>
              </w:rPr>
            </w:pPr>
            <w:r>
              <w:rPr>
                <w:rFonts w:ascii="Arial" w:cs="Arial" w:eastAsia="Arial" w:hAnsi="Arial"/>
                <w:sz w:val="13"/>
                <w:szCs w:val="13"/>
                <w:color w:val="auto"/>
              </w:rPr>
              <w:t>70,583</w:t>
            </w:r>
          </w:p>
        </w:tc>
        <w:tc>
          <w:tcPr>
            <w:tcW w:w="22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71</w:t>
            </w: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578,599</w:t>
            </w:r>
          </w:p>
        </w:tc>
        <w:tc>
          <w:tcPr>
            <w:tcW w:w="14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(298,631)</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280,043</w:t>
            </w:r>
          </w:p>
        </w:tc>
        <w:tc>
          <w:tcPr>
            <w:tcW w:w="40" w:type="dxa"/>
            <w:vAlign w:val="bottom"/>
          </w:tcPr>
          <w:p>
            <w:pPr>
              <w:spacing w:after="0"/>
              <w:rPr>
                <w:sz w:val="13"/>
                <w:szCs w:val="13"/>
                <w:color w:val="auto"/>
              </w:rPr>
            </w:pP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-6385560</wp:posOffset>
            </wp:positionV>
            <wp:extent cx="7132320" cy="6386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6386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240"/>
            <w:col w:w="5860"/>
          </w:cols>
          <w:pgMar w:left="320" w:top="333" w:right="399" w:bottom="1440" w:gutter="0" w:footer="0" w:header="0"/>
          <w:type w:val="continuous"/>
        </w:sectPr>
      </w:pP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(102,487)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(42,795)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04"/>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discount on marketable securities</w:t>
            </w:r>
          </w:p>
        </w:tc>
        <w:tc>
          <w:tcPr>
            <w:tcW w:w="10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non-cash expenses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Related party receivable from collaboration</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r>
        <w:trPr>
          <w:trHeight w:val="203"/>
        </w:trPr>
        <w:tc>
          <w:tcPr>
            <w:tcW w:w="5560" w:type="dxa"/>
            <w:vAlign w:val="bottom"/>
          </w:tcPr>
          <w:p>
            <w:pPr>
              <w:ind w:left="500"/>
              <w:spacing w:after="0"/>
              <w:rPr>
                <w:sz w:val="20"/>
                <w:szCs w:val="20"/>
                <w:color w:val="auto"/>
              </w:rPr>
            </w:pPr>
            <w:r>
              <w:rPr>
                <w:rFonts w:ascii="Arial" w:cs="Arial" w:eastAsia="Arial" w:hAnsi="Arial"/>
                <w:sz w:val="16"/>
                <w:szCs w:val="16"/>
                <w:color w:val="auto"/>
              </w:rPr>
              <w:t>Related party contract asset</w:t>
            </w:r>
          </w:p>
        </w:tc>
        <w:tc>
          <w:tcPr>
            <w:tcW w:w="10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(6,100)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(1,864)</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(4,365)</w:t>
            </w:r>
          </w:p>
        </w:tc>
        <w:tc>
          <w:tcPr>
            <w:tcW w:w="0" w:type="dxa"/>
            <w:vAlign w:val="bottom"/>
          </w:tcPr>
          <w:p>
            <w:pPr>
              <w:spacing w:after="0"/>
              <w:rPr>
                <w:sz w:val="1"/>
                <w:szCs w:val="1"/>
                <w:color w:val="auto"/>
              </w:rPr>
            </w:pPr>
          </w:p>
        </w:tc>
      </w:tr>
      <w:tr>
        <w:trPr>
          <w:trHeight w:val="203"/>
        </w:trPr>
        <w:tc>
          <w:tcPr>
            <w:tcW w:w="55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and other liabilities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500"/>
              <w:spacing w:after="0"/>
              <w:rPr>
                <w:sz w:val="20"/>
                <w:szCs w:val="20"/>
                <w:color w:val="auto"/>
              </w:rPr>
            </w:pPr>
            <w:r>
              <w:rPr>
                <w:rFonts w:ascii="Arial" w:cs="Arial" w:eastAsia="Arial" w:hAnsi="Arial"/>
                <w:sz w:val="16"/>
                <w:szCs w:val="16"/>
                <w:color w:val="auto"/>
              </w:rPr>
              <w:t>Deferred rent</w:t>
            </w:r>
          </w:p>
        </w:tc>
        <w:tc>
          <w:tcPr>
            <w:tcW w:w="10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(2,829)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liabilities</w:t>
            </w:r>
          </w:p>
        </w:tc>
        <w:tc>
          <w:tcPr>
            <w:tcW w:w="10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(4,872)</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(24,251)</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(21,133)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ind w:left="74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(83,496)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(41,174)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(7,597)</w:t>
            </w:r>
          </w:p>
        </w:tc>
        <w:tc>
          <w:tcPr>
            <w:tcW w:w="0" w:type="dxa"/>
            <w:vAlign w:val="bottom"/>
          </w:tcPr>
          <w:p>
            <w:pPr>
              <w:spacing w:after="0"/>
              <w:rPr>
                <w:sz w:val="1"/>
                <w:szCs w:val="1"/>
                <w:color w:val="auto"/>
              </w:rPr>
            </w:pPr>
          </w:p>
        </w:tc>
      </w:tr>
      <w:tr>
        <w:trPr>
          <w:trHeight w:val="196"/>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Purchase of marketable securities</w:t>
            </w:r>
          </w:p>
        </w:tc>
        <w:tc>
          <w:tcPr>
            <w:tcW w:w="10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(177,655)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(134,306)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(133,609)</w:t>
            </w:r>
          </w:p>
        </w:tc>
        <w:tc>
          <w:tcPr>
            <w:tcW w:w="0" w:type="dxa"/>
            <w:vAlign w:val="bottom"/>
          </w:tcPr>
          <w:p>
            <w:pPr>
              <w:spacing w:after="0"/>
              <w:rPr>
                <w:sz w:val="1"/>
                <w:szCs w:val="1"/>
                <w:color w:val="auto"/>
              </w:rPr>
            </w:pPr>
          </w:p>
        </w:tc>
      </w:tr>
      <w:tr>
        <w:trPr>
          <w:trHeight w:val="204"/>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sales and maturities of marketable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securities</w:t>
            </w:r>
          </w:p>
        </w:tc>
        <w:tc>
          <w:tcPr>
            <w:tcW w:w="10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128,536</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186,518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178,182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Purchase of property and equipment</w:t>
            </w:r>
          </w:p>
        </w:tc>
        <w:tc>
          <w:tcPr>
            <w:tcW w:w="10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(1,879)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(5,844)</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vMerge w:val="continue"/>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(50,998)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48,723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initial public offering, net of issuance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costs</w:t>
            </w:r>
          </w:p>
        </w:tc>
        <w:tc>
          <w:tcPr>
            <w:tcW w:w="10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109,959</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Proceeds from private placement of common stock</w:t>
            </w:r>
          </w:p>
        </w:tc>
        <w:tc>
          <w:tcPr>
            <w:tcW w:w="10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65,947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Open Market Agreement</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employee stock purchase plan</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offering costs paid</w:t>
            </w:r>
          </w:p>
        </w:tc>
        <w:tc>
          <w:tcPr>
            <w:tcW w:w="10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35,538</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180,751</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10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(98,956)</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6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56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period</w:t>
            </w: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247,472</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59,172</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27,842</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0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148,516</w:t>
            </w:r>
          </w:p>
        </w:tc>
        <w:tc>
          <w:tcPr>
            <w:tcW w:w="1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247,472</w:t>
            </w:r>
          </w:p>
        </w:tc>
        <w:tc>
          <w:tcPr>
            <w:tcW w:w="1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exercise of convertible preferred stock warrant to</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Series A preferred stock</w:t>
            </w:r>
          </w:p>
        </w:tc>
        <w:tc>
          <w:tcPr>
            <w:tcW w:w="10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260"/>
              <w:spacing w:after="0"/>
              <w:rPr>
                <w:sz w:val="20"/>
                <w:szCs w:val="20"/>
                <w:color w:val="auto"/>
              </w:rPr>
            </w:pPr>
            <w:r>
              <w:rPr>
                <w:rFonts w:ascii="Arial" w:cs="Arial" w:eastAsia="Arial" w:hAnsi="Arial"/>
                <w:sz w:val="16"/>
                <w:szCs w:val="16"/>
                <w:color w:val="auto"/>
              </w:rPr>
              <w:t>Vesting of common stock from early exercises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524</w:t>
            </w:r>
          </w:p>
        </w:tc>
        <w:tc>
          <w:tcPr>
            <w:tcW w:w="140" w:type="dxa"/>
            <w:vAlign w:val="bottom"/>
          </w:tcPr>
          <w:p>
            <w:pPr>
              <w:spacing w:after="0"/>
              <w:rPr>
                <w:sz w:val="17"/>
                <w:szCs w:val="17"/>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993</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and equipment purchases accrued and</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5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not yet paid</w:t>
            </w:r>
          </w:p>
        </w:tc>
        <w:tc>
          <w:tcPr>
            <w:tcW w:w="10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1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60"/>
              <w:spacing w:after="0"/>
              <w:rPr>
                <w:sz w:val="20"/>
                <w:szCs w:val="20"/>
                <w:color w:val="auto"/>
              </w:rPr>
            </w:pPr>
            <w:r>
              <w:rPr>
                <w:rFonts w:ascii="Arial" w:cs="Arial" w:eastAsia="Arial" w:hAnsi="Arial"/>
                <w:sz w:val="16"/>
                <w:szCs w:val="16"/>
                <w:color w:val="auto"/>
              </w:rPr>
              <w:t>Deferred offering costs accrued and not yet paid</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228</w:t>
            </w: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focused on discovering and developing novel therapeutics based on scientific understanding of key biological pathways underlying liver and metabolic diseases, retinal diseases and cancer. The Company’s robust portfolio of product candidates range from early discovery to late-stage development and include aldafermin, MK-3655, NGM621, NGM120, NGM707 and NGM438. The Company has additional undisclosed programs that are in various stages of development ranging from functional validation to preclinical development.</w:t>
      </w:r>
    </w:p>
    <w:p>
      <w:pPr>
        <w:spacing w:after="0" w:line="202"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The Company was incorporated in Delaware in December 2007 and commenced operations in 2008. The Company’s headquarters are located at 333 Oyster Point Blvd., South San Francisco, California 94080.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On March 22, 2019, the Company filed an amendment to the Company’s amended and restated certificate of incorporation to effect a reverse split of shares of the Company’s common stock on a two-for-one basis, or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consolidated financial statements have been retrospectively adjusted to reflect the effect of the Reverse Stock Split for all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On April 8, 2019, the Company closed the initial public offering, or IPO, of its common stock. In connection with the IPO, the Company sold an aggregate of 7,521,394 shares of common stock, including 854,727 shares sold pursuant to the underwriters’ exercise of their option to purchase additional shares, at a public offering price of $16.00 per share. The aggregate net proceeds received by the Company for shares sold in the offering was $107.8 million, after deducting underwriting discounts, commissions and offering expenses of $4.1 million, of which $2.2 million were paid in 2018. Upon the closing of the IPO, all shares of the Company’s outstanding convertible preferred stock were automatically converted to 47,283,839 shares of common stock and the related carrying amount of $295.1 million was reclassified to common stock and additional paid-in capital within stockholders’ equity (deficit).</w:t>
      </w:r>
    </w:p>
    <w:p>
      <w:pPr>
        <w:spacing w:after="0" w:line="95"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Concurrent with the closing of the IPO, the Company also issued 4,121,683 shares of its common stock to Merck Sharp &amp; Dohme Corp., or Merck, in a private placement at a price of $16.00 per share for proceeds of $65.9 million, which resulted in Merck owning approximately 19.9% of the Company’s outstanding shares of common stock at that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or U.S. GAAP, and include the consolidated accounts of the Company and its wholly-owned subsidiary in Australia. All intercompany balances and transactions have been eliminated upon consolidation.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amounts reported in the consolidated financial statements and accompanying notes.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Uses and Sources of Liquidity</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 December 31, 2020, 2019 and 2018, the Company incurred net losses of $102.5 million, $42.8 million and $0.5 million, respectively. As of December 31, 2020, the Company had an accumulated deficit of $298.6 million. The Company expects its accumulated deficit will increase significantly over time and does not expect to experience positive cash flows from operations in the near future.</w:t>
      </w:r>
    </w:p>
    <w:p>
      <w:pPr>
        <w:spacing w:after="0" w:line="9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color w:val="auto"/>
        </w:rPr>
        <w:t>In December 2020, under an Open Market Sale Agreement</w:t>
      </w:r>
      <w:r>
        <w:rPr>
          <w:rFonts w:ascii="Arial" w:cs="Arial" w:eastAsia="Arial" w:hAnsi="Arial"/>
          <w:sz w:val="15"/>
          <w:szCs w:val="15"/>
          <w:color w:val="auto"/>
        </w:rPr>
        <w:t>SM</w:t>
      </w:r>
      <w:r>
        <w:rPr>
          <w:rFonts w:ascii="Arial" w:cs="Arial" w:eastAsia="Arial" w:hAnsi="Arial"/>
          <w:sz w:val="18"/>
          <w:szCs w:val="18"/>
          <w:color w:val="auto"/>
        </w:rPr>
        <w:t>, or the Sales Agreement, entered into with Jefferies LLC in June 2020, the Company sold 809,700 shares of its common stock at an average price of $27.94 per share for net proceeds of $21.9 million. As of December 31, 2020, $127.4 million of its common stock remained available to be sold under the Sales Agreement, subject to certain conditions as specified in the Sales Agreement.</w:t>
      </w:r>
    </w:p>
    <w:p>
      <w:pPr>
        <w:spacing w:after="0" w:line="9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As of December 31, 2020, the Company had $ 295.2 million of cash, cash equivalents and short-term marketable securities. In January 2021, the Company sold 5,324,074 shares of its common stock through an underwritten public offering at a price of $27.00 per share for aggregate net proceeds of approximately $134.7 million after deducting underwriting discounts and commissions and other estimated offering expenses payable by the Company. See Note 10 for additional information. The Company believes that the net proceeds from this offering, together with its existing cash, cash equivalents and short-term marketable securities, will be sufficient to fund its operations for a period of at least one year from the date these consolidated financial statements are issued.</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additional capital through public or private equity offerings (which may include potential net proceeds from future sales, if any, under the Sales Agreement), debt financings, government or other third-party funding, collaborations, strategic alliances and licensing arrangements or a combination of the foregoing.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2020 and 2019,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gain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December 31, 2020, the Company did not record any impairment related to other-than-temporary declines in the fair value of securities.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consolidated balance sheets, as the collateral will not be returned to the Company in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97"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Merck accounted for 100% of the Company’s revenue for the years ended December 31, 2020, 2019 and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780" w:type="dxa"/>
            <w:vAlign w:val="bottom"/>
            <w:shd w:val="clear" w:color="auto" w:fill="CFF0FC"/>
          </w:tcPr>
          <w:p>
            <w:pPr>
              <w:ind w:left="2180"/>
              <w:spacing w:after="0"/>
              <w:rPr>
                <w:sz w:val="20"/>
                <w:szCs w:val="20"/>
                <w:color w:val="auto"/>
              </w:rPr>
            </w:pPr>
            <w:r>
              <w:rPr>
                <w:rFonts w:ascii="Arial" w:cs="Arial" w:eastAsia="Arial" w:hAnsi="Arial"/>
                <w:sz w:val="18"/>
                <w:szCs w:val="18"/>
                <w:color w:val="auto"/>
              </w:rPr>
              <w:t>3 years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80" w:type="dxa"/>
            <w:vAlign w:val="bottom"/>
          </w:tcPr>
          <w:p>
            <w:pPr>
              <w:ind w:left="218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780" w:type="dxa"/>
            <w:vAlign w:val="bottom"/>
            <w:shd w:val="clear" w:color="auto" w:fill="CFF0FC"/>
          </w:tcPr>
          <w:p>
            <w:pPr>
              <w:ind w:left="21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2020 and 2019, no revision to the remaining useful lives or write-down of long-lived assets was required.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8" w:name="page139"/>
    <w:bookmarkEnd w:id="138"/>
    <w:p>
      <w:pPr>
        <w:jc w:val="both"/>
        <w:spacing w:after="0"/>
        <w:rPr>
          <w:sz w:val="20"/>
          <w:szCs w:val="20"/>
          <w:color w:val="auto"/>
        </w:rPr>
      </w:pPr>
      <w:r>
        <w:rPr>
          <w:rFonts w:ascii="Arial" w:cs="Arial" w:eastAsia="Arial" w:hAnsi="Arial"/>
          <w:sz w:val="18"/>
          <w:szCs w:val="18"/>
          <w:color w:val="auto"/>
        </w:rPr>
        <w:t>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On January 1, 2019, the Company adopted Accounting Standards Update, or ASU, 2014-09, Revenue from Contracts with Customers (Topic 606), and subsequent amendments, using the modified retrospective transition method applied to those contracts that were not completed as of January 1, 2019. As a result, the Company recorded an increase of $6.2 million in each of its accumulated deficit and contract liabilities balances on January 1, 2019. Results for operating periods beginning after January 1, 2019 are presented under ASC 606, while amounts prior to 2019 have not been adjusted and may not be comparable.</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most significant change to the Company’s policies upon the adoption of ASC 606 was the estimation of an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w:t>
      </w:r>
    </w:p>
    <w:p>
      <w:pPr>
        <w:spacing w:after="0" w:line="9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9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39" w:name="page140"/>
    <w:bookmarkEnd w:id="139"/>
    <w:p>
      <w:pPr>
        <w:jc w:val="both"/>
        <w:spacing w:after="0" w:line="237" w:lineRule="auto"/>
        <w:rPr>
          <w:sz w:val="20"/>
          <w:szCs w:val="20"/>
          <w:color w:val="auto"/>
        </w:rPr>
      </w:pPr>
      <w:r>
        <w:rPr>
          <w:rFonts w:ascii="Arial" w:cs="Arial" w:eastAsia="Arial" w:hAnsi="Arial"/>
          <w:sz w:val="18"/>
          <w:szCs w:val="18"/>
          <w:color w:val="auto"/>
        </w:rPr>
        <w:t>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or CROs, and other service providers, as they are incurred, based upon estimates of the work completed over the life of the individual study in accordance with associated agreements. The Company uses assessments by internal personnel and information it receives from outside service providers to estimate the clinical trial costs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consolidated statements of operations.</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Comprehensive loss is composed of net loss and certain changes in stockholders’ equity (deficit) that are excluded from net loss, primarily unrealized gains or losses, net of taxes, on the Company’s marketable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0" w:name="page141"/>
    <w:bookmarkEnd w:id="140"/>
    <w:p>
      <w:pPr>
        <w:jc w:val="both"/>
        <w:spacing w:after="0"/>
        <w:rPr>
          <w:sz w:val="20"/>
          <w:szCs w:val="20"/>
          <w:color w:val="auto"/>
        </w:rPr>
      </w:pPr>
      <w:r>
        <w:rPr>
          <w:rFonts w:ascii="Arial" w:cs="Arial" w:eastAsia="Arial" w:hAnsi="Arial"/>
          <w:sz w:val="18"/>
          <w:szCs w:val="18"/>
          <w:color w:val="auto"/>
        </w:rPr>
        <w:t>options and awards. Diluted net income per ordinary share is computed by giving effect to all potentially dilutive shares, including common stock issuable upon exercise of stock options. However, where there is a diluted net loss per ordinary share, no adjustment is made for potentially issuable shares since their effect would be anti-dilutive. In this case, diluted net loss per share is equal to basic net loss per share.</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Net loss per share were computed as follows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6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6"/>
        </w:trPr>
        <w:tc>
          <w:tcPr>
            <w:tcW w:w="66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(102,487)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(42,795)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r>
      <w:tr>
        <w:trPr>
          <w:trHeight w:val="197"/>
        </w:trPr>
        <w:tc>
          <w:tcPr>
            <w:tcW w:w="66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Weighted average number of shares used in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40" w:type="dxa"/>
            <w:vAlign w:val="bottom"/>
            <w:tcBorders>
              <w:bottom w:val="single" w:sz="8" w:color="CFF0FC"/>
            </w:tcBorders>
          </w:tcPr>
          <w:p>
            <w:pPr>
              <w:ind w:left="260"/>
              <w:spacing w:after="0" w:line="203" w:lineRule="exact"/>
              <w:rPr>
                <w:sz w:val="20"/>
                <w:szCs w:val="20"/>
                <w:color w:val="auto"/>
              </w:rPr>
            </w:pPr>
            <w:r>
              <w:rPr>
                <w:rFonts w:ascii="Arial" w:cs="Arial" w:eastAsia="Arial" w:hAnsi="Arial"/>
                <w:sz w:val="18"/>
                <w:szCs w:val="18"/>
                <w:color w:val="auto"/>
              </w:rPr>
              <w:t>calculating net loss per share—basic and diluted</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68,475,378</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50,297,524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6,383,751</w:t>
            </w:r>
          </w:p>
        </w:tc>
        <w:tc>
          <w:tcPr>
            <w:tcW w:w="100" w:type="dxa"/>
            <w:vAlign w:val="bottom"/>
            <w:tcBorders>
              <w:bottom w:val="single" w:sz="8" w:color="CFF0FC"/>
            </w:tcBorders>
          </w:tcPr>
          <w:p>
            <w:pPr>
              <w:spacing w:after="0"/>
              <w:rPr>
                <w:sz w:val="21"/>
                <w:szCs w:val="21"/>
                <w:color w:val="auto"/>
              </w:rPr>
            </w:pPr>
          </w:p>
        </w:tc>
      </w:tr>
      <w:tr>
        <w:trPr>
          <w:trHeight w:val="197"/>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(0.85)</w:t>
            </w:r>
          </w:p>
        </w:tc>
        <w:tc>
          <w:tcPr>
            <w:tcW w:w="4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(0.08)</w:t>
            </w: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60" w:type="dxa"/>
            <w:vAlign w:val="bottom"/>
          </w:tcPr>
          <w:p>
            <w:pPr>
              <w:spacing w:after="0"/>
              <w:rPr>
                <w:sz w:val="19"/>
                <w:szCs w:val="19"/>
                <w:color w:val="auto"/>
              </w:rPr>
            </w:pPr>
          </w:p>
        </w:tc>
        <w:tc>
          <w:tcPr>
            <w:tcW w:w="344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6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10,017,918</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10,824,780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9,806,689</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Shares committed under ESPP</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291,992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19,637</w:t>
            </w:r>
          </w:p>
        </w:tc>
        <w:tc>
          <w:tcPr>
            <w:tcW w:w="100" w:type="dxa"/>
            <w:vAlign w:val="bottom"/>
          </w:tcPr>
          <w:p>
            <w:pPr>
              <w:spacing w:after="0"/>
              <w:rPr>
                <w:sz w:val="18"/>
                <w:szCs w:val="18"/>
                <w:color w:val="auto"/>
              </w:rPr>
            </w:pPr>
          </w:p>
        </w:tc>
      </w:tr>
      <w:tr>
        <w:trPr>
          <w:trHeight w:val="209"/>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10,309,910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11,221,462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57,093,792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Company operates in one segment. Substantially all of the Company’s long-lived assets, primarily comprised of property and equipment, are based in the U.S. For the years ended December 31, 2020, 2019 and 2018, the Company’s revenues were entirely within the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 Under the Jumpstart Our Business Startups Act of 2012, as amended, the JOBS Act, the Company meets the definition of an emerging growth company and has elected the extended transition period for complying with new or revised accounting standards pursuant to Section 107(b) of the JOBS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August 2018, the FASB issued ASU 2018-13, Fair Value Measurements (Topic 820): Disclosure Framework – Changes to the Disclosure Requirements for Fair Value Measurement, as part of the FASB’s disclosure framework project. ASU 2018-13 modifies the disclosure requirements on fair value measurements in Topic 820, Fair Value Measurements by removing the requirement to disclose amounts of and reasons for transfers between Level 1 and Level 2 of the fair value hierarchy, the policy for timing of transfers between levels and the valuation process for Level 3 fair value measurements. ASU 2018-13 also modifies existing disclosure requirements by clarifying that the measurement uncertainty disclosure is to communicate information about the uncertainty in measurement as of the reporting date, and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ASU 2018-13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1" w:name="page142"/>
    <w:bookmarkEnd w:id="141"/>
    <w:p>
      <w:pPr>
        <w:ind w:right="2160"/>
        <w:spacing w:after="0" w:line="360" w:lineRule="auto"/>
        <w:rPr>
          <w:sz w:val="20"/>
          <w:szCs w:val="20"/>
          <w:color w:val="auto"/>
        </w:rPr>
      </w:pPr>
      <w:r>
        <w:rPr>
          <w:rFonts w:ascii="Arial" w:cs="Arial" w:eastAsia="Arial" w:hAnsi="Arial"/>
          <w:sz w:val="18"/>
          <w:szCs w:val="18"/>
          <w:color w:val="auto"/>
        </w:rPr>
        <w:t xml:space="preserve">effective January 1, 2020, noting no material impact on the Company’s results of operations and financial position. </w:t>
      </w:r>
      <w:r>
        <w:rPr>
          <w:rFonts w:ascii="Arial" w:cs="Arial" w:eastAsia="Arial" w:hAnsi="Arial"/>
          <w:sz w:val="18"/>
          <w:szCs w:val="18"/>
          <w:b w:val="1"/>
          <w:bCs w:val="1"/>
          <w:i w:val="1"/>
          <w:iCs w:val="1"/>
          <w:color w:val="auto"/>
        </w:rPr>
        <w:t>Recent Accounting Pronouncements Not Yet Adopted</w:t>
      </w:r>
    </w:p>
    <w:p>
      <w:pPr>
        <w:jc w:val="both"/>
        <w:ind w:firstLine="802"/>
        <w:spacing w:after="0" w:line="236" w:lineRule="auto"/>
        <w:rPr>
          <w:sz w:val="20"/>
          <w:szCs w:val="20"/>
          <w:color w:val="auto"/>
        </w:rPr>
      </w:pPr>
      <w:r>
        <w:rPr>
          <w:rFonts w:ascii="Arial" w:cs="Arial" w:eastAsia="Arial" w:hAnsi="Arial"/>
          <w:sz w:val="18"/>
          <w:szCs w:val="18"/>
          <w:color w:val="auto"/>
        </w:rPr>
        <w:t>In February 2016, the FASB issued ASU 2016-02, Leases (Topic 842), which increases lease transparency and comparability among organizations. Under the new standard, lessees will be required to recognize right-of-use, or ROU, assets and lease liabilities arising from lease arrangements on the consolidated balance sheets, with the exception of leases with a term of twelve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In November 2019, the FASB issued ASU 2019-10, which deferred the effective date for certain ASUs including ASU 2016-02. In June 2020, due to the evolving impacts of the COVID-19 pandemic, the FASB issued ASU 2020-05, which further defers the effective date of ASU 2016-02 which is now effective for the Company’s fiscal year beginning after December 15, 2021, and interim periods within fiscal years beginning after December 15, 2022.</w:t>
      </w:r>
    </w:p>
    <w:p>
      <w:pPr>
        <w:spacing w:after="0" w:line="98"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Company plans to adopt the new lease standard in the fiscal year beginning January 1, 2022, using the optional transition method, which allows the Company to recognize a cumulative-effect adjustment to the opening balance of accumulated deficit at the date of adoption and apply the new disclosure requirements beginning in the 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The Company continues to evaluate the impact of this new lease standard to its results of operations and financial position.</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the context of a unit of account. In those situations, all the guidance in ASC 606 should be applied, including recognition, measurement and presentation and disclosure requirements. ASU 2018-18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ASU 2018-18 will be effective for the Company’s fiscal year beginning after December 15, 2020, and interim periods within fiscal years beginning after December 15, 2021. The Company is currently assessing the timing of adoption and the impact that the adoption of ASU 2018-18 will have on its results of operations and financial position.</w:t>
      </w:r>
    </w:p>
    <w:p>
      <w:pPr>
        <w:spacing w:after="0" w:line="97" w:lineRule="exact"/>
        <w:rPr>
          <w:sz w:val="20"/>
          <w:szCs w:val="20"/>
          <w:color w:val="auto"/>
        </w:rPr>
      </w:pPr>
    </w:p>
    <w:p>
      <w:pPr>
        <w:jc w:val="both"/>
        <w:ind w:firstLine="802"/>
        <w:spacing w:after="0" w:line="205" w:lineRule="exact"/>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ASU 2019-12 will be effective for the Company for its fiscal year beginning after December 15, 2021, and interim periods within fiscal years beginning after December 15, 2022, and is required to be adopted prospectively, with the exception of certain specific amendments. The Company is currently assessing the timing of adoption and the impact that the adoption of ASU 2019</w:t>
      </w:r>
      <w:r>
        <w:rPr>
          <w:rFonts w:ascii="MS PGothic" w:cs="MS PGothic" w:eastAsia="MS PGothic" w:hAnsi="MS PGothic"/>
          <w:sz w:val="18"/>
          <w:szCs w:val="18"/>
          <w:color w:val="auto"/>
        </w:rPr>
        <w:t>‑</w:t>
      </w:r>
      <w:r>
        <w:rPr>
          <w:rFonts w:ascii="Arial" w:cs="Arial" w:eastAsia="Arial" w:hAnsi="Arial"/>
          <w:sz w:val="18"/>
          <w:szCs w:val="18"/>
          <w:color w:val="auto"/>
        </w:rPr>
        <w:t>12 will have on its results of operations and financial position.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3. Fair Value Measurements</w:t>
      </w:r>
    </w:p>
    <w:p>
      <w:pPr>
        <w:spacing w:after="0" w:line="234"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18"/>
          <w:szCs w:val="18"/>
          <w:color w:val="auto"/>
        </w:rPr>
        <w:t>Cash and cash equivalents and marketable securities, all of which are classified as available-for-sale securities, consisted of the following (in thousands):</w:t>
      </w: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33"/>
              <w:spacing w:after="0" w:line="171" w:lineRule="exact"/>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line="171" w:lineRule="exact"/>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33"/>
              <w:spacing w:after="0"/>
              <w:rPr>
                <w:sz w:val="20"/>
                <w:szCs w:val="20"/>
                <w:color w:val="auto"/>
              </w:rPr>
            </w:pPr>
            <w:r>
              <w:rPr>
                <w:rFonts w:ascii="Arial" w:cs="Arial" w:eastAsia="Arial" w:hAnsi="Arial"/>
                <w:sz w:val="16"/>
                <w:szCs w:val="16"/>
                <w:b w:val="1"/>
                <w:bCs w:val="1"/>
                <w:color w:val="auto"/>
                <w:w w:val="99"/>
              </w:rPr>
              <w: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rPr>
              <w:t>Unrealized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53"/>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33"/>
              <w:spacing w:after="0"/>
              <w:rPr>
                <w:sz w:val="20"/>
                <w:szCs w:val="20"/>
                <w:color w:val="auto"/>
              </w:rPr>
            </w:pPr>
            <w:r>
              <w:rPr>
                <w:rFonts w:ascii="Arial" w:cs="Arial" w:eastAsia="Arial" w:hAnsi="Arial"/>
                <w:sz w:val="16"/>
                <w:szCs w:val="16"/>
                <w:b w:val="1"/>
                <w:bCs w:val="1"/>
                <w:color w:val="auto"/>
              </w:rPr>
              <w:t>Gain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Loss</w:t>
            </w:r>
          </w:p>
        </w:tc>
        <w:tc>
          <w:tcPr>
            <w:tcW w:w="2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2020</w:t>
            </w:r>
          </w:p>
        </w:tc>
        <w:tc>
          <w:tcPr>
            <w:tcW w:w="8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Money market funds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137,658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20" w:type="dxa"/>
            <w:vAlign w:val="bottom"/>
          </w:tcPr>
          <w:p>
            <w:pPr>
              <w:spacing w:after="0"/>
              <w:rPr>
                <w:sz w:val="20"/>
                <w:szCs w:val="20"/>
                <w:color w:val="auto"/>
              </w:rPr>
            </w:pPr>
            <w:r>
              <w:rPr>
                <w:rFonts w:ascii="Arial" w:cs="Arial" w:eastAsia="Arial" w:hAnsi="Arial"/>
                <w:sz w:val="18"/>
                <w:szCs w:val="18"/>
                <w:color w:val="auto"/>
              </w:rPr>
              <w:t>Totals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285,793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285,797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8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360"/>
              <w:spacing w:after="0" w:line="203" w:lineRule="exact"/>
              <w:rPr>
                <w:sz w:val="20"/>
                <w:szCs w:val="20"/>
                <w:color w:val="auto"/>
              </w:rPr>
            </w:pPr>
            <w:r>
              <w:rPr>
                <w:rFonts w:ascii="Arial" w:cs="Arial" w:eastAsia="Arial" w:hAnsi="Arial"/>
                <w:sz w:val="18"/>
                <w:szCs w:val="18"/>
                <w:color w:val="auto"/>
              </w:rPr>
              <w:t>(amortized cost of $148,135)</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148,139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9"/>
              </w:rPr>
              <w:t>Gross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33"/>
              <w:spacing w:after="0"/>
              <w:rPr>
                <w:sz w:val="20"/>
                <w:szCs w:val="20"/>
                <w:color w:val="auto"/>
              </w:rPr>
            </w:pPr>
            <w:r>
              <w:rPr>
                <w:rFonts w:ascii="Arial" w:cs="Arial" w:eastAsia="Arial" w:hAnsi="Arial"/>
                <w:sz w:val="16"/>
                <w:szCs w:val="16"/>
                <w:b w:val="1"/>
                <w:bCs w:val="1"/>
                <w:color w:val="auto"/>
                <w:w w:val="99"/>
              </w:rPr>
              <w: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rPr>
              <w:t>Unrealized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53"/>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33"/>
              <w:spacing w:after="0"/>
              <w:rPr>
                <w:sz w:val="20"/>
                <w:szCs w:val="20"/>
                <w:color w:val="auto"/>
              </w:rPr>
            </w:pPr>
            <w:r>
              <w:rPr>
                <w:rFonts w:ascii="Arial" w:cs="Arial" w:eastAsia="Arial" w:hAnsi="Arial"/>
                <w:sz w:val="16"/>
                <w:szCs w:val="16"/>
                <w:b w:val="1"/>
                <w:bCs w:val="1"/>
                <w:color w:val="auto"/>
              </w:rPr>
              <w:t>Gain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Loss</w:t>
            </w:r>
          </w:p>
        </w:tc>
        <w:tc>
          <w:tcPr>
            <w:tcW w:w="2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8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Money market funds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244,973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8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8"/>
                <w:szCs w:val="18"/>
                <w:color w:val="auto"/>
              </w:rPr>
              <w:t>Totals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343,861</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8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360"/>
              <w:spacing w:after="0" w:line="203" w:lineRule="exact"/>
              <w:rPr>
                <w:sz w:val="20"/>
                <w:szCs w:val="20"/>
                <w:color w:val="auto"/>
              </w:rPr>
            </w:pPr>
            <w:r>
              <w:rPr>
                <w:rFonts w:ascii="Arial" w:cs="Arial" w:eastAsia="Arial" w:hAnsi="Arial"/>
                <w:sz w:val="18"/>
                <w:szCs w:val="18"/>
                <w:color w:val="auto"/>
              </w:rPr>
              <w:t>(amortized cost of $98,888)</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98,913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$9.4 million and $0.6 million as of December 31, 2020 and 2019, respectively.</w:t>
      </w:r>
    </w:p>
    <w:p>
      <w:pPr>
        <w:spacing w:after="0" w:line="8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As of December 31, 2020 and 2019, the Company’s marketable securities had remaining contractual maturities of less than one year. As of December 31, 2020, there was one marketable security in an unrealized loss position compared to four marketable securities in unrealized loss positions as of December 31, 2019. Marketable securities that had been in unrealized loss positions as of December 31, 2020 and 2019 had been in an unrealized loss position for less than 12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6" w:lineRule="exact"/>
        <w:rPr>
          <w:sz w:val="20"/>
          <w:szCs w:val="20"/>
          <w:color w:val="auto"/>
        </w:rPr>
      </w:pPr>
    </w:p>
    <w:p>
      <w:pPr>
        <w:ind w:right="20" w:firstLine="802"/>
        <w:spacing w:after="0" w:line="246"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Fair Value Measurements</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3"/>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19"/>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41,945</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7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26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Totals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148,139</w:t>
            </w:r>
          </w:p>
        </w:tc>
        <w:tc>
          <w:tcPr>
            <w:tcW w:w="1360" w:type="dxa"/>
            <w:vAlign w:val="bottom"/>
            <w:gridSpan w:val="2"/>
          </w:tcPr>
          <w:p>
            <w:pPr>
              <w:jc w:val="right"/>
              <w:ind w:right="919"/>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Fair Value Measurements</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3"/>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244,973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19"/>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24,840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7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26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244,973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98,913</w:t>
            </w:r>
          </w:p>
        </w:tc>
        <w:tc>
          <w:tcPr>
            <w:tcW w:w="1360" w:type="dxa"/>
            <w:vAlign w:val="bottom"/>
            <w:gridSpan w:val="2"/>
          </w:tcPr>
          <w:p>
            <w:pPr>
              <w:jc w:val="right"/>
              <w:ind w:right="919"/>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The carrying amounts of cash and cash equivalents, the related party receivable and contract asset from collaboration and other current assets and liabilities approximate their respective fair values due to their short-term nature.</w:t>
      </w:r>
    </w:p>
    <w:p>
      <w:pPr>
        <w:spacing w:after="0" w:line="89"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w:t>
      </w:r>
    </w:p>
    <w:p>
      <w:pPr>
        <w:spacing w:after="0" w:line="89" w:lineRule="exact"/>
        <w:rPr>
          <w:sz w:val="20"/>
          <w:szCs w:val="20"/>
          <w:color w:val="auto"/>
        </w:rPr>
      </w:pPr>
    </w:p>
    <w:p>
      <w:pPr>
        <w:jc w:val="both"/>
        <w:ind w:right="40" w:firstLine="802"/>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2020 and 2019.</w:t>
      </w:r>
    </w:p>
    <w:p>
      <w:pPr>
        <w:spacing w:after="0" w:line="283" w:lineRule="exact"/>
        <w:rPr>
          <w:sz w:val="20"/>
          <w:szCs w:val="20"/>
          <w:color w:val="auto"/>
        </w:rPr>
      </w:pPr>
    </w:p>
    <w:p>
      <w:pPr>
        <w:ind w:right="8680" w:firstLine="8"/>
        <w:spacing w:after="0" w:line="394" w:lineRule="auto"/>
        <w:tabs>
          <w:tab w:leader="none" w:pos="20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Cash and Restricted Cash</w:t>
      </w:r>
    </w:p>
    <w:p>
      <w:pPr>
        <w:spacing w:after="0" w:line="1" w:lineRule="exact"/>
        <w:rPr>
          <w:sz w:val="20"/>
          <w:szCs w:val="20"/>
          <w:color w:val="auto"/>
        </w:rPr>
      </w:pPr>
    </w:p>
    <w:p>
      <w:pPr>
        <w:ind w:right="20" w:firstLine="802"/>
        <w:spacing w:after="0" w:line="246" w:lineRule="auto"/>
        <w:rPr>
          <w:sz w:val="20"/>
          <w:szCs w:val="20"/>
          <w:color w:val="auto"/>
        </w:rPr>
      </w:pPr>
      <w:r>
        <w:rPr>
          <w:rFonts w:ascii="Arial" w:cs="Arial" w:eastAsia="Arial" w:hAnsi="Arial"/>
          <w:sz w:val="18"/>
          <w:szCs w:val="18"/>
          <w:color w:val="auto"/>
        </w:rPr>
        <w:t>A reconciliation of cash, cash equivalents and restricted cash reported within the consolidated balance sheets to the amount reported within the consolidated statements of cash flows is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58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147,017</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5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358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148,516</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247,472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bottom w:val="single" w:sz="8" w:color="CFF0FC"/>
            </w:tcBorders>
            <w:vMerge w:val="restart"/>
          </w:tcPr>
          <w:p>
            <w:pPr>
              <w:jc w:val="right"/>
              <w:ind w:right="1410"/>
              <w:spacing w:after="0"/>
              <w:rPr>
                <w:sz w:val="20"/>
                <w:szCs w:val="20"/>
                <w:color w:val="auto"/>
              </w:rPr>
            </w:pPr>
            <w:r>
              <w:rPr>
                <w:rFonts w:ascii="Arial" w:cs="Arial" w:eastAsia="Arial" w:hAnsi="Arial"/>
                <w:sz w:val="18"/>
                <w:szCs w:val="18"/>
                <w:color w:val="auto"/>
              </w:rPr>
              <w:t>142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2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23,638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21,652</w:t>
            </w: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Construction-in-progress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FF0FC"/>
            </w:tcBorders>
          </w:tcPr>
          <w:p>
            <w:pPr>
              <w:spacing w:after="0"/>
              <w:rPr>
                <w:sz w:val="18"/>
                <w:szCs w:val="18"/>
                <w:color w:val="auto"/>
              </w:rPr>
            </w:pPr>
          </w:p>
        </w:tc>
      </w:tr>
      <w:tr>
        <w:trPr>
          <w:trHeight w:val="20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50,837</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49,231</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(36,311)</w:t>
            </w:r>
          </w:p>
        </w:tc>
        <w:tc>
          <w:tcPr>
            <w:tcW w:w="5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(29,756)</w:t>
            </w:r>
          </w:p>
        </w:tc>
      </w:tr>
      <w:tr>
        <w:trPr>
          <w:trHeight w:val="210"/>
        </w:trPr>
        <w:tc>
          <w:tcPr>
            <w:tcW w:w="7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1100" w:type="dxa"/>
            <w:vAlign w:val="bottom"/>
            <w:tcBorders>
              <w:top w:val="single" w:sz="8" w:color="auto"/>
              <w:bottom w:val="single" w:sz="8" w:color="auto"/>
            </w:tcBorders>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Depreciation expense for the years ended December 31, 2020, 2019 and 2018 was approximately $6.6 million, $7.6 million and $7.2 million,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 and research and development costs</w:t>
            </w:r>
          </w:p>
        </w:tc>
        <w:tc>
          <w:tcPr>
            <w:tcW w:w="1120" w:type="dxa"/>
            <w:vAlign w:val="bottom"/>
            <w:shd w:val="clear" w:color="auto" w:fill="CFF0FC"/>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9,316</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Manufacturing costs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8,921</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expenses</w:t>
            </w: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FF0FC"/>
            </w:tcBorders>
          </w:tcPr>
          <w:p>
            <w:pPr>
              <w:spacing w:after="0"/>
              <w:rPr>
                <w:sz w:val="18"/>
                <w:szCs w:val="18"/>
                <w:color w:val="auto"/>
              </w:rPr>
            </w:pPr>
          </w:p>
        </w:tc>
      </w:tr>
      <w:tr>
        <w:trPr>
          <w:trHeight w:val="210"/>
        </w:trPr>
        <w:tc>
          <w:tcPr>
            <w:tcW w:w="7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1120" w:type="dxa"/>
            <w:vAlign w:val="bottom"/>
            <w:tcBorders>
              <w:bottom w:val="single" w:sz="8" w:color="auto"/>
            </w:tcBorders>
            <w:shd w:val="clear" w:color="auto" w:fill="CFF0FC"/>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29,945</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currently uses third-party contract development and manufacturing organizations or contract manufacturing organizations, which the Company refers to collectively as CMOs, to manufacture and supply all of the raw materials, drug substances and drug products for the Company’s research and development programs, including all the clinical trial materials used in the clinical trials of our clinical-stage product candidates. To date, aldafermin and the Company’s other product candidates have been manufactured by third-party manufacturers solely for preclinical studies and relatively small clinical trials.</w:t>
      </w:r>
    </w:p>
    <w:p>
      <w:pPr>
        <w:spacing w:after="0" w:line="200" w:lineRule="exact"/>
        <w:rPr>
          <w:sz w:val="20"/>
          <w:szCs w:val="20"/>
          <w:color w:val="auto"/>
        </w:rPr>
      </w:pPr>
    </w:p>
    <w:p>
      <w:pPr>
        <w:spacing w:after="0" w:line="223" w:lineRule="exact"/>
        <w:rPr>
          <w:sz w:val="20"/>
          <w:szCs w:val="20"/>
          <w:color w:val="auto"/>
        </w:rPr>
      </w:pPr>
    </w:p>
    <w:p>
      <w:pPr>
        <w:ind w:right="6840" w:firstLine="8"/>
        <w:spacing w:after="0" w:line="372" w:lineRule="auto"/>
        <w:tabs>
          <w:tab w:leader="none" w:pos="2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0D0D0D"/>
        </w:rPr>
        <w:t>Merck</w:t>
      </w:r>
    </w:p>
    <w:p>
      <w:pPr>
        <w:spacing w:after="0" w:line="1"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 xml:space="preserve">In 2015, the Company entered into a collaboration agreement with Merck, or the Collaboration Agreement, covering the discovery, development and commercialization of novel therapies across a range of therapeutic areas, including a broad, multi-year drug discovery and early development program financially supported </w:t>
      </w:r>
      <w:r>
        <w:rPr>
          <w:rFonts w:ascii="Arial" w:cs="Arial" w:eastAsia="Arial" w:hAnsi="Arial"/>
          <w:sz w:val="16"/>
          <w:szCs w:val="16"/>
          <w:color w:val="auto"/>
        </w:rPr>
        <w:t>by</w:t>
      </w:r>
      <w:r>
        <w:rPr>
          <w:rFonts w:ascii="Arial" w:cs="Arial" w:eastAsia="Arial" w:hAnsi="Arial"/>
          <w:sz w:val="18"/>
          <w:szCs w:val="18"/>
          <w:color w:val="auto"/>
        </w:rPr>
        <w:t xml:space="preserve"> Merck, but scientifically directed by the Company with input from Merck. In exchange for certain rights and access to the Company’s drug discovery approach, in April 2015, Merck paid the Company an upfront cash licensing fee of $94.0 million and purchased approximately $106.0 million of the Company’s Series E convertible preferred stock. The Company considered the ASC 606 criteria for combining contracts and determined that the Collaboration Agreement and stock purchase agreement should be combined into a single contract. The Company accounted for the combined agreement based on the fair values of the assets and services exchanged, resulting in $106.0 million allocated to the equity component and $94.0 million allocated to the revenue components.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45" w:name="page146"/>
    <w:bookmarkEnd w:id="145"/>
    <w:p>
      <w:pPr>
        <w:jc w:val="both"/>
        <w:ind w:firstLine="802"/>
        <w:spacing w:after="0" w:line="236" w:lineRule="auto"/>
        <w:rPr>
          <w:sz w:val="20"/>
          <w:szCs w:val="20"/>
          <w:color w:val="auto"/>
        </w:rPr>
      </w:pPr>
      <w:r>
        <w:rPr>
          <w:rFonts w:ascii="Arial" w:cs="Arial" w:eastAsia="Arial" w:hAnsi="Arial"/>
          <w:sz w:val="18"/>
          <w:szCs w:val="18"/>
          <w:color w:val="auto"/>
        </w:rPr>
        <w:t>The Collaboration Agreement contemplated an initial five-year research term, and Merck was granted the unilateral right to extend the research phase of the collaboration for two additional two-year terms. Each extension is considered to be and is accounted for as a separate arrangement, if and when the option is exercised by Merck. Under the terms of the Collaboration Agreement, Merck is required to pay a $20.0 million extension fee each time it elects to exercise its unilateral right to extend the research phase of the collaboration for an additional two-year term. In March 2019, Merck exercised its first option to extend the research phase of the collaboration for two additional years through March 16, 2022. Under the Collaboration Agreement, if and when Merck elects to extend the research phase for an additional two years, the level of funding that Merck will provide to the Company during such extension will be negotiated at the time of the extension, subject to certain minimum and maximum funding limits based on a percentage of the then-existing funding. As part of the two-year extension through March 16, 2022, Merck agreed to continue to fund the Company’s research and development efforts up to $75.0 million each year consistent with the initial five-year term and, in lieu of a $20.0 million extension fee that would have otherwise been payable to the Company, Merck agreed to make additional payments totaling up to $20.0 million in support of the Company’s research and development program activities during 2021 and in the first quarter of 2022.</w:t>
      </w:r>
    </w:p>
    <w:p>
      <w:pPr>
        <w:spacing w:after="0" w:line="9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Under the terms of the collaboration, Merck was required to notify the Company no later than March 17, 2021 of its unilateral decision whether to exercise its option to extend the research phase of the collaboration for an additional two-year term through March 16, 2024. In March 2021, Merck initiated discussions with the Company with respect to elements of the ongoing collaboration that might be optimized to better address the evolving interests and priorities of both the Company and Merck during the remainder of the current research phase through March 16, 2022 and during any extension of the current research phase and any tail period (which tail period is discussed below). In order to allow negotiations to proceed, the parties have agreed to extend the March 17, 2021 deadline for Merck to deliver its extension notification decision until June 30, 2021. See Note 10 for additional information.</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has determined the scientific direction and areas of therapeutic interest, with input from Merck, and is primarily responsible for the conduct of all research, preclinical and early clinical development activities, through human proof-of-concept trials. The Company has made the final determinations as to which compounds to advance into and through initial clinical trials and which to progress into a human proof-of-concept trial and the design of any such trials, with input from Merck through various governance committees.</w:t>
      </w:r>
    </w:p>
    <w:p>
      <w:pPr>
        <w:spacing w:after="0" w:line="97"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Upon completion of a human proof-of-concept study for a particular product candidate, regardless of the results of such study, Merck has the one-time option to obtain an exclusive, worldwide license, on specified terms, to that product candidate, as well as to all other molecules that are directed against the same target and that result in the same effect on such target, collectively referred to as a Merck Licensed Program. For each program that Merck licenses, Merck must pay the Company a one-time fee of $20.0 million. If Merck exercises its license option, Merck is responsible, at its own cost, for any further development and any commercialization activities for compounds within the applicable Merck Licensed Program, subject to the Company’s options to cost and profit share worldwide, and to co-detail those compounds in the United States. Where the Company exercises such an option, the compound is referred to as an NGM Optioned Product. If the Company elects to enter into a cost and profit share on an NGM Optioned Product, Merck has agreed to advance to the Company and/or assume up to 25% of the Company’s share of the global development costs, subject to an aggregate cap over the course of the collaboration. All amounts advanced or assumed accrue interest and would be recouped by Merck in full out of the Company’s share of any profits resulting from sales of the NGM Optioned Product before the Company is entitled to receive any of those profits. If the Company does not elect to enter into a cost and profit-sharing arrangement for a compound it has licensed to Merck, the Company is eligible to receive an aggregate of up to $449.0 million in pre-commercial milestone payments upon the achievement of specific clinical development and regulatory events with respect to the licensed compound for the first three indications in the United States, European Union, or EU, and Japan. The Company is also eligible to receive commercial milestone payments of up to $125.0 million and to receive royalties at ascending low-double digit to mid-teen percentage rates, depending on the level of net sales Merck achieves worldwide for each licensed compound.</w:t>
      </w:r>
    </w:p>
    <w:p>
      <w:pPr>
        <w:spacing w:after="0" w:line="10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Under the Collaboration Agreement, the Company also granted Merck a worldwide, exclusive right to conduct research and development on, and to manufacture, use and commercialize, small molecule compounds identified or developed by Merck that have specified activity against any target that the Company is researching or developing under the research phase of the collaboration and that, but for use of the Company’s confidential and proprietary information, Merck would not have discovered. If Merck ultimately does not exercise its license option to a collaboration compound the Company has taken through a human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6" w:name="page147"/>
    <w:bookmarkEnd w:id="146"/>
    <w:p>
      <w:pPr>
        <w:jc w:val="both"/>
        <w:spacing w:after="0" w:line="238" w:lineRule="auto"/>
        <w:rPr>
          <w:sz w:val="20"/>
          <w:szCs w:val="20"/>
          <w:color w:val="auto"/>
        </w:rPr>
      </w:pPr>
      <w:r>
        <w:rPr>
          <w:rFonts w:ascii="Arial" w:cs="Arial" w:eastAsia="Arial" w:hAnsi="Arial"/>
          <w:sz w:val="18"/>
          <w:szCs w:val="18"/>
          <w:color w:val="auto"/>
        </w:rPr>
        <w:t>of these small molecule compounds, at its own cost. The Company is eligible to receive milestone and royalty payments on small molecule compounds that are developed by Merck under such a license from the Company, in some cases at the same rates as those the Company is eligible to receive from Merck for a Merck Licensed Program originating from the Company’s own research and development efforts, provided that, but for use of the Company’s confidential and proprietary information, Merck would not have discovered such small molecule compounds. However, the Company will not have the option to cost and profit share or the option to co-detail those small molecule products.</w:t>
      </w:r>
    </w:p>
    <w:p>
      <w:pPr>
        <w:spacing w:after="0" w:line="94"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color w:val="auto"/>
        </w:rPr>
        <w:t>During the three-month period before the end of the research phase, Merck has the right to review the Company’s then-existing programs and to elect to designate one or more such programs for which the Company will be required to continue to conduct research and development for up to three years, referred to as the tail period. Merck will pay all of the Company’s internal and external costs for its work on such Merck-designated programs, up to certain funding caps that decrease over the tail period and are each a specified percentage of certain funding actually provided to the Company by Merck during the last 12 months of the research phase. Merck also has the right to take over such Merck-designated programs and conduct such research and development activities itself or in partnership with a third party, at its own cost, or to terminate the tail period after a specified notice period. If Merck terminates the tail period, it has the right to elect to transition to itself or a third-party partner, at its own cost, any clinical trials that are then being conducted in such Merck-designated programs. If the Company completes a human proof-of-concept trial in one of such Merck-designated programs during the tail period or if Merck or its third-party partner completes a human proof-of-concept trial in one of such Merck-designated programs during or after the tail period, then Merck will have a one-time right to exercise its option to an exclusive, worldwide license for the collaboration product candidate tested in the proof-of-concept trial and certain related molecules in that program. Merck will lose its option rights at the end of the tail period with respect to all programs for which no collaboration product candidate has completed a human proof-of-concept trial by such time, except for Merck-designated programs that Merck is continuing to use commercially reasonable efforts to research and develop.</w:t>
      </w:r>
    </w:p>
    <w:p>
      <w:pPr>
        <w:spacing w:after="0" w:line="10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The Company identified the following promised goods or services at the inception of the Collaboration Agreement: (i) license to GDF15 receptor agonist program; (ii) license to pursue research and development and commercialization of small molecule compounds; (iii) performance of research and development services for five years; (iv) two options to extend performance of the research and development services, each for two additional years; and (v) options to obtain licenses to additional compounds after proof-of-concept trials. The Company determined the GDF15 receptor agonist program license and small molecule program license are not distinct from the research and development services, resulting in these items being combined into a single performance obligation.</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 attached to the exercise of such options approximated the SSP of the promised goods or services included in the options. Therefore, the options do not give rise to material rights, are not performance obligations in the Collaboration Agreement and, if and when exercised, will be accounted for as separate arrangements under ASC 606.</w:t>
      </w:r>
    </w:p>
    <w:p>
      <w:pPr>
        <w:spacing w:after="0" w:line="97" w:lineRule="exact"/>
        <w:rPr>
          <w:sz w:val="20"/>
          <w:szCs w:val="20"/>
          <w:color w:val="auto"/>
        </w:rPr>
      </w:pPr>
    </w:p>
    <w:p>
      <w:pPr>
        <w:jc w:val="both"/>
        <w:ind w:firstLine="901"/>
        <w:spacing w:after="0" w:line="241"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Collaboration Agreement is comprised of the up-front payment and the ongoing research and development reimbursements.</w:t>
      </w:r>
    </w:p>
    <w:p>
      <w:pPr>
        <w:spacing w:after="0" w:line="9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Any fees associated with options, including upfront fees, funding fees and milestones, are not included in the transaction price as they are associated with options that are not material rights and, thus, are not performance obligations within the Collaboration Agreement. For example, in November 2018, Merck exercised its option for a license to further research and develop MK-3655 and other FGFR1c/KLB agonists and paid the Company a $20.0 million fee. The $20.0 million license fee for MK-3655 was not included in the transaction price and was instead recognized in the period of exercise in the fourth quarter of 2018 as the Company had no further obligation related to that license. The Phase 3 clinical study for MK-3655 has not begun, and the Company has not made an election as to whether it will participate in the cost and profit share or receive milestone and royalty payments. The amounts do not impact the estimated transaction price associated with the single performance obligation identified in the Collaboration Agreement.</w:t>
      </w:r>
    </w:p>
    <w:p>
      <w:pPr>
        <w:spacing w:after="0" w:line="100"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The transaction price associated with the initial five-year term of the Collaboration Agreement consisted of the $94.0 million upfront fee and the funding amounts of up to $75.0 million per year for each of the first five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7" w:name="page148"/>
    <w:bookmarkEnd w:id="147"/>
    <w:p>
      <w:pPr>
        <w:jc w:val="both"/>
        <w:ind w:right="20"/>
        <w:spacing w:after="0" w:line="238" w:lineRule="auto"/>
        <w:rPr>
          <w:sz w:val="20"/>
          <w:szCs w:val="20"/>
          <w:color w:val="auto"/>
        </w:rPr>
      </w:pPr>
      <w:r>
        <w:rPr>
          <w:rFonts w:ascii="Arial" w:cs="Arial" w:eastAsia="Arial" w:hAnsi="Arial"/>
          <w:sz w:val="18"/>
          <w:szCs w:val="18"/>
          <w:color w:val="auto"/>
        </w:rPr>
        <w:t>years of the Collaboration Agreement. No milestones or other forms of consideration were included in the transaction price as those amounts are contingent upon Merck exercising an option for licenses on additional compounds and would, therefore, be pursuant to separate arrangements and were not part of the Collaboration Agreement estimated transaction price. As there was only one performance obligation in the Collaboration Agreement, the transaction price was allocated entirely to that performance obligation.</w:t>
      </w:r>
    </w:p>
    <w:p>
      <w:pPr>
        <w:spacing w:after="0" w:line="97"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At the end of the initial five-year term of the Collaboration Agreement, the remaining contract liability amount of $4.9 million related to the upfront license fee included within the transaction price as of December 31, 2019 was fully earned and recognized during the three months ended March 31, 2020. The Company has fully recognized revenue of approximately $388.1 million related to the single performance obligation associated with the initial five-year term of the Collaboration Agreement.</w:t>
      </w:r>
    </w:p>
    <w:p>
      <w:pPr>
        <w:spacing w:after="0" w:line="97" w:lineRule="exact"/>
        <w:rPr>
          <w:sz w:val="20"/>
          <w:szCs w:val="20"/>
          <w:color w:val="auto"/>
        </w:rPr>
      </w:pPr>
    </w:p>
    <w:p>
      <w:pPr>
        <w:jc w:val="both"/>
        <w:ind w:right="20" w:firstLine="802"/>
        <w:spacing w:after="0" w:line="235" w:lineRule="auto"/>
        <w:rPr>
          <w:sz w:val="20"/>
          <w:szCs w:val="20"/>
          <w:color w:val="auto"/>
        </w:rPr>
      </w:pPr>
      <w:r>
        <w:rPr>
          <w:rFonts w:ascii="Arial" w:cs="Arial" w:eastAsia="Arial" w:hAnsi="Arial"/>
          <w:sz w:val="18"/>
          <w:szCs w:val="18"/>
          <w:color w:val="auto"/>
        </w:rPr>
        <w:t>Upon Merck exercising its option to extend the research phase of the collaboration through March 16, 2022, the Company deemed that a separate arrangement containing a distinct two-year performance obligation to provide distinct research and development services was created on March 17, 2020 in accordance with ASC 606. The transaction price of $170.0 million for this two-year performance obligation consists of the potential funding amounts of up to $75.0 million per year plus the additional funding amount of $ 20.0 million to be made during 2021 and in the first quarter of 2022 if the Company exceeds the $75.0 million funding cap. The Company also uses a cost-based input method to calculate the corresponding amount of revenue to recognize. In applying the cost-based input measure of revenue recognition, the Company measures actual costs incurred relative to budgeted costs to fulfill this distinct two-year performance obligation. These costs consist of full-time equivalent hours plus allowable external (third-party) costs incurred. Revenue is recognized based on actual costs incurred as a percentage of total budgeted costs as the Company completes its performance obligation applied to the transaction price. The Company re-evaluates the estimate of expected costs to satisfy the performance obligation each reporting period and makes adjustments for any significant changes. In addition, the Company also considers any necessary adjustments in an effort to ensure that the transaction price is within the range of potential funding amounts as described above. As such, management applies considerable judgment in estimating expected costs as such costs are key inputs when applying the cost-based input method. As the Company’s estimated measure of progress is updated at each reporting period and revenue is recognized on a cumulative catch-up basis, a significant change in the estimate of expected costs for the remainder of the contract term could have a material impact on revenue recognized (including the possible reversal of previously recognized revenue) at each reporting period, as well as the related impact on contract assets and liabilities.</w:t>
      </w:r>
    </w:p>
    <w:p>
      <w:pPr>
        <w:spacing w:after="0" w:line="105" w:lineRule="exact"/>
        <w:rPr>
          <w:sz w:val="20"/>
          <w:szCs w:val="20"/>
          <w:color w:val="auto"/>
        </w:rPr>
      </w:pPr>
    </w:p>
    <w:p>
      <w:pPr>
        <w:jc w:val="both"/>
        <w:ind w:right="20" w:firstLine="802"/>
        <w:spacing w:after="0"/>
        <w:rPr>
          <w:sz w:val="20"/>
          <w:szCs w:val="20"/>
          <w:color w:val="auto"/>
        </w:rPr>
      </w:pPr>
      <w:r>
        <w:rPr>
          <w:rFonts w:ascii="Arial" w:cs="Arial" w:eastAsia="Arial" w:hAnsi="Arial"/>
          <w:sz w:val="18"/>
          <w:szCs w:val="18"/>
          <w:color w:val="auto"/>
        </w:rPr>
        <w:t>Since the transaction price includes an additional funding amount of $20.0 million to be made during 2021 and in the first quarter of 2022, the timing of when the revenue is recognized for this additional funding amount for performance of the services and when this additional funding amount can be billed resulted in the recognition of a related party contract asset, at December 31, 2020, of $6.1 million. As of December 31, 2019, the Company reported contract liabilities related to the single performance obligation in the Collaboration Agreement of $4.9 million. Of the amount recognized for the adoption of ASC 606 in the reporting period ended December 31, 2019, $6.2 million was included in contract liabilities at the end of the prior reporting period.</w:t>
      </w:r>
    </w:p>
    <w:p>
      <w:pPr>
        <w:spacing w:after="0" w:line="95"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the Company’s common stock in a separate private placement concurrent with the completion of the Company’s IPO at a price per share equal to the public offering price of $ 16.00, resulting in Merck owning approximately 19.9% of the Company’s outstanding shares of common stock following the completion of the IPO.</w:t>
      </w:r>
    </w:p>
    <w:p>
      <w:pPr>
        <w:spacing w:after="0" w:line="97"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6"/>
              <w:spacing w:after="0"/>
              <w:rPr>
                <w:sz w:val="20"/>
                <w:szCs w:val="20"/>
                <w:color w:val="auto"/>
              </w:rPr>
            </w:pPr>
            <w:r>
              <w:rPr>
                <w:rFonts w:ascii="Arial" w:cs="Arial" w:eastAsia="Arial" w:hAnsi="Arial"/>
                <w:sz w:val="16"/>
                <w:szCs w:val="16"/>
                <w:b w:val="1"/>
                <w:bCs w:val="1"/>
                <w:color w:val="auto"/>
                <w:w w:val="97"/>
              </w:rPr>
              <w:t>First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6"/>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Third</w:t>
            </w:r>
          </w:p>
        </w:tc>
        <w:tc>
          <w:tcPr>
            <w:tcW w:w="20" w:type="dxa"/>
            <w:vAlign w:val="bottom"/>
          </w:tcPr>
          <w:p>
            <w:pPr>
              <w:spacing w:after="0"/>
              <w:rPr>
                <w:sz w:val="16"/>
                <w:szCs w:val="16"/>
                <w:color w:val="auto"/>
              </w:rPr>
            </w:pPr>
          </w:p>
        </w:tc>
      </w:tr>
      <w:tr>
        <w:trPr>
          <w:trHeight w:val="207"/>
        </w:trPr>
        <w:tc>
          <w:tcPr>
            <w:tcW w:w="5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6"/>
              <w:spacing w:after="0"/>
              <w:rPr>
                <w:sz w:val="20"/>
                <w:szCs w:val="20"/>
                <w:color w:val="auto"/>
              </w:rPr>
            </w:pPr>
            <w:r>
              <w:rPr>
                <w:rFonts w:ascii="Arial" w:cs="Arial" w:eastAsia="Arial" w:hAnsi="Arial"/>
                <w:sz w:val="16"/>
                <w:szCs w:val="16"/>
                <w:b w:val="1"/>
                <w:bCs w:val="1"/>
                <w:color w:val="auto"/>
              </w:rPr>
              <w:t>Indication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6"/>
              <w:spacing w:after="0"/>
              <w:rPr>
                <w:sz w:val="20"/>
                <w:szCs w:val="20"/>
                <w:color w:val="auto"/>
              </w:rPr>
            </w:pPr>
            <w:r>
              <w:rPr>
                <w:rFonts w:ascii="Arial" w:cs="Arial" w:eastAsia="Arial" w:hAnsi="Arial"/>
                <w:sz w:val="16"/>
                <w:szCs w:val="16"/>
                <w:b w:val="1"/>
                <w:bCs w:val="1"/>
                <w:color w:val="auto"/>
              </w:rPr>
              <w:t>Indication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Indication</w:t>
            </w:r>
          </w:p>
        </w:tc>
        <w:tc>
          <w:tcPr>
            <w:tcW w:w="20" w:type="dxa"/>
            <w:vAlign w:val="bottom"/>
          </w:tcPr>
          <w:p>
            <w:pPr>
              <w:spacing w:after="0"/>
              <w:rPr>
                <w:sz w:val="18"/>
                <w:szCs w:val="18"/>
                <w:color w:val="auto"/>
              </w:rPr>
            </w:pPr>
          </w:p>
        </w:tc>
      </w:tr>
      <w:tr>
        <w:trPr>
          <w:trHeight w:val="209"/>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w:t>
            </w:r>
          </w:p>
        </w:tc>
        <w:tc>
          <w:tcPr>
            <w:tcW w:w="1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3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the first Phase 3 clinical trial for such product for the given</w:t>
            </w: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indication</w:t>
            </w:r>
          </w:p>
        </w:tc>
        <w:tc>
          <w:tcPr>
            <w:tcW w:w="14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4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432"/>
        </w:trPr>
        <w:tc>
          <w:tcPr>
            <w:tcW w:w="5340" w:type="dxa"/>
            <w:vAlign w:val="bottom"/>
          </w:tcPr>
          <w:p>
            <w:pPr>
              <w:spacing w:after="0"/>
              <w:rPr>
                <w:sz w:val="24"/>
                <w:szCs w:val="24"/>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148" w:name="page149"/>
    <w:bookmarkEnd w:id="148"/>
    <w:p>
      <w:pPr>
        <w:jc w:val="both"/>
        <w:ind w:right="20" w:firstLine="802"/>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various regulatory events for each of the three indications, for each of the three geographic areas,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0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European Union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09"/>
        </w:trPr>
        <w:tc>
          <w:tcPr>
            <w:tcW w:w="28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Collaboration Revenue</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00" w:type="dxa"/>
            <w:vAlign w:val="bottom"/>
            <w:tcBorders>
              <w:bottom w:val="single" w:sz="8" w:color="CFF0FC"/>
            </w:tcBorders>
          </w:tcPr>
          <w:p>
            <w:pPr>
              <w:spacing w:after="0"/>
              <w:rPr>
                <w:sz w:val="18"/>
                <w:szCs w:val="18"/>
                <w:color w:val="auto"/>
              </w:rPr>
            </w:pPr>
          </w:p>
        </w:tc>
        <w:tc>
          <w:tcPr>
            <w:tcW w:w="24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100" w:type="dxa"/>
            <w:vAlign w:val="bottom"/>
            <w:shd w:val="clear" w:color="auto" w:fill="CFF0FC"/>
          </w:tcPr>
          <w:p>
            <w:pPr>
              <w:spacing w:after="0"/>
              <w:rPr>
                <w:sz w:val="18"/>
                <w:szCs w:val="18"/>
                <w:color w:val="auto"/>
              </w:rPr>
            </w:pPr>
          </w:p>
        </w:tc>
      </w:tr>
    </w:tbl>
    <w:p>
      <w:pPr>
        <w:spacing w:after="0" w:line="107"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For the year ended December 31, 2020, the Company recognized collaboration and license revenue under the Collaboration Agreement of $87.4 million primarily related to reimbursable research and development activities, including $61.8 million associated with the performance obligation for the two-year extension period, and $4.9 million related to collaboration and license revenue earned under the initial five-year term that ended in March 2020. Revenue recognized related to the reimbursable research and development activities were recognized using the cost-based input model related to research and development activities.</w:t>
      </w:r>
    </w:p>
    <w:p>
      <w:pPr>
        <w:spacing w:after="0" w:line="94" w:lineRule="exact"/>
        <w:rPr>
          <w:sz w:val="20"/>
          <w:szCs w:val="20"/>
          <w:color w:val="auto"/>
        </w:rPr>
      </w:pPr>
    </w:p>
    <w:p>
      <w:pPr>
        <w:jc w:val="both"/>
        <w:ind w:right="20" w:firstLine="802"/>
        <w:spacing w:after="0" w:line="248" w:lineRule="auto"/>
        <w:rPr>
          <w:sz w:val="20"/>
          <w:szCs w:val="20"/>
          <w:color w:val="auto"/>
        </w:rPr>
      </w:pPr>
      <w:r>
        <w:rPr>
          <w:rFonts w:ascii="Arial" w:cs="Arial" w:eastAsia="Arial" w:hAnsi="Arial"/>
          <w:sz w:val="18"/>
          <w:szCs w:val="18"/>
          <w:color w:val="auto"/>
        </w:rPr>
        <w:t>For the year ended December 31, 2019, the Company recognized collaboration and license revenue under the Collaboration Agreement of $103.5 million, of which $ 24.0 million was recognized from the upfront license fee by applying the cost-based input measure of revenue recognition in accordance with ASC 606 and the remaining balance related to research and development activities.</w:t>
      </w:r>
    </w:p>
    <w:p>
      <w:pPr>
        <w:spacing w:after="0" w:line="87"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For the year ended December 31, 2018, the Company recognized collaboration and license revenue under the Collaboration Agreement of $108.7 million, which was comprised of $18.8 million of amortized upfront payments, $20.0 million related to the licensing of MK-3655 and the remaining balance related to research and develop activities reimbursed by Merck provided under the Collaboration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126" w:lineRule="exact"/>
        <w:rPr>
          <w:sz w:val="20"/>
          <w:szCs w:val="20"/>
          <w:color w:val="auto"/>
        </w:rPr>
      </w:pPr>
    </w:p>
    <w:p>
      <w:pPr>
        <w:jc w:val="both"/>
        <w:ind w:right="20" w:firstLine="802"/>
        <w:spacing w:after="0" w:line="237"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consolidated balance sheets. If the related performance obligation is expected to be satisfied within the next twelve months, the contract liability will be classified in current liabilities. Amounts recognized as revenue prior to the Company having an unconditional right (other than a right that is conditioned only on the passage of time) to receipt are recorded as contract assets in the Company's consolidated balance sheets. If the Company expects to have an unconditional right to receive the consideration in the next twelve months, the contract asset will be classified in current assets.</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Changes in contract liabilities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4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Adoption of ASC 606</w:t>
            </w:r>
          </w:p>
        </w:tc>
        <w:tc>
          <w:tcPr>
            <w:tcW w:w="43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4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Revenue recognized included in the contract</w:t>
            </w:r>
          </w:p>
        </w:tc>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00"/>
              <w:spacing w:after="0" w:line="203" w:lineRule="exact"/>
              <w:rPr>
                <w:sz w:val="20"/>
                <w:szCs w:val="20"/>
                <w:color w:val="auto"/>
              </w:rPr>
            </w:pPr>
            <w:r>
              <w:rPr>
                <w:rFonts w:ascii="Arial" w:cs="Arial" w:eastAsia="Arial" w:hAnsi="Arial"/>
                <w:sz w:val="18"/>
                <w:szCs w:val="18"/>
                <w:color w:val="auto"/>
              </w:rPr>
              <w:t>liability balance at the beginning of the period</w:t>
            </w:r>
          </w:p>
        </w:tc>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(24,251)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3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Revenue recognized through March 16, 2020</w:t>
            </w:r>
          </w:p>
        </w:tc>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(4,872)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4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4300" w:type="dxa"/>
            <w:vAlign w:val="bottom"/>
            <w:tcBorders>
              <w:top w:val="single" w:sz="8" w:color="CFF0FC"/>
              <w:bottom w:val="single" w:sz="8" w:color="CFF0FC"/>
            </w:tcBorders>
            <w:vMerge w:val="restart"/>
          </w:tcPr>
          <w:p>
            <w:pPr>
              <w:jc w:val="right"/>
              <w:ind w:right="3030"/>
              <w:spacing w:after="0"/>
              <w:rPr>
                <w:sz w:val="20"/>
                <w:szCs w:val="20"/>
                <w:color w:val="auto"/>
              </w:rPr>
            </w:pPr>
            <w:r>
              <w:rPr>
                <w:rFonts w:ascii="Arial" w:cs="Arial" w:eastAsia="Arial" w:hAnsi="Arial"/>
                <w:sz w:val="18"/>
                <w:szCs w:val="18"/>
                <w:color w:val="auto"/>
              </w:rPr>
              <w:t>147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0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49" w:name="page150"/>
    <w:bookmarkEnd w:id="149"/>
    <w:p>
      <w:pPr>
        <w:jc w:val="both"/>
        <w:ind w:firstLine="802"/>
        <w:spacing w:after="0" w:line="246" w:lineRule="auto"/>
        <w:rPr>
          <w:sz w:val="20"/>
          <w:szCs w:val="20"/>
          <w:color w:val="auto"/>
        </w:rPr>
      </w:pPr>
      <w:r>
        <w:rPr>
          <w:rFonts w:ascii="Arial" w:cs="Arial" w:eastAsia="Arial" w:hAnsi="Arial"/>
          <w:sz w:val="18"/>
          <w:szCs w:val="18"/>
          <w:color w:val="auto"/>
        </w:rPr>
        <w:t>As of December 31, 2020, the Company recorded a related party contract asset of $6.1 million related to the portion of revenue recognized prior to having an unconditional right to receipt under the Company’s Collaboration Agreement with Merck.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December 2015, the Company entered into an operating lease for its corporate office space and laboratory facility at 333 Oyster Point Blvd, South San Francisco, California for approximately 122,000 square feet that expires in December 2023. The lease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has recorded as non-current restricted cash on the consolidated balance sheets. The Company has the right to reduce the letter of credit amount by $0.4 million on each of the third anniversary and fourth anniversary of the rent commencement date. For the year ended December 31, 2020, the Company reduced its letter of credit by $0.4 million and reclassified that amount from restricted cash to cash and cash equivalents on the consolidated balance sheets.</w:t>
      </w:r>
    </w:p>
    <w:p>
      <w:pPr>
        <w:spacing w:after="0" w:line="10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for approximately 50,000 square feet, as amended in June 2014. In July 2016, the Company assigned the operating lease of 630 Gateway to Merck, as part of the Company’s relocation to 333 Oyster Point. The operating lease expired in November 2020. Following expiration of the operating lease, the Company retains the obligation to indemnify the landlord and Merck under certain limited circumstances, but has no further payment obligations.</w:t>
      </w:r>
    </w:p>
    <w:p>
      <w:pPr>
        <w:spacing w:after="0" w:line="9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$2.2 million for the years ended December 31, 2020, 2019 and 2018, respectively.</w:t>
      </w:r>
    </w:p>
    <w:p>
      <w:pPr>
        <w:spacing w:after="0" w:line="205"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December 31, 2020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FF0FC"/>
          </w:tcPr>
          <w:p>
            <w:pPr>
              <w:spacing w:after="0"/>
              <w:rPr>
                <w:sz w:val="18"/>
                <w:szCs w:val="18"/>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15,890</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7. Stockholders’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to fix the number, rights, preferences, privileges and restrictions. These rights, preferences and privileges could include dividend rights, conversion rights, voting rights, terms of redemption, liquidation preferences and sinking fund terms. As of December 31, 2020, the Company does not have any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As of December 31, 2020 and 2019, the Company had 70,585,364 and 66,960,279 shares of common stock outstanding, respectively, which included shares subject to repurchase of 6,508 and 74,454, respectively, as a result of early exercise of stock options not yet vested.</w:t>
      </w:r>
    </w:p>
    <w:p>
      <w:pPr>
        <w:spacing w:after="0" w:line="9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had reserved the following shares of common stock for issuance:</w:t>
      </w:r>
    </w:p>
    <w:p>
      <w:pPr>
        <w:spacing w:after="0" w:line="370"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28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280" w:type="dxa"/>
            <w:vAlign w:val="bottom"/>
            <w:tcBorders>
              <w:bottom w:val="single" w:sz="8" w:color="auto"/>
            </w:tcBorders>
          </w:tcPr>
          <w:p>
            <w:pPr>
              <w:jc w:val="right"/>
              <w:ind w:right="8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Reserve balance for Sales Agreement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14,190,300</w:t>
            </w:r>
          </w:p>
        </w:tc>
        <w:tc>
          <w:tcPr>
            <w:tcW w:w="36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Common stock options outstanding</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10,017,918</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10,824,780</w:t>
            </w:r>
          </w:p>
        </w:tc>
        <w:tc>
          <w:tcPr>
            <w:tcW w:w="120" w:type="dxa"/>
            <w:vAlign w:val="bottom"/>
          </w:tcPr>
          <w:p>
            <w:pPr>
              <w:spacing w:after="0"/>
              <w:rPr>
                <w:sz w:val="18"/>
                <w:szCs w:val="18"/>
                <w:color w:val="auto"/>
              </w:rPr>
            </w:pPr>
          </w:p>
        </w:tc>
      </w:tr>
      <w:tr>
        <w:trPr>
          <w:trHeight w:val="216"/>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options available for grant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6,186,497</w:t>
            </w:r>
          </w:p>
        </w:tc>
        <w:tc>
          <w:tcPr>
            <w:tcW w:w="36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12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ESPP shares available for purchase</w:t>
            </w:r>
          </w:p>
        </w:tc>
        <w:tc>
          <w:tcPr>
            <w:tcW w:w="940" w:type="dxa"/>
            <w:vAlign w:val="bottom"/>
          </w:tcPr>
          <w:p>
            <w:pPr>
              <w:jc w:val="right"/>
              <w:spacing w:after="0"/>
              <w:rPr>
                <w:sz w:val="20"/>
                <w:szCs w:val="20"/>
                <w:color w:val="auto"/>
              </w:rPr>
            </w:pPr>
            <w:r>
              <w:rPr>
                <w:rFonts w:ascii="Arial" w:cs="Arial" w:eastAsia="Arial" w:hAnsi="Arial"/>
                <w:sz w:val="18"/>
                <w:szCs w:val="18"/>
                <w:color w:val="auto"/>
              </w:rPr>
              <w:t>700,074</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897,255</w:t>
            </w:r>
          </w:p>
        </w:tc>
        <w:tc>
          <w:tcPr>
            <w:tcW w:w="12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1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21,930</w:t>
            </w:r>
          </w:p>
        </w:tc>
        <w:tc>
          <w:tcPr>
            <w:tcW w:w="360" w:type="dxa"/>
            <w:vAlign w:val="bottom"/>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120" w:type="dxa"/>
            <w:vAlign w:val="bottom"/>
            <w:shd w:val="clear" w:color="auto" w:fill="CFF0FC"/>
          </w:tcPr>
          <w:p>
            <w:pPr>
              <w:spacing w:after="0"/>
              <w:rPr>
                <w:sz w:val="18"/>
                <w:szCs w:val="18"/>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31,116,719</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17,066,375</w:t>
            </w:r>
          </w:p>
        </w:tc>
        <w:tc>
          <w:tcPr>
            <w:tcW w:w="12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26"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In December 2020, under the Sales Agreement, the Company sold 809,700 shares of its common stock at an average price of $27.94 per share for net proceeds of $ 21.9 million, after deducting $0.7 million in sales commissions. In with connection with the transaction, the Company reclassified $0.6 million in deferred offering cost from other assets to equity. As of December 31, 2020, $127.4 million of the Company’s common stock remained available to be sold under the Sales Agreement, subject to certain conditions as specified in the Sales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2018, the Company adopted the 2018 Equity Incentive Plan, or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December 31, 2020, 17,874,624 shares of common stock had been authorized for issuance under the 2018 Plan. Pursuant to the terms of the 2018 Plan, the number of shares reserved and available to issue will automatically increase on January 1st of each year in an amount equal to 4% of the total number of common shares outstanding on the December 31st immediately preceding calendar year, unless the board of directors elects to forego or reduce such increase. The Company’s 2008 Equity Incentive Plan expired at the beginning of 2018.</w:t>
      </w:r>
    </w:p>
    <w:p>
      <w:pPr>
        <w:spacing w:after="0" w:line="99"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Stock options are governed by stock option agreements between the Company and recipients of stock options. Prior to the closing of the Company’s IPO, the board of directors exercised reasonable judgment and considered a number of objective and subjective factors to determine the best estimate of the fair value of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1" w:name="page152"/>
    <w:bookmarkEnd w:id="151"/>
    <w:p>
      <w:pPr>
        <w:jc w:val="both"/>
        <w:spacing w:after="0" w:line="236" w:lineRule="auto"/>
        <w:rPr>
          <w:sz w:val="20"/>
          <w:szCs w:val="20"/>
          <w:color w:val="auto"/>
        </w:rPr>
      </w:pPr>
      <w:r>
        <w:rPr>
          <w:rFonts w:ascii="Arial" w:cs="Arial" w:eastAsia="Arial" w:hAnsi="Arial"/>
          <w:sz w:val="18"/>
          <w:szCs w:val="18"/>
          <w:color w:val="auto"/>
        </w:rPr>
        <w:t>Company’s common stock, including the Company’s stage of development; progress of its research and development efforts; the rights, preferences and privileges of its convertible preferred stock relative to those of its common stock; equity market conditions affecting comparable companies; and the lack of marketability of the Company’s common stock. Subsequent to the IPO, the exercise price of each option may not be less than 100% of the fair market value of the common stock subject to the option on the date the option is granted. A 10% or greater stockholder may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of the Company’s board of directors, provided that the term of incentive stock options may not exceed ten years from the date of grant for options granted to those other than 10%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In March 2019, the Company adopted the ESPP. The Company reserved 1,000,000 shares of common stock pursuant to purchase rights granted to the Company’s employees. The ESPP provides that the number of shares reserved and available for issuance will automatically increase on January 1 of each calendar year, beginning January 1, 2020, by the lesser of (1) 1.0% of the total number of shares of common stock outstanding on December 31 of the preceding calendar year, (2) 1,000,000 shares or (3) a number determined by the Company’s board of directors that is less than (1) and (2). Under the ESPP, eligible employees are granted options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2019 ESPP is considered a compensatory plan and the Company has recorded stock-based compensation expense of $1.2 million and $1.0 million for the years ended December 31, 2020 and 2019, respectively. As of December 31, 2020, 299,926 shares of common stock had been purchased under the ESPP.</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40"/>
              <w:spacing w:after="0"/>
              <w:rPr>
                <w:sz w:val="20"/>
                <w:szCs w:val="20"/>
                <w:color w:val="auto"/>
              </w:rPr>
            </w:pPr>
            <w:r>
              <w:rPr>
                <w:rFonts w:ascii="Arial" w:cs="Arial" w:eastAsia="Arial" w:hAnsi="Arial"/>
                <w:sz w:val="15"/>
                <w:szCs w:val="15"/>
                <w:b w:val="1"/>
                <w:bCs w:val="1"/>
                <w:color w:val="auto"/>
              </w:rPr>
              <w:t>Outstanding Options</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Weighted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rPr>
              <w:t>Average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Weighted</w:t>
            </w:r>
          </w:p>
        </w:tc>
        <w:tc>
          <w:tcPr>
            <w:tcW w:w="12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rPr>
              <w:t>Remaining</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34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rPr>
              <w:t>Options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Average</w:t>
            </w:r>
          </w:p>
        </w:tc>
        <w:tc>
          <w:tcPr>
            <w:tcW w:w="12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rPr>
              <w:t>Contractual</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34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rPr>
              <w:t>Available</w:t>
            </w:r>
          </w:p>
        </w:tc>
        <w:tc>
          <w:tcPr>
            <w:tcW w:w="1380" w:type="dxa"/>
            <w:vAlign w:val="bottom"/>
            <w:gridSpan w:val="2"/>
          </w:tcPr>
          <w:p>
            <w:pPr>
              <w:jc w:val="right"/>
              <w:ind w:right="420"/>
              <w:spacing w:after="0" w:line="162" w:lineRule="exact"/>
              <w:rPr>
                <w:sz w:val="20"/>
                <w:szCs w:val="20"/>
                <w:color w:val="auto"/>
              </w:rPr>
            </w:pPr>
            <w:r>
              <w:rPr>
                <w:rFonts w:ascii="Arial" w:cs="Arial" w:eastAsia="Arial" w:hAnsi="Arial"/>
                <w:sz w:val="15"/>
                <w:szCs w:val="15"/>
                <w:b w:val="1"/>
                <w:bCs w:val="1"/>
                <w:color w:val="auto"/>
              </w:rPr>
              <w:t>Number of</w:t>
            </w:r>
          </w:p>
        </w:tc>
        <w:tc>
          <w:tcPr>
            <w:tcW w:w="160" w:type="dxa"/>
            <w:vAlign w:val="bottom"/>
          </w:tcPr>
          <w:p>
            <w:pPr>
              <w:spacing w:after="0"/>
              <w:rPr>
                <w:sz w:val="14"/>
                <w:szCs w:val="14"/>
                <w:color w:val="auto"/>
              </w:rPr>
            </w:pPr>
          </w:p>
        </w:tc>
        <w:tc>
          <w:tcPr>
            <w:tcW w:w="120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Exercise</w:t>
            </w:r>
          </w:p>
        </w:tc>
        <w:tc>
          <w:tcPr>
            <w:tcW w:w="12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7"/>
              </w:rPr>
              <w:t>Life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rPr>
              <w:t>for Grant</w:t>
            </w:r>
          </w:p>
        </w:tc>
        <w:tc>
          <w:tcPr>
            <w:tcW w:w="13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Options</w:t>
            </w:r>
          </w:p>
        </w:tc>
        <w:tc>
          <w:tcPr>
            <w:tcW w:w="1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7"/>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(in Years)</w:t>
            </w:r>
          </w:p>
        </w:tc>
        <w:tc>
          <w:tcPr>
            <w:tcW w:w="13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10"/>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118,770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60"/>
              <w:spacing w:after="0"/>
              <w:rPr>
                <w:sz w:val="20"/>
                <w:szCs w:val="20"/>
                <w:color w:val="auto"/>
              </w:rPr>
            </w:pPr>
            <w:r>
              <w:rPr>
                <w:rFonts w:ascii="Arial" w:cs="Arial" w:eastAsia="Arial" w:hAnsi="Arial"/>
                <w:sz w:val="18"/>
                <w:szCs w:val="18"/>
                <w:color w:val="auto"/>
              </w:rPr>
              <w:t>Additional shares reserved</w:t>
            </w:r>
          </w:p>
        </w:tc>
        <w:tc>
          <w:tcPr>
            <w:tcW w:w="1120" w:type="dxa"/>
            <w:vAlign w:val="bottom"/>
          </w:tcPr>
          <w:p>
            <w:pPr>
              <w:jc w:val="right"/>
              <w:spacing w:after="0"/>
              <w:rPr>
                <w:sz w:val="20"/>
                <w:szCs w:val="20"/>
                <w:color w:val="auto"/>
              </w:rPr>
            </w:pPr>
            <w:r>
              <w:rPr>
                <w:rFonts w:ascii="Arial" w:cs="Arial" w:eastAsia="Arial" w:hAnsi="Arial"/>
                <w:sz w:val="18"/>
                <w:szCs w:val="18"/>
                <w:color w:val="auto"/>
              </w:rPr>
              <w:t>2,678,411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(2,576,501)</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2,576,501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(2,614,842)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cancelled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(768,521)</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6,186,497</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10,017,918</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198,097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December 31, 2020</w:t>
            </w:r>
          </w:p>
        </w:tc>
        <w:tc>
          <w:tcPr>
            <w:tcW w:w="1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9,872,681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10.44</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6.41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196,065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auto"/>
              </w:rPr>
              <w:t>Outstanding and exercisable at December 31, 2020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10,017,918</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10.52</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198,097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22"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52" w:name="page153"/>
    <w:bookmarkEnd w:id="152"/>
    <w:p>
      <w:pPr>
        <w:jc w:val="both"/>
        <w:ind w:right="20"/>
        <w:spacing w:after="0" w:line="238" w:lineRule="auto"/>
        <w:rPr>
          <w:sz w:val="20"/>
          <w:szCs w:val="20"/>
          <w:color w:val="auto"/>
        </w:rPr>
      </w:pPr>
      <w:r>
        <w:rPr>
          <w:rFonts w:ascii="Arial" w:cs="Arial" w:eastAsia="Arial" w:hAnsi="Arial"/>
          <w:sz w:val="18"/>
          <w:szCs w:val="18"/>
          <w:color w:val="auto"/>
        </w:rPr>
        <w:t>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97"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As of December 31, 2020, there were 6,508 shares of common stock outstanding subject to the Company’s right of repurchase at prices ranging from $7.70 to $8.14 per share. At December 31, 2019, there were 74,454 shares of common stock outstanding subject to the Company’s right of repurchase at prices ranging from $7.64 to $8.14 per share. As of December 31, 2020 and 2019, the Company recorded $0.1 million and $0.6 million, respectively, as early exercise stock option liabilities associated with shares issued with repurchase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230"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Employee and director stock-based compensation expense was calculated based on awards ultimately expected to vest and has been reduced for estimated forfeitures. The Company estimates forfeiture rates based on historical stock option grants and cancellations.</w:t>
      </w:r>
    </w:p>
    <w:p>
      <w:pPr>
        <w:spacing w:after="0" w:line="197"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Stock-based compensation expense related to stock-based payment awards to employees and directors was allocated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6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8,145</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7,145</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FF0FC"/>
            </w:tcBorders>
          </w:tcPr>
          <w:p>
            <w:pPr>
              <w:spacing w:after="0"/>
              <w:rPr>
                <w:sz w:val="18"/>
                <w:szCs w:val="18"/>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3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15,457</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12,729</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FF0FC"/>
          </w:tcPr>
          <w:p>
            <w:pPr>
              <w:spacing w:after="0"/>
              <w:rPr>
                <w:sz w:val="18"/>
                <w:szCs w:val="18"/>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w:t>
      </w:r>
    </w:p>
    <w:p>
      <w:pPr>
        <w:spacing w:after="0" w:line="230"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5" w:lineRule="exact"/>
        <w:rPr>
          <w:sz w:val="20"/>
          <w:szCs w:val="20"/>
          <w:color w:val="auto"/>
        </w:rPr>
      </w:pPr>
    </w:p>
    <w:p>
      <w:pPr>
        <w:jc w:val="both"/>
        <w:ind w:right="20" w:firstLine="802"/>
        <w:spacing w:after="0" w:line="237" w:lineRule="auto"/>
        <w:rPr>
          <w:sz w:val="20"/>
          <w:szCs w:val="20"/>
          <w:color w:val="auto"/>
        </w:rPr>
      </w:pPr>
      <w:r>
        <w:rPr>
          <w:rFonts w:ascii="Arial" w:cs="Arial" w:eastAsia="Arial" w:hAnsi="Arial"/>
          <w:sz w:val="18"/>
          <w:szCs w:val="18"/>
          <w:color w:val="auto"/>
        </w:rPr>
        <w:t>The expected volatility is based on the historical volatility of the stock of similar entities within the Company’s industry over periods commensurate with the Company’s expected term assumption. The expected term of stock option grants represents the weighted-average period the options are expected to remain outstanding and is based on the “simplified” method where the expected term is the midpoint between the vesting date and the end of the contractual term for each option. The Company bases the risk-free interest rate on the interest rate payable on U.S. Treasury securities in effect at the time of grant for a period that is commensurate with the assumed expected option term. In reference to the expected dividend yield assumption, the Company has not historically paid, and does not expect for the foreseeable future to pay, a dividend.</w:t>
      </w:r>
    </w:p>
    <w:p>
      <w:pPr>
        <w:spacing w:after="0" w:line="203"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2020, 2019 and 2018 was $10.86, $ 8.00 and $5.71 per share, respectively. The intrinsic value of stock options exercised was $40.9 million, $10.2 million and $ 1.9 million for the years ended December 31, 2020, 2019 and 2018, respectively. Due to the Company’s net operating losses, the Company did not realize any tax benefits from stock-based payment arrangements for the year ended December 31, 2020, 2019 and 2018.</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fair value of stock option awards granted to employees and directors were estimated at the date of grant using a Black-</w:t>
      </w:r>
    </w:p>
    <w:p>
      <w:pPr>
        <w:spacing w:after="0"/>
        <w:rPr>
          <w:sz w:val="20"/>
          <w:szCs w:val="20"/>
          <w:color w:val="auto"/>
        </w:rPr>
      </w:pPr>
      <w:r>
        <w:rPr>
          <w:rFonts w:ascii="Arial" w:cs="Arial" w:eastAsia="Arial" w:hAnsi="Arial"/>
          <w:sz w:val="18"/>
          <w:szCs w:val="18"/>
          <w:color w:val="auto"/>
        </w:rPr>
        <w:t>Scholes option-pricing model with the following weighted average valuation assumptions:</w:t>
      </w:r>
    </w:p>
    <w:p>
      <w:pPr>
        <w:spacing w:after="0" w:line="262"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000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w:t>
            </w:r>
          </w:p>
        </w:tc>
        <w:tc>
          <w:tcPr>
            <w:tcW w:w="10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jc w:val="right"/>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w:t>
            </w:r>
          </w:p>
        </w:tc>
        <w:tc>
          <w:tcPr>
            <w:tcW w:w="10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3"/>
          </w:tcPr>
          <w:p>
            <w:pPr>
              <w:jc w:val="right"/>
              <w:ind w:right="129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418"/>
        </w:trPr>
        <w:tc>
          <w:tcPr>
            <w:tcW w:w="5860" w:type="dxa"/>
            <w:vAlign w:val="bottom"/>
          </w:tcPr>
          <w:p>
            <w:pPr>
              <w:ind w:left="5480"/>
              <w:spacing w:after="0"/>
              <w:rPr>
                <w:sz w:val="20"/>
                <w:szCs w:val="20"/>
                <w:color w:val="auto"/>
              </w:rPr>
            </w:pPr>
            <w:r>
              <w:rPr>
                <w:rFonts w:ascii="Arial" w:cs="Arial" w:eastAsia="Arial" w:hAnsi="Arial"/>
                <w:sz w:val="18"/>
                <w:szCs w:val="18"/>
                <w:color w:val="auto"/>
              </w:rPr>
              <w:t>151</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8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153" w:name="page154"/>
    <w:bookmarkEnd w:id="153"/>
    <w:p>
      <w:pPr>
        <w:jc w:val="both"/>
        <w:ind w:right="20" w:firstLine="802"/>
        <w:spacing w:after="0" w:line="246" w:lineRule="auto"/>
        <w:rPr>
          <w:sz w:val="20"/>
          <w:szCs w:val="20"/>
          <w:color w:val="auto"/>
        </w:rPr>
      </w:pPr>
      <w:r>
        <w:rPr>
          <w:rFonts w:ascii="Arial" w:cs="Arial" w:eastAsia="Arial" w:hAnsi="Arial"/>
          <w:sz w:val="18"/>
          <w:szCs w:val="18"/>
          <w:color w:val="auto"/>
        </w:rPr>
        <w:t>As of December 31, 2020, total compensation cost not yet recognized related to unvested stock options granted to employees and directors was $29.6 million, which is expected to be recognized over a weighted-average period of 2.75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Granted to Certain Non-employees</w:t>
      </w:r>
    </w:p>
    <w:p>
      <w:pPr>
        <w:spacing w:after="0" w:line="234" w:lineRule="exact"/>
        <w:rPr>
          <w:sz w:val="20"/>
          <w:szCs w:val="20"/>
          <w:color w:val="auto"/>
        </w:rPr>
      </w:pPr>
    </w:p>
    <w:p>
      <w:pPr>
        <w:jc w:val="both"/>
        <w:ind w:right="20" w:firstLine="802"/>
        <w:spacing w:after="0" w:line="237" w:lineRule="auto"/>
        <w:rPr>
          <w:sz w:val="20"/>
          <w:szCs w:val="20"/>
          <w:color w:val="auto"/>
        </w:rPr>
      </w:pPr>
      <w:r>
        <w:rPr>
          <w:rFonts w:ascii="Arial" w:cs="Arial" w:eastAsia="Arial" w:hAnsi="Arial"/>
          <w:sz w:val="18"/>
          <w:szCs w:val="18"/>
          <w:color w:val="auto"/>
        </w:rPr>
        <w:t>The Company grants stock options to certain non-employees in exchange for services performed for the Company. The Company granted 67,500 and 22,500 options to non-employees for the years ended December 31, 2020 and 2019, respectively. For the year ended December 31, 2018, the Company did not grant any options to non-employees. Stock-based compensation expense related to stock-based payment awards to non-employees for the years ended December 31, 2020, 2019 and 2018 was $194,000, $133,000 and $103,000, respectively. As of December 31, 2020 and 2019, non-employee stock options to purchase 70,472 and 21,564 shares, respectively, remained unvested.</w:t>
      </w:r>
    </w:p>
    <w:p>
      <w:pPr>
        <w:spacing w:after="0" w:line="205"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a Black-Scholes option-pricing model with the following weighted average valuation assumptions:</w:t>
      </w:r>
    </w:p>
    <w:p>
      <w:pPr>
        <w:spacing w:after="0" w:line="247"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261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w:t>
            </w:r>
          </w:p>
        </w:tc>
        <w:tc>
          <w:tcPr>
            <w:tcW w:w="162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jc w:val="right"/>
              <w:spacing w:after="0"/>
              <w:rPr>
                <w:sz w:val="20"/>
                <w:szCs w:val="20"/>
                <w:color w:val="auto"/>
              </w:rPr>
            </w:pPr>
            <w:r>
              <w:rPr>
                <w:rFonts w:ascii="Arial" w:cs="Arial" w:eastAsia="Arial" w:hAnsi="Arial"/>
                <w:sz w:val="18"/>
                <w:szCs w:val="18"/>
                <w:color w:val="auto"/>
              </w:rPr>
              <w:t>6.02</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18"/>
                <w:szCs w:val="18"/>
                <w:color w:val="auto"/>
              </w:rPr>
            </w:pPr>
          </w:p>
        </w:tc>
        <w:tc>
          <w:tcPr>
            <w:tcW w:w="162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0.41%</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2.26%</w:t>
            </w:r>
          </w:p>
        </w:tc>
        <w:tc>
          <w:tcPr>
            <w:tcW w:w="162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3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The fair value of the rights granted to employees under the ESPP was estimated at the date of offer using a Black-Scholes option-pricing model with the following weighted average valuation assumptions:</w:t>
      </w:r>
    </w:p>
    <w:p>
      <w:pPr>
        <w:spacing w:after="0" w:line="247"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261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62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8"/>
                <w:szCs w:val="18"/>
                <w:color w:val="auto"/>
              </w:rPr>
            </w:pPr>
          </w:p>
        </w:tc>
        <w:tc>
          <w:tcPr>
            <w:tcW w:w="162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0.15%</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1.97%</w:t>
            </w:r>
          </w:p>
        </w:tc>
        <w:tc>
          <w:tcPr>
            <w:tcW w:w="162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3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w:t>
      </w:r>
    </w:p>
    <w:p>
      <w:pPr>
        <w:spacing w:after="0" w:line="166" w:lineRule="exact"/>
        <w:rPr>
          <w:sz w:val="20"/>
          <w:szCs w:val="20"/>
          <w:color w:val="auto"/>
        </w:rPr>
      </w:pPr>
    </w:p>
    <w:p>
      <w:pPr>
        <w:jc w:val="both"/>
        <w:ind w:right="20" w:firstLine="802"/>
        <w:spacing w:after="0" w:line="237"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under which the Company makes matching contributions in the form of common stock at a rate of $1.00 for each $2.00 of employee contributions up to a maximum $750 of common stock per employee per year. As of December 31, 2020 and 2019, the Company had reserved 21,930 and 28,274 shares of common stock for issuance pursuant to the 401(k) Matching Plan, respectively. Matching contributions of 6,344 and 8,477 shares, or $119,000 and $98,000, were issued for the years ended December 31, 2020 and 2019,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6" w:lineRule="exact"/>
        <w:rPr>
          <w:sz w:val="20"/>
          <w:szCs w:val="20"/>
          <w:color w:val="auto"/>
        </w:rPr>
      </w:pPr>
    </w:p>
    <w:p>
      <w:pPr>
        <w:jc w:val="both"/>
        <w:ind w:right="20" w:firstLine="802"/>
        <w:spacing w:after="0"/>
        <w:rPr>
          <w:sz w:val="20"/>
          <w:szCs w:val="20"/>
          <w:color w:val="auto"/>
        </w:rPr>
      </w:pPr>
      <w:r>
        <w:rPr>
          <w:rFonts w:ascii="Arial" w:cs="Arial" w:eastAsia="Arial" w:hAnsi="Arial"/>
          <w:sz w:val="18"/>
          <w:szCs w:val="18"/>
          <w:color w:val="auto"/>
        </w:rPr>
        <w:t>The Company has reported pre-tax operating losses for all periods presented. The Company has not reflected any benefit for corresponding tax net operating loss carryforwards in the accompanying consolidated financial statements. The Company has established a full valuation allowance against its deferred tax assets due to the uncertainty surrounding the realization of such assets.</w:t>
      </w:r>
    </w:p>
    <w:p>
      <w:pPr>
        <w:spacing w:after="0" w:line="9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30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(102,209)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(34,634)</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(8,161)</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(102,487)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(42,795)</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20" w:type="dxa"/>
            <w:vAlign w:val="bottom"/>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2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54" w:name="page155"/>
    <w:bookmarkEnd w:id="154"/>
    <w:p>
      <w:pPr>
        <w:ind w:left="80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10"/>
          </w:tcPr>
          <w:p>
            <w:pPr>
              <w:ind w:left="36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96"/>
        </w:trPr>
        <w:tc>
          <w:tcPr>
            <w:tcW w:w="6340" w:type="dxa"/>
            <w:vAlign w:val="bottom"/>
            <w:tcBorders>
              <w:bottom w:val="single" w:sz="8" w:color="CFF0FC"/>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center"/>
              <w:ind w:left="355"/>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CFF0FC"/>
            </w:tcBorders>
          </w:tcPr>
          <w:p>
            <w:pPr>
              <w:spacing w:after="0"/>
              <w:rPr>
                <w:sz w:val="17"/>
                <w:szCs w:val="17"/>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U.S. federal tax at statutory rate</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21.0  %</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109.5</w:t>
            </w:r>
          </w:p>
        </w:tc>
        <w:tc>
          <w:tcPr>
            <w:tcW w:w="32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State, net of federal benefit</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320" w:type="dxa"/>
            <w:vAlign w:val="bottom"/>
            <w:tcBorders>
              <w:left w:val="single" w:sz="8" w:color="CFF0FC"/>
            </w:tcBorders>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(434.7)</w:t>
            </w:r>
          </w:p>
        </w:tc>
      </w:tr>
      <w:tr>
        <w:trPr>
          <w:trHeight w:val="20"/>
        </w:trPr>
        <w:tc>
          <w:tcPr>
            <w:tcW w:w="63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CFF0FC"/>
          </w:tcPr>
          <w:p>
            <w:pPr>
              <w:spacing w:after="0" w:line="20" w:lineRule="exact"/>
              <w:rPr>
                <w:sz w:val="1"/>
                <w:szCs w:val="1"/>
                <w:color w:val="auto"/>
              </w:rPr>
            </w:pPr>
          </w:p>
        </w:tc>
      </w:tr>
      <w:tr>
        <w:trPr>
          <w:trHeight w:val="20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 %</w:t>
            </w:r>
          </w:p>
        </w:tc>
      </w:tr>
      <w:tr>
        <w:trPr>
          <w:trHeight w:val="20"/>
        </w:trPr>
        <w:tc>
          <w:tcPr>
            <w:tcW w:w="63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r>
        <w:trPr>
          <w:trHeight w:val="413"/>
        </w:trPr>
        <w:tc>
          <w:tcPr>
            <w:tcW w:w="7220" w:type="dxa"/>
            <w:vAlign w:val="bottom"/>
            <w:gridSpan w:val="3"/>
          </w:tcPr>
          <w:p>
            <w:pPr>
              <w:ind w:left="800"/>
              <w:spacing w:after="0"/>
              <w:rPr>
                <w:sz w:val="20"/>
                <w:szCs w:val="20"/>
                <w:color w:val="auto"/>
              </w:rPr>
            </w:pPr>
            <w:r>
              <w:rPr>
                <w:rFonts w:ascii="Arial" w:cs="Arial" w:eastAsia="Arial" w:hAnsi="Arial"/>
                <w:sz w:val="18"/>
                <w:szCs w:val="18"/>
                <w:color w:val="auto"/>
              </w:rPr>
              <w:t>The components of the net deferred tax assets are as follows (in thousands):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6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10"/>
        </w:trPr>
        <w:tc>
          <w:tcPr>
            <w:tcW w:w="6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Deferred tax assets: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880" w:type="dxa"/>
            <w:vAlign w:val="bottom"/>
            <w:gridSpan w:val="2"/>
            <w:shd w:val="clear" w:color="auto" w:fill="CFF0FC"/>
          </w:tcPr>
          <w:p>
            <w:pPr>
              <w:jc w:val="center"/>
              <w:ind w:left="3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60,879</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37,679</w:t>
            </w:r>
          </w:p>
        </w:tc>
        <w:tc>
          <w:tcPr>
            <w:tcW w:w="320" w:type="dxa"/>
            <w:vAlign w:val="bottom"/>
            <w:tcBorders>
              <w:left w:val="single" w:sz="8" w:color="CFF0FC"/>
            </w:tcBorders>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3,478</w:t>
            </w:r>
          </w:p>
        </w:tc>
        <w:tc>
          <w:tcPr>
            <w:tcW w:w="32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320" w:type="dxa"/>
            <w:vAlign w:val="bottom"/>
            <w:tcBorders>
              <w:left w:val="single" w:sz="8" w:color="CFF0FC"/>
            </w:tcBorders>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Contract liabilities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Other temporary differences</w:t>
            </w:r>
          </w:p>
        </w:tc>
        <w:tc>
          <w:tcPr>
            <w:tcW w:w="6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320" w:type="dxa"/>
            <w:vAlign w:val="bottom"/>
            <w:tcBorders>
              <w:left w:val="single" w:sz="8" w:color="CFF0FC"/>
            </w:tcBorders>
            <w:shd w:val="clear" w:color="auto" w:fill="CFF0FC"/>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46,318</w:t>
            </w:r>
          </w:p>
        </w:tc>
        <w:tc>
          <w:tcPr>
            <w:tcW w:w="32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 with 83(b) election</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w:t>
            </w:r>
          </w:p>
        </w:tc>
      </w:tr>
      <w:tr>
        <w:trPr>
          <w:trHeight w:val="20"/>
        </w:trPr>
        <w:tc>
          <w:tcPr>
            <w:tcW w:w="6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Total gross deferred tax liabilities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 before valuation allowance</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70,052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45,733</w:t>
            </w:r>
          </w:p>
        </w:tc>
        <w:tc>
          <w:tcPr>
            <w:tcW w:w="320" w:type="dxa"/>
            <w:vAlign w:val="bottom"/>
            <w:tcBorders>
              <w:left w:val="single" w:sz="8" w:color="CFF0FC"/>
            </w:tcBorders>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(70,052)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(45,733)</w:t>
            </w:r>
          </w:p>
        </w:tc>
      </w:tr>
      <w:tr>
        <w:trPr>
          <w:trHeight w:val="210"/>
        </w:trPr>
        <w:tc>
          <w:tcPr>
            <w:tcW w:w="6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6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left w:val="single" w:sz="8" w:color="CFF0FC"/>
              <w:bottom w:val="single" w:sz="8" w:color="CFF0FC"/>
            </w:tcBorders>
            <w:shd w:val="clear" w:color="auto" w:fill="CFF0FC"/>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more-likely-than-not to be realized and, accordingly, has provided a valuation allowance.</w:t>
      </w:r>
    </w:p>
    <w:p>
      <w:pPr>
        <w:spacing w:after="0" w:line="9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$24.3 million and $9.5 million during the years ended December 31, 2020 and 2019, respectively.</w:t>
      </w:r>
    </w:p>
    <w:p>
      <w:pPr>
        <w:spacing w:after="0" w:line="9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As of December 31, 2020, the Company had approximately $226.8 million in federal net operating loss carryforwards to reduce future taxable income. Of this amount, $161.4 million was generated after December 31, 2017 and does not expire per the Tax Cuts and JOBS Act, or the 2017 Tax Act, and can be carried forward indefinitely. The federal net operating loss carryforwards generated prior to January 1, 2018 are subject to a 20-year carryforward period and will begin to expire after 2032. Subsequent to the enactment of the 2017 Tax Act, the utilization of the federal net operating loss carryforwards generated in fiscal year 2018 and onwards is limited to 80% of the federal taxable income. The Company also had approximately $145.8 million in state net operating loss carryforwards to reduce future taxable income, which will begin to expire after 2028, if not utilized.</w:t>
      </w:r>
    </w:p>
    <w:p>
      <w:pPr>
        <w:spacing w:after="0" w:line="9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Company had approximately $3.1 million in federal research and development tax credits for each of the years ended December 31, 2020 and 2019. In addition, the Company had approximately $4.0 million in state research and development tax credits for each of the years ended December 31, 2020 and 2019. The federal research credits will begin to expire in the years 2028 through 2035, if not utilized. The state research and development credits have no expiration date and can be carried forward indefinitely.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55" w:name="page156"/>
    <w:bookmarkEnd w:id="155"/>
    <w:p>
      <w:pPr>
        <w:jc w:val="both"/>
        <w:ind w:right="20" w:firstLine="802"/>
        <w:spacing w:after="0" w:line="246" w:lineRule="auto"/>
        <w:rPr>
          <w:sz w:val="20"/>
          <w:szCs w:val="20"/>
          <w:color w:val="auto"/>
        </w:rPr>
      </w:pPr>
      <w:r>
        <w:rPr>
          <w:rFonts w:ascii="Arial" w:cs="Arial" w:eastAsia="Arial" w:hAnsi="Arial"/>
          <w:sz w:val="18"/>
          <w:szCs w:val="18"/>
          <w:color w:val="auto"/>
        </w:rPr>
        <w:t>As of December 31, 2020 and 2019, the Company had foreign net operating loss carryforwards of approximately $35.8 million and $29.7 million, respectively, which have no expiration date.</w:t>
      </w:r>
    </w:p>
    <w:p>
      <w:pPr>
        <w:spacing w:after="0" w:line="89"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9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1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74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Additions based on tax positions related to prior year</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7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6,213</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7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10,346</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3,819</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2020 and 2019,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9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to December 31, 2019 remain subject to examination.</w:t>
      </w:r>
    </w:p>
    <w:p>
      <w:pPr>
        <w:spacing w:after="0" w:line="89"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On March 27, 2020, the Coronavirus Aid, Relief and Economic Security Act, or the CARES Act, was enacted. Under U.S. GAAP, the Company is required to recognize the tax effects of new legislation in the reporting period in which the legislation was enacted. The CARES Act included changes to current U.S. tax provisions that benefit business entities and modified certain tax provisions of the 2017 Tax Act. The tax relief measures included a five-year net operating loss carryback, suspension of the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properties. The CARES Act also provided other non-tax benefits to assist business entities impacted by the ongoing COVID-19 pandemic. The Company has evaluated the CARES Act and concluded that it did not result in any material adjustments to the Company’s income tax provision or net deferred tax assets for the year ended December 31,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Common Stock</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On January 5, 2021, the Company entered into an underwriting agreement with representatives of several underwriters relating to the public offering, issuance and sale of 4,629,630 shares of its common stock. The price to the public in the offering was $27.00 per share. Under the terms of the underwriting agreement, the Company granted the underwriters an option exercisable for 30 days to purchase up to an additional 694,444 shares of common stock at the public offering price, less underwriting discounts and commissions. The underwriters exercised in full their option to purchase the additional shares. The net proceeds to the Company from the offering were approximately $134.7 million, after deducting underwriting discounts and commissions and other estimated offering expenses payable by the Company. The offering closed on January 8,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Merck Collaboration</w:t>
      </w:r>
    </w:p>
    <w:p>
      <w:pPr>
        <w:spacing w:after="0" w:line="12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Under the terms of the collaboration, Merck was required to notify the Company no later than March 17, 2021 of its unilateral decision whether to exercise its option to extend the research phase of the collaboration for an additional two-year term through March 16, 2024. The parties are negotiating in good faith certain modifications to the terms of the collaboration and in order to allow negotiations to proceed, the parties have agreed to extend the March 17, 2021 deadline for Merck to deliver its extension notification decision until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56" w:name="page157"/>
    <w:bookmarkEnd w:id="156"/>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As of December 31, 2020,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9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2020, the design and operation of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right="20" w:firstLine="802"/>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13a-15(f) and 15d-15(f) of the Exchange Act that occurred during the quarter ended December 31, 2020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2020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2020.</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Matters” and “Executive Officers” in our Proxy Statement for our 2021 Annual Meeting of Stockholders, or the 2021 Proxy Statement. Information required by this item regarding compliance with Section 16(a) of the Exchange Act is incorporated by reference to the information set forth under the caption “Delinquent Section 16(a) Reports” in our 2021 Proxy Statement.</w:t>
      </w:r>
    </w:p>
    <w:p>
      <w:pPr>
        <w:spacing w:after="0" w:line="97"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https://www.ngmbio.com/ in the Investors &amp; Media section under “Corporate Governance.”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18"/>
          <w:szCs w:val="18"/>
          <w:color w:val="auto"/>
        </w:rPr>
        <w:t>Information required by this item regarding executive compensation is incorporated by reference to the information set forth under the captions “Executive Compensation” and “Director Compensation” in the 2021 Proxy Statement.</w:t>
      </w:r>
    </w:p>
    <w:p>
      <w:pPr>
        <w:spacing w:after="0" w:line="1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3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Plans at December 31, 2020” in the 2021 Proxy Statement.</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3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the 2021 Proxy Statement.</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Principal Accounting Fees and Services.</w:t>
      </w:r>
    </w:p>
    <w:p>
      <w:pPr>
        <w:spacing w:after="0" w:line="234"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Information required by this item regarding principal accounting fees and services is incorporated by reference to the information set forth under the caption “Proposal No. 2—Ratification of Selection of Independent Registered Public Accounting Firm” in the 2021 Proxy Statement.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301"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 w:lineRule="exact"/>
        <w:rPr>
          <w:rFonts w:ascii="Arial" w:cs="Arial" w:eastAsia="Arial" w:hAnsi="Arial"/>
          <w:sz w:val="18"/>
          <w:szCs w:val="18"/>
          <w:color w:val="auto"/>
        </w:rPr>
      </w:pPr>
    </w:p>
    <w:p>
      <w:pPr>
        <w:ind w:left="860" w:hanging="380"/>
        <w:spacing w:after="0" w:line="211" w:lineRule="auto"/>
        <w:tabs>
          <w:tab w:leader="none" w:pos="860" w:val="left"/>
        </w:tabs>
        <w:numPr>
          <w:ilvl w:val="1"/>
          <w:numId w:val="65"/>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Financial Statements in Part II Item 8 of this Annual Report on Form 10-K.</w:t>
      </w:r>
    </w:p>
    <w:p>
      <w:pPr>
        <w:spacing w:after="0" w:line="107" w:lineRule="exact"/>
        <w:rPr>
          <w:rFonts w:ascii="Arial" w:cs="Arial" w:eastAsia="Arial" w:hAnsi="Arial"/>
          <w:sz w:val="36"/>
          <w:szCs w:val="36"/>
          <w:color w:val="auto"/>
          <w:vertAlign w:val="superscript"/>
        </w:rPr>
      </w:pPr>
    </w:p>
    <w:p>
      <w:pPr>
        <w:jc w:val="both"/>
        <w:ind w:left="860" w:right="160" w:hanging="380"/>
        <w:spacing w:after="0"/>
        <w:tabs>
          <w:tab w:leader="none" w:pos="86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None. All financial statement schedules are omitted because they are not applicable, not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the instructions, or the requested information is included in the consolidated financial statements or notes thereto.</w:t>
      </w:r>
    </w:p>
    <w:p>
      <w:pPr>
        <w:ind w:left="860" w:hanging="380"/>
        <w:spacing w:after="0" w:line="211" w:lineRule="auto"/>
        <w:tabs>
          <w:tab w:leader="none" w:pos="860" w:val="left"/>
        </w:tabs>
        <w:numPr>
          <w:ilvl w:val="1"/>
          <w:numId w:val="65"/>
        </w:numPr>
        <w:rPr>
          <w:rFonts w:ascii="Arial" w:cs="Arial" w:eastAsia="Arial" w:hAnsi="Arial"/>
          <w:sz w:val="36"/>
          <w:szCs w:val="36"/>
          <w:color w:val="auto"/>
          <w:vertAlign w:val="superscript"/>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Annual Report or incorporated herein by reference:</w:t>
      </w:r>
    </w:p>
    <w:p>
      <w:pPr>
        <w:spacing w:after="0" w:line="26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333" w:right="339" w:bottom="1440" w:gutter="0" w:footer="0" w:header="0"/>
        </w:sectPr>
      </w:pP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00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3.1</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3.2</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4.2</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4.3</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10.3*</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10.6*</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60"/>
              <w:spacing w:after="0" w:line="187" w:lineRule="exact"/>
              <w:rPr>
                <w:sz w:val="20"/>
                <w:szCs w:val="20"/>
                <w:color w:val="auto"/>
              </w:rPr>
            </w:pPr>
            <w:r>
              <w:rPr>
                <w:rFonts w:ascii="Arial" w:cs="Arial" w:eastAsia="Arial" w:hAnsi="Arial"/>
                <w:sz w:val="18"/>
                <w:szCs w:val="18"/>
                <w:b w:val="1"/>
                <w:bCs w:val="1"/>
                <w:color w:val="auto"/>
                <w:w w:val="99"/>
              </w:rPr>
              <w:t>Filing</w:t>
            </w:r>
          </w:p>
        </w:tc>
        <w:tc>
          <w:tcPr>
            <w:tcW w:w="9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9"/>
              </w:rPr>
              <w:t>Filed</w:t>
            </w:r>
          </w:p>
        </w:tc>
      </w:tr>
      <w:tr>
        <w:trPr>
          <w:trHeight w:val="225"/>
        </w:trPr>
        <w:tc>
          <w:tcPr>
            <w:tcW w:w="446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 w:type="dxa"/>
            <w:vAlign w:val="bottom"/>
          </w:tcPr>
          <w:p>
            <w:pPr>
              <w:spacing w:after="0"/>
              <w:rPr>
                <w:sz w:val="19"/>
                <w:szCs w:val="19"/>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File No.</w:t>
            </w: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372"/>
        </w:trPr>
        <w:tc>
          <w:tcPr>
            <w:tcW w:w="4600" w:type="dxa"/>
            <w:vAlign w:val="bottom"/>
            <w:gridSpan w:val="15"/>
          </w:tcPr>
          <w:p>
            <w:pPr>
              <w:spacing w:after="0"/>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Amended and Restated Certificate of Incorporation.</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spacing w:after="0"/>
              <w:rPr>
                <w:sz w:val="20"/>
                <w:szCs w:val="20"/>
                <w:color w:val="auto"/>
              </w:rPr>
            </w:pPr>
            <w:r>
              <w:rPr>
                <w:rFonts w:ascii="Arial" w:cs="Arial" w:eastAsia="Arial" w:hAnsi="Arial"/>
                <w:sz w:val="18"/>
                <w:szCs w:val="18"/>
                <w:color w:val="auto"/>
              </w:rPr>
              <w:t>3.1</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9"/>
              </w:rPr>
              <w:t>4/8/19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4600" w:type="dxa"/>
            <w:vAlign w:val="bottom"/>
            <w:gridSpan w:val="15"/>
          </w:tcPr>
          <w:p>
            <w:pPr>
              <w:spacing w:after="0"/>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Amended and Restated Bylaws.</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rPr>
              <w:t>3.4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4220" w:type="dxa"/>
            <w:vAlign w:val="bottom"/>
            <w:tcBorders>
              <w:bottom w:val="single" w:sz="8" w:color="0000EE"/>
            </w:tcBorders>
            <w:gridSpan w:val="8"/>
          </w:tcPr>
          <w:p>
            <w:pPr>
              <w:spacing w:after="0"/>
              <w:rPr>
                <w:rFonts w:ascii="Arial" w:cs="Arial" w:eastAsia="Arial" w:hAnsi="Arial"/>
                <w:sz w:val="18"/>
                <w:szCs w:val="18"/>
                <w:color w:val="0000EE"/>
                <w:w w:val="99"/>
              </w:rPr>
            </w:pPr>
            <w:hyperlink r:id="rId207">
              <w:r>
                <w:rPr>
                  <w:rFonts w:ascii="Arial" w:cs="Arial" w:eastAsia="Arial" w:hAnsi="Arial"/>
                  <w:sz w:val="18"/>
                  <w:szCs w:val="18"/>
                  <w:color w:val="0000EE"/>
                  <w:w w:val="99"/>
                </w:rPr>
                <w:t>Amended and Restated Investors’ Rights Agreement</w:t>
              </w:r>
            </w:hyperlink>
          </w:p>
        </w:tc>
        <w:tc>
          <w:tcPr>
            <w:tcW w:w="38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600" w:type="dxa"/>
            <w:vAlign w:val="bottom"/>
            <w:gridSpan w:val="15"/>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among the Registrant and certain of its stockholders,</w:t>
              </w:r>
            </w:hyperlink>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42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dated March 20, 2015.</w:t>
              </w:r>
            </w:hyperlink>
          </w:p>
        </w:tc>
        <w:tc>
          <w:tcPr>
            <w:tcW w:w="400" w:type="dxa"/>
            <w:vAlign w:val="bottom"/>
            <w:gridSpan w:val="8"/>
          </w:tcPr>
          <w:p>
            <w:pPr>
              <w:spacing w:after="0"/>
              <w:rPr>
                <w:sz w:val="15"/>
                <w:szCs w:val="15"/>
                <w:color w:val="auto"/>
              </w:rPr>
            </w:pPr>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rPr>
              <w:t>4.1</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9/28/19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4600" w:type="dxa"/>
            <w:vAlign w:val="bottom"/>
            <w:gridSpan w:val="15"/>
          </w:tcPr>
          <w:p>
            <w:pPr>
              <w:spacing w:after="0"/>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Form of Common Stock Certificate.</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rPr>
              <w:t>4.2</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9"/>
              </w:rPr>
              <w:t>4/1/19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1"/>
        </w:trPr>
        <w:tc>
          <w:tcPr>
            <w:tcW w:w="4600" w:type="dxa"/>
            <w:vAlign w:val="bottom"/>
            <w:gridSpan w:val="15"/>
          </w:tcPr>
          <w:p>
            <w:pPr>
              <w:spacing w:after="0"/>
              <w:rPr>
                <w:rFonts w:ascii="Arial" w:cs="Arial" w:eastAsia="Arial" w:hAnsi="Arial"/>
                <w:sz w:val="18"/>
                <w:szCs w:val="18"/>
                <w:color w:val="0000EE"/>
              </w:rPr>
            </w:pPr>
            <w:hyperlink r:id="rId209">
              <w:r>
                <w:rPr>
                  <w:rFonts w:ascii="Arial" w:cs="Arial" w:eastAsia="Arial" w:hAnsi="Arial"/>
                  <w:sz w:val="18"/>
                  <w:szCs w:val="18"/>
                  <w:u w:val="single" w:color="auto"/>
                  <w:color w:val="0000EE"/>
                </w:rPr>
                <w:t>Description of Capital Stock</w:t>
              </w:r>
            </w:hyperlink>
            <w:r>
              <w:rPr>
                <w:rFonts w:ascii="Arial" w:cs="Arial" w:eastAsia="Arial" w:hAnsi="Arial"/>
                <w:sz w:val="18"/>
                <w:szCs w:val="18"/>
                <w:color w:val="000000"/>
              </w:rPr>
              <w:t>.</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spacing w:after="0"/>
              <w:rPr>
                <w:sz w:val="20"/>
                <w:szCs w:val="20"/>
                <w:color w:val="auto"/>
              </w:rPr>
            </w:pPr>
            <w:r>
              <w:rPr>
                <w:rFonts w:ascii="Arial" w:cs="Arial" w:eastAsia="Arial" w:hAnsi="Arial"/>
                <w:sz w:val="18"/>
                <w:szCs w:val="18"/>
                <w:color w:val="auto"/>
              </w:rPr>
              <w:t>4.3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3/17/20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5"/>
        </w:trPr>
        <w:tc>
          <w:tcPr>
            <w:tcW w:w="4600" w:type="dxa"/>
            <w:vAlign w:val="bottom"/>
            <w:gridSpan w:val="15"/>
          </w:tcPr>
          <w:p>
            <w:pPr>
              <w:spacing w:after="0"/>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2008 Equity Incentive Plan, as amended.</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4600" w:type="dxa"/>
            <w:vAlign w:val="bottom"/>
            <w:gridSpan w:val="15"/>
          </w:tcPr>
          <w:p>
            <w:pPr>
              <w:spacing w:after="0"/>
              <w:rPr>
                <w:rFonts w:ascii="Arial" w:cs="Arial" w:eastAsia="Arial" w:hAnsi="Arial"/>
                <w:sz w:val="18"/>
                <w:szCs w:val="18"/>
                <w:color w:val="0000EE"/>
              </w:rPr>
            </w:pPr>
            <w:hyperlink r:id="rId211">
              <w:r>
                <w:rPr>
                  <w:rFonts w:ascii="Arial" w:cs="Arial" w:eastAsia="Arial" w:hAnsi="Arial"/>
                  <w:sz w:val="18"/>
                  <w:szCs w:val="18"/>
                  <w:color w:val="0000EE"/>
                </w:rPr>
                <w:t>Form of Stock Option Agreement and Stock Option</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3"/>
        </w:trPr>
        <w:tc>
          <w:tcPr>
            <w:tcW w:w="4060" w:type="dxa"/>
            <w:vAlign w:val="bottom"/>
            <w:tcBorders>
              <w:top w:val="single" w:sz="8" w:color="0000EE"/>
            </w:tcBorders>
            <w:gridSpan w:val="5"/>
          </w:tcPr>
          <w:p>
            <w:pPr>
              <w:spacing w:after="0"/>
              <w:rPr>
                <w:rFonts w:ascii="Arial" w:cs="Arial" w:eastAsia="Arial" w:hAnsi="Arial"/>
                <w:sz w:val="18"/>
                <w:szCs w:val="18"/>
                <w:u w:val="single" w:color="auto"/>
                <w:color w:val="0000EE"/>
                <w:w w:val="99"/>
              </w:rPr>
            </w:pPr>
            <w:hyperlink r:id="rId211">
              <w:r>
                <w:rPr>
                  <w:rFonts w:ascii="Arial" w:cs="Arial" w:eastAsia="Arial" w:hAnsi="Arial"/>
                  <w:sz w:val="18"/>
                  <w:szCs w:val="18"/>
                  <w:u w:val="single" w:color="auto"/>
                  <w:color w:val="0000EE"/>
                  <w:w w:val="99"/>
                </w:rPr>
                <w:t>Grant Notice under the 2008 Equity Incentive Plan.</w:t>
              </w:r>
            </w:hyperlink>
          </w:p>
        </w:tc>
        <w:tc>
          <w:tcPr>
            <w:tcW w:w="540" w:type="dxa"/>
            <w:vAlign w:val="bottom"/>
            <w:gridSpan w:val="10"/>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65"/>
        </w:trPr>
        <w:tc>
          <w:tcPr>
            <w:tcW w:w="4600" w:type="dxa"/>
            <w:vAlign w:val="bottom"/>
            <w:gridSpan w:val="15"/>
          </w:tcPr>
          <w:p>
            <w:pPr>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Amended and Restated 2018 Equity Incentive Plan.</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4340" w:type="dxa"/>
            <w:vAlign w:val="bottom"/>
            <w:tcBorders>
              <w:bottom w:val="single" w:sz="8" w:color="0000EE"/>
            </w:tcBorders>
            <w:gridSpan w:val="10"/>
          </w:tcPr>
          <w:p>
            <w:pPr>
              <w:spacing w:after="0"/>
              <w:rPr>
                <w:rFonts w:ascii="Arial" w:cs="Arial" w:eastAsia="Arial" w:hAnsi="Arial"/>
                <w:sz w:val="18"/>
                <w:szCs w:val="18"/>
                <w:color w:val="0000EE"/>
                <w:w w:val="99"/>
              </w:rPr>
            </w:pPr>
            <w:hyperlink r:id="rId213">
              <w:r>
                <w:rPr>
                  <w:rFonts w:ascii="Arial" w:cs="Arial" w:eastAsia="Arial" w:hAnsi="Arial"/>
                  <w:sz w:val="18"/>
                  <w:szCs w:val="18"/>
                  <w:color w:val="0000EE"/>
                  <w:w w:val="99"/>
                </w:rPr>
                <w:t>Forms of Stock Option Agreement and Notice of Grant</w:t>
              </w:r>
            </w:hyperlink>
          </w:p>
        </w:tc>
        <w:tc>
          <w:tcPr>
            <w:tcW w:w="2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4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213">
              <w:r>
                <w:rPr>
                  <w:rFonts w:ascii="Arial" w:cs="Arial" w:eastAsia="Arial" w:hAnsi="Arial"/>
                  <w:sz w:val="18"/>
                  <w:szCs w:val="18"/>
                  <w:color w:val="0000EE"/>
                  <w:w w:val="99"/>
                </w:rPr>
                <w:t>of Stock Option under the Amended and Restated 2018</w:t>
              </w:r>
            </w:hyperlink>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213">
              <w:r>
                <w:rPr>
                  <w:rFonts w:ascii="Arial" w:cs="Arial" w:eastAsia="Arial" w:hAnsi="Arial"/>
                  <w:sz w:val="18"/>
                  <w:szCs w:val="18"/>
                  <w:color w:val="0000EE"/>
                  <w:w w:val="99"/>
                </w:rPr>
                <w:t>Equity Incentive Plan.</w:t>
              </w:r>
            </w:hyperlink>
          </w:p>
        </w:tc>
        <w:tc>
          <w:tcPr>
            <w:tcW w:w="2860" w:type="dxa"/>
            <w:vAlign w:val="bottom"/>
            <w:gridSpan w:val="13"/>
          </w:tcPr>
          <w:p>
            <w:pPr>
              <w:spacing w:after="0"/>
              <w:rPr>
                <w:sz w:val="15"/>
                <w:szCs w:val="15"/>
                <w:color w:val="auto"/>
              </w:rPr>
            </w:pPr>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10.4</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31"/>
        </w:trPr>
        <w:tc>
          <w:tcPr>
            <w:tcW w:w="4600" w:type="dxa"/>
            <w:vAlign w:val="bottom"/>
            <w:gridSpan w:val="15"/>
          </w:tcPr>
          <w:p>
            <w:pPr>
              <w:spacing w:after="0"/>
              <w:rPr>
                <w:rFonts w:ascii="Arial" w:cs="Arial" w:eastAsia="Arial" w:hAnsi="Arial"/>
                <w:sz w:val="18"/>
                <w:szCs w:val="18"/>
                <w:color w:val="0000EE"/>
              </w:rPr>
            </w:pPr>
            <w:hyperlink r:id="rId214">
              <w:r>
                <w:rPr>
                  <w:rFonts w:ascii="Arial" w:cs="Arial" w:eastAsia="Arial" w:hAnsi="Arial"/>
                  <w:sz w:val="18"/>
                  <w:szCs w:val="18"/>
                  <w:color w:val="0000EE"/>
                </w:rPr>
                <w:t>Forms of Restricted Stock Unit Agreement and Notice</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42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of Grant of Restricted Stock Unit under the Amended</w:t>
              </w:r>
            </w:hyperlink>
          </w:p>
        </w:tc>
        <w:tc>
          <w:tcPr>
            <w:tcW w:w="60" w:type="dxa"/>
            <w:vAlign w:val="bottom"/>
            <w:tcBorders>
              <w:top w:val="single" w:sz="8" w:color="0000EE"/>
            </w:tcBorders>
          </w:tcPr>
          <w:p>
            <w:pPr>
              <w:spacing w:after="0"/>
              <w:rPr>
                <w:sz w:val="15"/>
                <w:szCs w:val="15"/>
                <w:color w:val="auto"/>
              </w:rPr>
            </w:pPr>
          </w:p>
        </w:tc>
        <w:tc>
          <w:tcPr>
            <w:tcW w:w="320" w:type="dxa"/>
            <w:vAlign w:val="bottom"/>
            <w:gridSpan w:val="6"/>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4600" w:type="dxa"/>
            <w:vAlign w:val="bottom"/>
            <w:gridSpan w:val="15"/>
          </w:tcPr>
          <w:p>
            <w:pPr>
              <w:spacing w:after="0" w:line="182" w:lineRule="exact"/>
              <w:rPr>
                <w:rFonts w:ascii="Arial" w:cs="Arial" w:eastAsia="Arial" w:hAnsi="Arial"/>
                <w:sz w:val="18"/>
                <w:szCs w:val="18"/>
                <w:color w:val="0000EE"/>
              </w:rPr>
            </w:pPr>
            <w:hyperlink r:id="rId214">
              <w:r>
                <w:rPr>
                  <w:rFonts w:ascii="Arial" w:cs="Arial" w:eastAsia="Arial" w:hAnsi="Arial"/>
                  <w:sz w:val="18"/>
                  <w:szCs w:val="18"/>
                  <w:color w:val="0000EE"/>
                </w:rPr>
                <w:t>and Restated 2018 Equity Incentive Plan.</w:t>
              </w:r>
            </w:hyperlink>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10.5</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5"/>
        </w:trPr>
        <w:tc>
          <w:tcPr>
            <w:tcW w:w="330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2019 Employee Stock Purchase Plan.</w:t>
              </w:r>
            </w:hyperlink>
          </w:p>
        </w:tc>
        <w:tc>
          <w:tcPr>
            <w:tcW w:w="1300" w:type="dxa"/>
            <w:vAlign w:val="bottom"/>
            <w:gridSpan w:val="11"/>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4600" w:type="dxa"/>
            <w:vAlign w:val="bottom"/>
            <w:gridSpan w:val="15"/>
          </w:tcPr>
          <w:p>
            <w:pPr>
              <w:spacing w:after="0"/>
              <w:rPr>
                <w:rFonts w:ascii="Arial" w:cs="Arial" w:eastAsia="Arial" w:hAnsi="Arial"/>
                <w:sz w:val="18"/>
                <w:szCs w:val="18"/>
                <w:color w:val="0000EE"/>
              </w:rPr>
            </w:pPr>
            <w:hyperlink r:id="rId216">
              <w:r>
                <w:rPr>
                  <w:rFonts w:ascii="Arial" w:cs="Arial" w:eastAsia="Arial" w:hAnsi="Arial"/>
                  <w:sz w:val="18"/>
                  <w:szCs w:val="18"/>
                  <w:color w:val="0000EE"/>
                </w:rPr>
                <w:t>Form of Indemnification Agreement, by and between</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2"/>
        </w:trPr>
        <w:tc>
          <w:tcPr>
            <w:tcW w:w="44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216">
              <w:r>
                <w:rPr>
                  <w:rFonts w:ascii="Arial" w:cs="Arial" w:eastAsia="Arial" w:hAnsi="Arial"/>
                  <w:sz w:val="18"/>
                  <w:szCs w:val="18"/>
                  <w:color w:val="0000EE"/>
                  <w:w w:val="99"/>
                </w:rPr>
                <w:t>NGM Biopharmaceuticals, Inc. and each of its directors</w:t>
              </w:r>
            </w:hyperlink>
          </w:p>
        </w:tc>
        <w:tc>
          <w:tcPr>
            <w:tcW w:w="20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4600" w:type="dxa"/>
            <w:vAlign w:val="bottom"/>
            <w:gridSpan w:val="15"/>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and executive officers.</w:t>
              </w:r>
            </w:hyperlink>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10.7</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4360" w:type="dxa"/>
            <w:vAlign w:val="bottom"/>
            <w:tcBorders>
              <w:bottom w:val="single" w:sz="8" w:color="0000EE"/>
            </w:tcBorders>
            <w:gridSpan w:val="11"/>
          </w:tcPr>
          <w:p>
            <w:pPr>
              <w:spacing w:after="0"/>
              <w:rPr>
                <w:rFonts w:ascii="Arial" w:cs="Arial" w:eastAsia="Arial" w:hAnsi="Arial"/>
                <w:sz w:val="18"/>
                <w:szCs w:val="18"/>
                <w:color w:val="0000EE"/>
                <w:w w:val="99"/>
              </w:rPr>
            </w:pPr>
            <w:hyperlink r:id="rId217">
              <w:r>
                <w:rPr>
                  <w:rFonts w:ascii="Arial" w:cs="Arial" w:eastAsia="Arial" w:hAnsi="Arial"/>
                  <w:sz w:val="18"/>
                  <w:szCs w:val="18"/>
                  <w:color w:val="0000EE"/>
                  <w:w w:val="99"/>
                </w:rPr>
                <w:t>NGM Biopharmaceuticals, Inc. Non-Employee Director</w:t>
              </w:r>
            </w:hyperlink>
          </w:p>
        </w:tc>
        <w:tc>
          <w:tcPr>
            <w:tcW w:w="24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600" w:type="dxa"/>
            <w:vAlign w:val="bottom"/>
            <w:gridSpan w:val="15"/>
          </w:tcPr>
          <w:p>
            <w:pPr>
              <w:spacing w:after="0" w:line="182" w:lineRule="exact"/>
              <w:rPr>
                <w:rFonts w:ascii="Arial" w:cs="Arial" w:eastAsia="Arial" w:hAnsi="Arial"/>
                <w:sz w:val="18"/>
                <w:szCs w:val="18"/>
                <w:color w:val="0000EE"/>
              </w:rPr>
            </w:pPr>
            <w:hyperlink r:id="rId217">
              <w:r>
                <w:rPr>
                  <w:rFonts w:ascii="Arial" w:cs="Arial" w:eastAsia="Arial" w:hAnsi="Arial"/>
                  <w:sz w:val="18"/>
                  <w:szCs w:val="18"/>
                  <w:color w:val="0000EE"/>
                </w:rPr>
                <w:t>Compensation Policy.</w:t>
              </w:r>
            </w:hyperlink>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10.8</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0" w:space="280"/>
            <w:col w:w="10140"/>
          </w:cols>
          <w:pgMar w:left="320" w:top="333"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1100" w:type="dxa"/>
            <w:vAlign w:val="bottom"/>
          </w:tcPr>
          <w:p>
            <w:pPr>
              <w:ind w:left="60"/>
              <w:spacing w:after="0"/>
              <w:rPr>
                <w:sz w:val="20"/>
                <w:szCs w:val="20"/>
                <w:color w:val="auto"/>
              </w:rPr>
            </w:pPr>
            <w:r>
              <w:rPr>
                <w:rFonts w:ascii="Arial" w:cs="Arial" w:eastAsia="Arial" w:hAnsi="Arial"/>
                <w:sz w:val="18"/>
                <w:szCs w:val="18"/>
                <w:color w:val="auto"/>
              </w:rPr>
              <w:t>10.9</w:t>
            </w:r>
          </w:p>
        </w:tc>
        <w:tc>
          <w:tcPr>
            <w:tcW w:w="4380" w:type="dxa"/>
            <w:vAlign w:val="bottom"/>
            <w:gridSpan w:val="22"/>
          </w:tcPr>
          <w:p>
            <w:pPr>
              <w:spacing w:after="0"/>
              <w:rPr>
                <w:rFonts w:ascii="Arial" w:cs="Arial" w:eastAsia="Arial" w:hAnsi="Arial"/>
                <w:sz w:val="18"/>
                <w:szCs w:val="18"/>
                <w:color w:val="0000EE"/>
              </w:rPr>
            </w:pPr>
            <w:hyperlink r:id="rId219">
              <w:r>
                <w:rPr>
                  <w:rFonts w:ascii="Arial" w:cs="Arial" w:eastAsia="Arial" w:hAnsi="Arial"/>
                  <w:sz w:val="18"/>
                  <w:szCs w:val="18"/>
                  <w:color w:val="0000EE"/>
                </w:rPr>
                <w:t>Sublease Agreement, by and between NGM</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398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r:id="rId219">
              <w:r>
                <w:rPr>
                  <w:rFonts w:ascii="Arial" w:cs="Arial" w:eastAsia="Arial" w:hAnsi="Arial"/>
                  <w:sz w:val="18"/>
                  <w:szCs w:val="18"/>
                  <w:color w:val="0000EE"/>
                </w:rPr>
                <w:t>Biopharmaceuticals, Inc. and AMGEN Inc., dated</w:t>
              </w:r>
            </w:hyperlink>
          </w:p>
        </w:tc>
        <w:tc>
          <w:tcPr>
            <w:tcW w:w="4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6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219">
              <w:r>
                <w:rPr>
                  <w:rFonts w:ascii="Arial" w:cs="Arial" w:eastAsia="Arial" w:hAnsi="Arial"/>
                  <w:sz w:val="18"/>
                  <w:szCs w:val="18"/>
                  <w:color w:val="0000EE"/>
                  <w:w w:val="99"/>
                </w:rPr>
                <w:t>December 11, 2015.</w:t>
              </w:r>
            </w:hyperlink>
          </w:p>
        </w:tc>
        <w:tc>
          <w:tcPr>
            <w:tcW w:w="274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ind w:left="60"/>
              <w:spacing w:after="0"/>
              <w:rPr>
                <w:sz w:val="20"/>
                <w:szCs w:val="20"/>
                <w:color w:val="auto"/>
              </w:rPr>
            </w:pPr>
            <w:r>
              <w:rPr>
                <w:rFonts w:ascii="Arial" w:cs="Arial" w:eastAsia="Arial" w:hAnsi="Arial"/>
                <w:sz w:val="18"/>
                <w:szCs w:val="18"/>
                <w:color w:val="auto"/>
              </w:rPr>
              <w:t>10.10*</w:t>
            </w:r>
          </w:p>
        </w:tc>
        <w:tc>
          <w:tcPr>
            <w:tcW w:w="4160" w:type="dxa"/>
            <w:vAlign w:val="bottom"/>
            <w:tcBorders>
              <w:bottom w:val="single" w:sz="8" w:color="0000EE"/>
            </w:tcBorders>
            <w:gridSpan w:val="15"/>
          </w:tcPr>
          <w:p>
            <w:pPr>
              <w:spacing w:after="0"/>
              <w:rPr>
                <w:rFonts w:ascii="Arial" w:cs="Arial" w:eastAsia="Arial" w:hAnsi="Arial"/>
                <w:sz w:val="18"/>
                <w:szCs w:val="18"/>
                <w:color w:val="0000EE"/>
                <w:w w:val="99"/>
              </w:rPr>
            </w:pPr>
            <w:hyperlink r:id="rId220">
              <w:r>
                <w:rPr>
                  <w:rFonts w:ascii="Arial" w:cs="Arial" w:eastAsia="Arial" w:hAnsi="Arial"/>
                  <w:sz w:val="18"/>
                  <w:szCs w:val="18"/>
                  <w:color w:val="0000EE"/>
                  <w:w w:val="99"/>
                </w:rPr>
                <w:t>Executive Employment Offer Letter, by and between</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0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NGM Biopharmaceuticals, Inc. and Jin-Long Chen,</w:t>
              </w:r>
            </w:hyperlink>
          </w:p>
        </w:tc>
        <w:tc>
          <w:tcPr>
            <w:tcW w:w="3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220">
              <w:r>
                <w:rPr>
                  <w:rFonts w:ascii="Arial" w:cs="Arial" w:eastAsia="Arial" w:hAnsi="Arial"/>
                  <w:sz w:val="18"/>
                  <w:szCs w:val="18"/>
                  <w:color w:val="0000EE"/>
                  <w:w w:val="97"/>
                </w:rPr>
                <w:t>Ph.D.</w:t>
              </w:r>
            </w:hyperlink>
          </w:p>
        </w:tc>
        <w:tc>
          <w:tcPr>
            <w:tcW w:w="392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00" w:type="dxa"/>
            <w:vAlign w:val="bottom"/>
          </w:tcPr>
          <w:p>
            <w:pPr>
              <w:ind w:left="60"/>
              <w:spacing w:after="0"/>
              <w:rPr>
                <w:sz w:val="20"/>
                <w:szCs w:val="20"/>
                <w:color w:val="auto"/>
              </w:rPr>
            </w:pPr>
            <w:r>
              <w:rPr>
                <w:rFonts w:ascii="Arial" w:cs="Arial" w:eastAsia="Arial" w:hAnsi="Arial"/>
                <w:sz w:val="18"/>
                <w:szCs w:val="18"/>
                <w:color w:val="auto"/>
              </w:rPr>
              <w:t>10.11*</w:t>
            </w:r>
          </w:p>
        </w:tc>
        <w:tc>
          <w:tcPr>
            <w:tcW w:w="4140" w:type="dxa"/>
            <w:vAlign w:val="bottom"/>
            <w:tcBorders>
              <w:bottom w:val="single" w:sz="8" w:color="0000EE"/>
            </w:tcBorders>
            <w:gridSpan w:val="14"/>
          </w:tcPr>
          <w:p>
            <w:pPr>
              <w:spacing w:after="0"/>
              <w:rPr>
                <w:rFonts w:ascii="Arial" w:cs="Arial" w:eastAsia="Arial" w:hAnsi="Arial"/>
                <w:sz w:val="18"/>
                <w:szCs w:val="18"/>
                <w:color w:val="0000EE"/>
                <w:w w:val="99"/>
              </w:rPr>
            </w:pPr>
            <w:hyperlink r:id="rId221">
              <w:r>
                <w:rPr>
                  <w:rFonts w:ascii="Arial" w:cs="Arial" w:eastAsia="Arial" w:hAnsi="Arial"/>
                  <w:sz w:val="18"/>
                  <w:szCs w:val="18"/>
                  <w:color w:val="0000EE"/>
                  <w:w w:val="99"/>
                </w:rPr>
                <w:t>Executive Employment Agreement, by and between</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36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221">
              <w:r>
                <w:rPr>
                  <w:rFonts w:ascii="Arial" w:cs="Arial" w:eastAsia="Arial" w:hAnsi="Arial"/>
                  <w:sz w:val="18"/>
                  <w:szCs w:val="18"/>
                  <w:color w:val="0000EE"/>
                  <w:w w:val="99"/>
                </w:rPr>
                <w:t>NGM Biopharmaceuticals, Inc. and David Woodhouse,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221">
              <w:r>
                <w:rPr>
                  <w:rFonts w:ascii="Arial" w:cs="Arial" w:eastAsia="Arial" w:hAnsi="Arial"/>
                  <w:sz w:val="18"/>
                  <w:szCs w:val="18"/>
                  <w:color w:val="0000EE"/>
                  <w:w w:val="97"/>
                </w:rPr>
                <w:t>Ph.D.</w:t>
              </w:r>
            </w:hyperlink>
          </w:p>
        </w:tc>
        <w:tc>
          <w:tcPr>
            <w:tcW w:w="392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4380" w:type="dxa"/>
            <w:vAlign w:val="bottom"/>
            <w:tcBorders>
              <w:bottom w:val="single" w:sz="8" w:color="0000EE"/>
            </w:tcBorders>
            <w:gridSpan w:val="22"/>
          </w:tcPr>
          <w:p>
            <w:pPr>
              <w:spacing w:after="0"/>
              <w:rPr>
                <w:rFonts w:ascii="Arial" w:cs="Arial" w:eastAsia="Arial" w:hAnsi="Arial"/>
                <w:sz w:val="18"/>
                <w:szCs w:val="18"/>
                <w:color w:val="0000EE"/>
                <w:w w:val="99"/>
              </w:rPr>
            </w:pPr>
            <w:hyperlink r:id="rId222">
              <w:r>
                <w:rPr>
                  <w:rFonts w:ascii="Arial" w:cs="Arial" w:eastAsia="Arial" w:hAnsi="Arial"/>
                  <w:sz w:val="18"/>
                  <w:szCs w:val="18"/>
                  <w:color w:val="0000EE"/>
                  <w:w w:val="99"/>
                </w:rPr>
                <w:t>Offer Letter Agreement, by and between the Registrant</w:t>
              </w:r>
            </w:hyperlink>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380" w:type="dxa"/>
            <w:vAlign w:val="bottom"/>
            <w:gridSpan w:val="22"/>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and Siobhan Nolan Mangini, dated as of May 20, 2020</w:t>
              </w:r>
            </w:hyperlink>
          </w:p>
        </w:tc>
        <w:tc>
          <w:tcPr>
            <w:tcW w:w="0" w:type="dxa"/>
            <w:vAlign w:val="bottom"/>
          </w:tcPr>
          <w:p>
            <w:pPr>
              <w:spacing w:after="0"/>
              <w:rPr>
                <w:sz w:val="1"/>
                <w:szCs w:val="1"/>
                <w:color w:val="auto"/>
              </w:rPr>
            </w:pPr>
          </w:p>
        </w:tc>
      </w:tr>
      <w:tr>
        <w:trPr>
          <w:trHeight w:val="310"/>
        </w:trPr>
        <w:tc>
          <w:tcPr>
            <w:tcW w:w="1100" w:type="dxa"/>
            <w:vAlign w:val="bottom"/>
          </w:tcPr>
          <w:p>
            <w:pPr>
              <w:ind w:left="60"/>
              <w:spacing w:after="0"/>
              <w:rPr>
                <w:sz w:val="20"/>
                <w:szCs w:val="20"/>
                <w:color w:val="auto"/>
              </w:rPr>
            </w:pPr>
            <w:r>
              <w:rPr>
                <w:rFonts w:ascii="Arial" w:cs="Arial" w:eastAsia="Arial" w:hAnsi="Arial"/>
                <w:sz w:val="18"/>
                <w:szCs w:val="18"/>
                <w:color w:val="auto"/>
              </w:rPr>
              <w:t>10.13#</w:t>
            </w:r>
          </w:p>
        </w:tc>
        <w:tc>
          <w:tcPr>
            <w:tcW w:w="4080" w:type="dxa"/>
            <w:vAlign w:val="bottom"/>
            <w:tcBorders>
              <w:bottom w:val="single" w:sz="8" w:color="0000EE"/>
            </w:tcBorders>
            <w:gridSpan w:val="13"/>
          </w:tcPr>
          <w:p>
            <w:pPr>
              <w:spacing w:after="0"/>
              <w:rPr>
                <w:rFonts w:ascii="Arial" w:cs="Arial" w:eastAsia="Arial" w:hAnsi="Arial"/>
                <w:sz w:val="18"/>
                <w:szCs w:val="18"/>
                <w:color w:val="0000EE"/>
                <w:w w:val="99"/>
              </w:rPr>
            </w:pPr>
            <w:hyperlink r:id="rId223">
              <w:r>
                <w:rPr>
                  <w:rFonts w:ascii="Arial" w:cs="Arial" w:eastAsia="Arial" w:hAnsi="Arial"/>
                  <w:sz w:val="18"/>
                  <w:szCs w:val="18"/>
                  <w:color w:val="0000EE"/>
                  <w:w w:val="99"/>
                </w:rPr>
                <w:t>Research Collaboration, Product Development and</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License Agreement by and between NGM</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Biopharmaceuticals, Inc. and Merck Sharp &amp; Dohme</w:t>
              </w:r>
            </w:hyperlink>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18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Corp., dated as of February 18, 2015.</w:t>
              </w:r>
            </w:hyperlink>
          </w:p>
        </w:tc>
        <w:tc>
          <w:tcPr>
            <w:tcW w:w="2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100" w:type="dxa"/>
            <w:vAlign w:val="bottom"/>
          </w:tcPr>
          <w:p>
            <w:pPr>
              <w:ind w:left="60"/>
              <w:spacing w:after="0"/>
              <w:rPr>
                <w:sz w:val="20"/>
                <w:szCs w:val="20"/>
                <w:color w:val="auto"/>
              </w:rPr>
            </w:pPr>
            <w:r>
              <w:rPr>
                <w:rFonts w:ascii="Arial" w:cs="Arial" w:eastAsia="Arial" w:hAnsi="Arial"/>
                <w:sz w:val="18"/>
                <w:szCs w:val="18"/>
                <w:color w:val="auto"/>
              </w:rPr>
              <w:t>10.14#</w:t>
            </w:r>
          </w:p>
        </w:tc>
        <w:tc>
          <w:tcPr>
            <w:tcW w:w="4240" w:type="dxa"/>
            <w:vAlign w:val="bottom"/>
            <w:tcBorders>
              <w:bottom w:val="single" w:sz="8" w:color="0000EE"/>
            </w:tcBorders>
            <w:gridSpan w:val="19"/>
          </w:tcPr>
          <w:p>
            <w:pPr>
              <w:spacing w:after="0"/>
              <w:rPr>
                <w:rFonts w:ascii="Arial" w:cs="Arial" w:eastAsia="Arial" w:hAnsi="Arial"/>
                <w:sz w:val="18"/>
                <w:szCs w:val="18"/>
                <w:color w:val="0000EE"/>
                <w:w w:val="99"/>
              </w:rPr>
            </w:pPr>
            <w:hyperlink r:id="rId224">
              <w:r>
                <w:rPr>
                  <w:rFonts w:ascii="Arial" w:cs="Arial" w:eastAsia="Arial" w:hAnsi="Arial"/>
                  <w:sz w:val="18"/>
                  <w:szCs w:val="18"/>
                  <w:color w:val="0000EE"/>
                  <w:w w:val="99"/>
                </w:rPr>
                <w:t>First Amendment to Research Collaboration, Product</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3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Development and License Agreement by and between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0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NGM Biopharmaceuticals, Inc. and Merck Sharp &amp;</w:t>
              </w:r>
            </w:hyperlink>
          </w:p>
        </w:tc>
        <w:tc>
          <w:tcPr>
            <w:tcW w:w="3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380" w:type="dxa"/>
            <w:vAlign w:val="bottom"/>
            <w:gridSpan w:val="22"/>
          </w:tcPr>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Dohme Corp., dated as of January 1, 2016.</w:t>
              </w:r>
            </w:hyperlink>
          </w:p>
        </w:tc>
        <w:tc>
          <w:tcPr>
            <w:tcW w:w="0" w:type="dxa"/>
            <w:vAlign w:val="bottom"/>
          </w:tcPr>
          <w:p>
            <w:pPr>
              <w:spacing w:after="0"/>
              <w:rPr>
                <w:sz w:val="1"/>
                <w:szCs w:val="1"/>
                <w:color w:val="auto"/>
              </w:rPr>
            </w:pPr>
          </w:p>
        </w:tc>
      </w:tr>
      <w:tr>
        <w:trPr>
          <w:trHeight w:val="310"/>
        </w:trPr>
        <w:tc>
          <w:tcPr>
            <w:tcW w:w="1100" w:type="dxa"/>
            <w:vAlign w:val="bottom"/>
          </w:tcPr>
          <w:p>
            <w:pPr>
              <w:ind w:left="60"/>
              <w:spacing w:after="0"/>
              <w:rPr>
                <w:sz w:val="20"/>
                <w:szCs w:val="20"/>
                <w:color w:val="auto"/>
              </w:rPr>
            </w:pPr>
            <w:r>
              <w:rPr>
                <w:rFonts w:ascii="Arial" w:cs="Arial" w:eastAsia="Arial" w:hAnsi="Arial"/>
                <w:sz w:val="18"/>
                <w:szCs w:val="18"/>
                <w:color w:val="auto"/>
              </w:rPr>
              <w:t>10.15</w:t>
            </w:r>
          </w:p>
        </w:tc>
        <w:tc>
          <w:tcPr>
            <w:tcW w:w="3240" w:type="dxa"/>
            <w:vAlign w:val="bottom"/>
            <w:tcBorders>
              <w:bottom w:val="single" w:sz="8" w:color="0000EE"/>
            </w:tcBorders>
            <w:gridSpan w:val="5"/>
          </w:tcPr>
          <w:p>
            <w:pPr>
              <w:spacing w:after="0"/>
              <w:rPr>
                <w:rFonts w:ascii="Arial" w:cs="Arial" w:eastAsia="Arial" w:hAnsi="Arial"/>
                <w:sz w:val="18"/>
                <w:szCs w:val="18"/>
                <w:color w:val="0000EE"/>
                <w:w w:val="99"/>
              </w:rPr>
            </w:pPr>
            <w:hyperlink r:id="rId225">
              <w:r>
                <w:rPr>
                  <w:rFonts w:ascii="Arial" w:cs="Arial" w:eastAsia="Arial" w:hAnsi="Arial"/>
                  <w:sz w:val="18"/>
                  <w:szCs w:val="18"/>
                  <w:color w:val="0000EE"/>
                  <w:w w:val="99"/>
                </w:rPr>
                <w:t>Letter Agreement, by and between NGM</w:t>
              </w:r>
            </w:hyperlink>
          </w:p>
        </w:tc>
        <w:tc>
          <w:tcPr>
            <w:tcW w:w="11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Biopharmaceuticals, Inc. and Merck Sharp &amp; Dohme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1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Corp., dated as of March 20, 2015.</w:t>
              </w:r>
            </w:hyperlink>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ind w:left="60"/>
              <w:spacing w:after="0"/>
              <w:rPr>
                <w:sz w:val="20"/>
                <w:szCs w:val="20"/>
                <w:color w:val="auto"/>
              </w:rPr>
            </w:pPr>
            <w:r>
              <w:rPr>
                <w:rFonts w:ascii="Arial" w:cs="Arial" w:eastAsia="Arial" w:hAnsi="Arial"/>
                <w:sz w:val="18"/>
                <w:szCs w:val="18"/>
                <w:color w:val="auto"/>
              </w:rPr>
              <w:t>10.16#</w:t>
            </w:r>
          </w:p>
        </w:tc>
        <w:tc>
          <w:tcPr>
            <w:tcW w:w="4380" w:type="dxa"/>
            <w:vAlign w:val="bottom"/>
            <w:gridSpan w:val="22"/>
          </w:tcPr>
          <w:p>
            <w:pPr>
              <w:spacing w:after="0"/>
              <w:rPr>
                <w:rFonts w:ascii="Arial" w:cs="Arial" w:eastAsia="Arial" w:hAnsi="Arial"/>
                <w:sz w:val="18"/>
                <w:szCs w:val="18"/>
                <w:color w:val="0000EE"/>
              </w:rPr>
            </w:pPr>
            <w:hyperlink r:id="rId226">
              <w:r>
                <w:rPr>
                  <w:rFonts w:ascii="Arial" w:cs="Arial" w:eastAsia="Arial" w:hAnsi="Arial"/>
                  <w:sz w:val="18"/>
                  <w:szCs w:val="18"/>
                  <w:color w:val="0000EE"/>
                </w:rPr>
                <w:t>Multi-Product Licence Agreement by and between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20" w:type="dxa"/>
            <w:vAlign w:val="bottom"/>
            <w:tcBorders>
              <w:right w:val="single" w:sz="8" w:color="0000EE"/>
            </w:tcBorders>
            <w:gridSpan w:val="5"/>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2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226">
              <w:r>
                <w:rPr>
                  <w:rFonts w:ascii="Arial" w:cs="Arial" w:eastAsia="Arial" w:hAnsi="Arial"/>
                  <w:sz w:val="18"/>
                  <w:szCs w:val="18"/>
                  <w:color w:val="0000EE"/>
                  <w:w w:val="99"/>
                </w:rPr>
                <w:t>NGM Biopharmaceuticals, Inc. and Lonza Sales AG,</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226">
              <w:r>
                <w:rPr>
                  <w:rFonts w:ascii="Arial" w:cs="Arial" w:eastAsia="Arial" w:hAnsi="Arial"/>
                  <w:sz w:val="18"/>
                  <w:szCs w:val="18"/>
                  <w:color w:val="0000EE"/>
                </w:rPr>
                <w:t>dated as of October 31, 2014, as amended by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20" w:type="dxa"/>
            <w:vAlign w:val="bottom"/>
            <w:tcBorders>
              <w:right w:val="single" w:sz="8" w:color="0000EE"/>
            </w:tcBorders>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38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226">
              <w:r>
                <w:rPr>
                  <w:rFonts w:ascii="Arial" w:cs="Arial" w:eastAsia="Arial" w:hAnsi="Arial"/>
                  <w:sz w:val="18"/>
                  <w:szCs w:val="18"/>
                  <w:color w:val="0000EE"/>
                  <w:w w:val="99"/>
                </w:rPr>
                <w:t>Amendment No. 1 on July 28, 2015, Amendment No. 2</w:t>
              </w:r>
            </w:hyperlink>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0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226">
              <w:r>
                <w:rPr>
                  <w:rFonts w:ascii="Arial" w:cs="Arial" w:eastAsia="Arial" w:hAnsi="Arial"/>
                  <w:sz w:val="18"/>
                  <w:szCs w:val="18"/>
                  <w:color w:val="0000EE"/>
                  <w:w w:val="99"/>
                </w:rPr>
                <w:t>on October 7, 2015, Amendment No. 3 on April 26,</w:t>
              </w:r>
            </w:hyperlink>
          </w:p>
        </w:tc>
        <w:tc>
          <w:tcPr>
            <w:tcW w:w="3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6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226">
              <w:r>
                <w:rPr>
                  <w:rFonts w:ascii="Arial" w:cs="Arial" w:eastAsia="Arial" w:hAnsi="Arial"/>
                  <w:sz w:val="18"/>
                  <w:szCs w:val="18"/>
                  <w:color w:val="0000EE"/>
                </w:rPr>
                <w:t>2016, Amendment No. 4 on October 3, 2017,</w:t>
              </w:r>
            </w:hyperlink>
          </w:p>
        </w:tc>
        <w:tc>
          <w:tcPr>
            <w:tcW w:w="7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380" w:type="dxa"/>
            <w:vAlign w:val="bottom"/>
            <w:gridSpan w:val="22"/>
          </w:tcPr>
          <w:p>
            <w:pPr>
              <w:spacing w:after="0"/>
              <w:rPr>
                <w:rFonts w:ascii="Arial" w:cs="Arial" w:eastAsia="Arial" w:hAnsi="Arial"/>
                <w:sz w:val="18"/>
                <w:szCs w:val="18"/>
                <w:u w:val="single" w:color="auto"/>
                <w:color w:val="0000EE"/>
                <w:w w:val="99"/>
              </w:rPr>
            </w:pPr>
            <w:hyperlink r:id="rId226">
              <w:r>
                <w:rPr>
                  <w:rFonts w:ascii="Arial" w:cs="Arial" w:eastAsia="Arial" w:hAnsi="Arial"/>
                  <w:sz w:val="18"/>
                  <w:szCs w:val="18"/>
                  <w:u w:val="single" w:color="auto"/>
                  <w:color w:val="0000EE"/>
                  <w:w w:val="99"/>
                </w:rPr>
                <w:t>Amendment No. 5 on March 16, 2018 and Amendment</w:t>
              </w:r>
            </w:hyperlink>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4380" w:type="dxa"/>
            <w:vAlign w:val="bottom"/>
            <w:gridSpan w:val="22"/>
          </w:tcPr>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No. 6 on February 6, 2019.</w:t>
              </w:r>
            </w:hyperlink>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40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164">
              <w:r>
                <w:rPr>
                  <w:rFonts w:ascii="Arial" w:cs="Arial" w:eastAsia="Arial" w:hAnsi="Arial"/>
                  <w:sz w:val="18"/>
                  <w:szCs w:val="18"/>
                  <w:color w:val="0000EE"/>
                  <w:w w:val="99"/>
                </w:rPr>
                <w:t>Amendment No. 7 on December 22, 2020 to Multi-</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0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64">
              <w:r>
                <w:rPr>
                  <w:rFonts w:ascii="Arial" w:cs="Arial" w:eastAsia="Arial" w:hAnsi="Arial"/>
                  <w:sz w:val="18"/>
                  <w:szCs w:val="18"/>
                  <w:color w:val="0000EE"/>
                  <w:w w:val="99"/>
                </w:rPr>
                <w:t>Product Licence Agreement by and between NGM</w:t>
              </w:r>
            </w:hyperlink>
          </w:p>
        </w:tc>
        <w:tc>
          <w:tcPr>
            <w:tcW w:w="3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22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64">
              <w:r>
                <w:rPr>
                  <w:rFonts w:ascii="Arial" w:cs="Arial" w:eastAsia="Arial" w:hAnsi="Arial"/>
                  <w:sz w:val="18"/>
                  <w:szCs w:val="18"/>
                  <w:color w:val="0000EE"/>
                  <w:w w:val="99"/>
                </w:rPr>
                <w:t>Biopharmaceuticals, Inc. and Lonza Sales AG, dated</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8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164">
              <w:r>
                <w:rPr>
                  <w:rFonts w:ascii="Arial" w:cs="Arial" w:eastAsia="Arial" w:hAnsi="Arial"/>
                  <w:sz w:val="18"/>
                  <w:szCs w:val="18"/>
                  <w:color w:val="0000EE"/>
                  <w:w w:val="99"/>
                </w:rPr>
                <w:t>as of October 31, 2014</w:t>
              </w:r>
            </w:hyperlink>
          </w:p>
        </w:tc>
        <w:tc>
          <w:tcPr>
            <w:tcW w:w="25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3980" w:type="dxa"/>
            <w:vAlign w:val="bottom"/>
            <w:tcBorders>
              <w:bottom w:val="single" w:sz="8" w:color="0000EE"/>
            </w:tcBorders>
            <w:gridSpan w:val="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Amendment No. 8 on February 10, 2021 to Multi-</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0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Product Licence Agreement by and between NGM</w:t>
              </w:r>
            </w:hyperlink>
          </w:p>
        </w:tc>
        <w:tc>
          <w:tcPr>
            <w:tcW w:w="3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22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Biopharmaceuticals, Inc. and Lonza Sales AG, dated</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8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as of October 31, 2014</w:t>
              </w:r>
            </w:hyperlink>
          </w:p>
        </w:tc>
        <w:tc>
          <w:tcPr>
            <w:tcW w:w="25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00" w:type="dxa"/>
            <w:vAlign w:val="bottom"/>
          </w:tcPr>
          <w:p>
            <w:pPr>
              <w:ind w:left="60"/>
              <w:spacing w:after="0"/>
              <w:rPr>
                <w:sz w:val="20"/>
                <w:szCs w:val="20"/>
                <w:color w:val="auto"/>
              </w:rPr>
            </w:pPr>
            <w:r>
              <w:rPr>
                <w:rFonts w:ascii="Arial" w:cs="Arial" w:eastAsia="Arial" w:hAnsi="Arial"/>
                <w:sz w:val="18"/>
                <w:szCs w:val="18"/>
                <w:color w:val="auto"/>
              </w:rPr>
              <w:t>10.19</w:t>
            </w:r>
          </w:p>
        </w:tc>
        <w:tc>
          <w:tcPr>
            <w:tcW w:w="3240" w:type="dxa"/>
            <w:vAlign w:val="bottom"/>
            <w:tcBorders>
              <w:bottom w:val="single" w:sz="8" w:color="0000EE"/>
            </w:tcBorders>
            <w:gridSpan w:val="5"/>
          </w:tcPr>
          <w:p>
            <w:pPr>
              <w:spacing w:after="0"/>
              <w:rPr>
                <w:rFonts w:ascii="Arial" w:cs="Arial" w:eastAsia="Arial" w:hAnsi="Arial"/>
                <w:sz w:val="18"/>
                <w:szCs w:val="18"/>
                <w:color w:val="0000EE"/>
                <w:w w:val="99"/>
              </w:rPr>
            </w:pPr>
            <w:hyperlink r:id="rId227">
              <w:r>
                <w:rPr>
                  <w:rFonts w:ascii="Arial" w:cs="Arial" w:eastAsia="Arial" w:hAnsi="Arial"/>
                  <w:sz w:val="18"/>
                  <w:szCs w:val="18"/>
                  <w:color w:val="0000EE"/>
                  <w:w w:val="99"/>
                </w:rPr>
                <w:t>Letter Agreement, by and between NGM</w:t>
              </w:r>
            </w:hyperlink>
          </w:p>
        </w:tc>
        <w:tc>
          <w:tcPr>
            <w:tcW w:w="11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EE"/>
              </w:rPr>
            </w:pPr>
            <w:hyperlink r:id="rId227">
              <w:r>
                <w:rPr>
                  <w:rFonts w:ascii="Arial" w:cs="Arial" w:eastAsia="Arial" w:hAnsi="Arial"/>
                  <w:sz w:val="18"/>
                  <w:szCs w:val="18"/>
                  <w:color w:val="0000EE"/>
                </w:rPr>
                <w:t>Biopharmaceuticals, Inc. and Merck Sharp &amp; Dohme</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1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27">
              <w:r>
                <w:rPr>
                  <w:rFonts w:ascii="Arial" w:cs="Arial" w:eastAsia="Arial" w:hAnsi="Arial"/>
                  <w:sz w:val="18"/>
                  <w:szCs w:val="18"/>
                  <w:color w:val="0000EE"/>
                </w:rPr>
                <w:t>Corp., dated as of March 15, 2019.</w:t>
              </w:r>
            </w:hyperlink>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60"/>
              <w:spacing w:after="0"/>
              <w:rPr>
                <w:sz w:val="20"/>
                <w:szCs w:val="20"/>
                <w:color w:val="auto"/>
              </w:rPr>
            </w:pPr>
            <w:r>
              <w:rPr>
                <w:rFonts w:ascii="Arial" w:cs="Arial" w:eastAsia="Arial" w:hAnsi="Arial"/>
                <w:sz w:val="18"/>
                <w:szCs w:val="18"/>
                <w:color w:val="auto"/>
              </w:rPr>
              <w:t>21.1</w:t>
            </w:r>
          </w:p>
        </w:tc>
        <w:tc>
          <w:tcPr>
            <w:tcW w:w="2780" w:type="dxa"/>
            <w:vAlign w:val="bottom"/>
            <w:gridSpan w:val="4"/>
            <w:shd w:val="clear" w:color="auto" w:fill="0000EE"/>
          </w:tcPr>
          <w:p>
            <w:pPr>
              <w:spacing w:after="0" w:line="20" w:lineRule="exact"/>
              <w:rPr>
                <w:sz w:val="1"/>
                <w:szCs w:val="1"/>
                <w:color w:val="auto"/>
              </w:rPr>
            </w:pPr>
          </w:p>
        </w:tc>
        <w:tc>
          <w:tcPr>
            <w:tcW w:w="16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vMerge w:val="continue"/>
          </w:tcPr>
          <w:p>
            <w:pPr>
              <w:spacing w:after="0"/>
              <w:rPr>
                <w:sz w:val="24"/>
                <w:szCs w:val="24"/>
                <w:color w:val="auto"/>
              </w:rPr>
            </w:pPr>
          </w:p>
        </w:tc>
        <w:tc>
          <w:tcPr>
            <w:tcW w:w="4380" w:type="dxa"/>
            <w:vAlign w:val="bottom"/>
            <w:gridSpan w:val="22"/>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Subsidiaries of NGM Biopharmaceuticals, Inc.</w:t>
              </w:r>
            </w:hyperlink>
          </w:p>
        </w:tc>
        <w:tc>
          <w:tcPr>
            <w:tcW w:w="0" w:type="dxa"/>
            <w:vAlign w:val="bottom"/>
          </w:tcPr>
          <w:p>
            <w:pPr>
              <w:spacing w:after="0"/>
              <w:rPr>
                <w:sz w:val="1"/>
                <w:szCs w:val="1"/>
                <w:color w:val="auto"/>
              </w:rPr>
            </w:pPr>
          </w:p>
        </w:tc>
      </w:tr>
    </w:tbl>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756"/>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10.11</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756"/>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10.13</w:t>
            </w:r>
          </w:p>
        </w:tc>
        <w:tc>
          <w:tcPr>
            <w:tcW w:w="860" w:type="dxa"/>
            <w:vAlign w:val="bottom"/>
          </w:tcPr>
          <w:p>
            <w:pPr>
              <w:jc w:val="right"/>
              <w:spacing w:after="0"/>
              <w:rPr>
                <w:sz w:val="20"/>
                <w:szCs w:val="20"/>
                <w:color w:val="auto"/>
              </w:rPr>
            </w:pPr>
            <w:r>
              <w:rPr>
                <w:rFonts w:ascii="Arial" w:cs="Arial" w:eastAsia="Arial" w:hAnsi="Arial"/>
                <w:sz w:val="18"/>
                <w:szCs w:val="18"/>
                <w:color w:val="auto"/>
              </w:rPr>
              <w:t>3/25/19</w:t>
            </w:r>
          </w:p>
        </w:tc>
      </w:tr>
      <w:tr>
        <w:trPr>
          <w:trHeight w:val="675"/>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020" w:type="dxa"/>
            <w:vAlign w:val="bottom"/>
          </w:tcPr>
          <w:p>
            <w:pPr>
              <w:jc w:val="center"/>
              <w:spacing w:after="0"/>
              <w:rPr>
                <w:sz w:val="20"/>
                <w:szCs w:val="20"/>
                <w:color w:val="auto"/>
              </w:rPr>
            </w:pPr>
            <w:r>
              <w:rPr>
                <w:rFonts w:ascii="Arial" w:cs="Arial" w:eastAsia="Arial" w:hAnsi="Arial"/>
                <w:sz w:val="18"/>
                <w:szCs w:val="18"/>
                <w:color w:val="auto"/>
              </w:rPr>
              <w:t>10.12</w:t>
            </w:r>
          </w:p>
        </w:tc>
        <w:tc>
          <w:tcPr>
            <w:tcW w:w="860" w:type="dxa"/>
            <w:vAlign w:val="bottom"/>
          </w:tcPr>
          <w:p>
            <w:pPr>
              <w:jc w:val="right"/>
              <w:spacing w:after="0"/>
              <w:rPr>
                <w:sz w:val="20"/>
                <w:szCs w:val="20"/>
                <w:color w:val="auto"/>
              </w:rPr>
            </w:pPr>
            <w:r>
              <w:rPr>
                <w:rFonts w:ascii="Arial" w:cs="Arial" w:eastAsia="Arial" w:hAnsi="Arial"/>
                <w:sz w:val="18"/>
                <w:szCs w:val="18"/>
                <w:color w:val="auto"/>
              </w:rPr>
              <w:t>8/12/20</w:t>
            </w:r>
          </w:p>
        </w:tc>
      </w:tr>
      <w:tr>
        <w:trPr>
          <w:trHeight w:val="95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10.15</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95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10.16</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756"/>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10.17</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tabs>
          <w:tab w:leader="none" w:pos="940" w:val="left"/>
          <w:tab w:leader="none" w:pos="2480" w:val="left"/>
          <w:tab w:leader="none" w:pos="35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333-227608</w:t>
      </w:r>
      <w:r>
        <w:rPr>
          <w:sz w:val="20"/>
          <w:szCs w:val="20"/>
          <w:color w:val="auto"/>
        </w:rPr>
        <w:tab/>
      </w: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4/1/19</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tabs>
          <w:tab w:leader="none" w:pos="940" w:val="left"/>
          <w:tab w:leader="none" w:pos="2480" w:val="left"/>
          <w:tab w:leader="none" w:pos="34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333-227608</w:t>
      </w:r>
      <w:r>
        <w:rPr>
          <w:sz w:val="20"/>
          <w:szCs w:val="20"/>
          <w:color w:val="auto"/>
        </w:rPr>
        <w:tab/>
      </w: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3/25/19</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X</w:t>
      </w:r>
    </w:p>
    <w:p>
      <w:pPr>
        <w:sectPr>
          <w:pgSz w:w="11900" w:h="16838" w:orient="portrait"/>
          <w:cols w:equalWidth="0" w:num="2">
            <w:col w:w="5780" w:space="100"/>
            <w:col w:w="4940"/>
          </w:cols>
          <w:pgMar w:left="320" w:top="338" w:right="75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100" w:type="dxa"/>
            <w:vAlign w:val="bottom"/>
          </w:tcPr>
          <w:p>
            <w:pPr>
              <w:ind w:left="60"/>
              <w:spacing w:after="0"/>
              <w:rPr>
                <w:sz w:val="20"/>
                <w:szCs w:val="20"/>
                <w:color w:val="auto"/>
              </w:rPr>
            </w:pPr>
            <w:r>
              <w:rPr>
                <w:rFonts w:ascii="Arial" w:cs="Arial" w:eastAsia="Arial" w:hAnsi="Arial"/>
                <w:sz w:val="18"/>
                <w:szCs w:val="18"/>
                <w:color w:val="auto"/>
              </w:rPr>
              <w:t>23.1</w:t>
            </w:r>
          </w:p>
        </w:tc>
        <w:tc>
          <w:tcPr>
            <w:tcW w:w="7020" w:type="dxa"/>
            <w:vAlign w:val="bottom"/>
            <w:gridSpan w:val="12"/>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Consent of Independent Registered Public Accounting</w:t>
              </w:r>
            </w:hyperlink>
          </w:p>
        </w:tc>
        <w:tc>
          <w:tcPr>
            <w:tcW w:w="2700" w:type="dxa"/>
            <w:vAlign w:val="bottom"/>
            <w:vMerge w:val="restart"/>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w:anchor="page176">
              <w:r>
                <w:rPr>
                  <w:rFonts w:ascii="Arial" w:cs="Arial" w:eastAsia="Arial" w:hAnsi="Arial"/>
                  <w:sz w:val="18"/>
                  <w:szCs w:val="18"/>
                  <w:color w:val="0000EE"/>
                  <w:w w:val="97"/>
                </w:rPr>
                <w:t>Firm.</w:t>
              </w:r>
            </w:hyperlink>
          </w:p>
        </w:tc>
        <w:tc>
          <w:tcPr>
            <w:tcW w:w="3900" w:type="dxa"/>
            <w:vAlign w:val="bottom"/>
            <w:tcBorders>
              <w:top w:val="single" w:sz="8" w:color="0000EE"/>
            </w:tcBorders>
            <w:gridSpan w:val="9"/>
          </w:tcPr>
          <w:p>
            <w:pPr>
              <w:spacing w:after="0"/>
              <w:rPr>
                <w:sz w:val="15"/>
                <w:szCs w:val="15"/>
                <w:color w:val="auto"/>
              </w:rPr>
            </w:pPr>
          </w:p>
        </w:tc>
        <w:tc>
          <w:tcPr>
            <w:tcW w:w="2700" w:type="dxa"/>
            <w:vAlign w:val="bottom"/>
            <w:gridSpan w:val="2"/>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100" w:type="dxa"/>
            <w:vAlign w:val="bottom"/>
          </w:tcPr>
          <w:p>
            <w:pPr>
              <w:ind w:left="60"/>
              <w:spacing w:after="0"/>
              <w:rPr>
                <w:sz w:val="20"/>
                <w:szCs w:val="20"/>
                <w:color w:val="auto"/>
              </w:rPr>
            </w:pPr>
            <w:r>
              <w:rPr>
                <w:rFonts w:ascii="Arial" w:cs="Arial" w:eastAsia="Arial" w:hAnsi="Arial"/>
                <w:sz w:val="18"/>
                <w:szCs w:val="18"/>
                <w:color w:val="auto"/>
              </w:rPr>
              <w:t>24.1</w:t>
            </w:r>
          </w:p>
        </w:tc>
        <w:tc>
          <w:tcPr>
            <w:tcW w:w="7020" w:type="dxa"/>
            <w:vAlign w:val="bottom"/>
            <w:gridSpan w:val="12"/>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Power of Attorney (included on signature page).</w:t>
              </w:r>
            </w:hyperlink>
          </w:p>
        </w:tc>
        <w:tc>
          <w:tcPr>
            <w:tcW w:w="2700" w:type="dxa"/>
            <w:vAlign w:val="bottom"/>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307"/>
        </w:trPr>
        <w:tc>
          <w:tcPr>
            <w:tcW w:w="1100" w:type="dxa"/>
            <w:vAlign w:val="bottom"/>
          </w:tcPr>
          <w:p>
            <w:pPr>
              <w:ind w:left="60"/>
              <w:spacing w:after="0"/>
              <w:rPr>
                <w:sz w:val="20"/>
                <w:szCs w:val="20"/>
                <w:color w:val="auto"/>
              </w:rPr>
            </w:pPr>
            <w:r>
              <w:rPr>
                <w:rFonts w:ascii="Arial" w:cs="Arial" w:eastAsia="Arial" w:hAnsi="Arial"/>
                <w:sz w:val="18"/>
                <w:szCs w:val="18"/>
                <w:color w:val="auto"/>
              </w:rPr>
              <w:t>31.1</w:t>
            </w:r>
          </w:p>
        </w:tc>
        <w:tc>
          <w:tcPr>
            <w:tcW w:w="39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77">
              <w:r>
                <w:rPr>
                  <w:rFonts w:ascii="Arial" w:cs="Arial" w:eastAsia="Arial" w:hAnsi="Arial"/>
                  <w:sz w:val="18"/>
                  <w:szCs w:val="18"/>
                  <w:color w:val="0000EE"/>
                  <w:w w:val="99"/>
                </w:rPr>
                <w:t>Certification of Chief Executive Officer pursuant to</w:t>
              </w:r>
            </w:hyperlink>
          </w:p>
        </w:tc>
        <w:tc>
          <w:tcPr>
            <w:tcW w:w="3040" w:type="dxa"/>
            <w:vAlign w:val="bottom"/>
            <w:gridSpan w:val="5"/>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9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77">
              <w:r>
                <w:rPr>
                  <w:rFonts w:ascii="Arial" w:cs="Arial" w:eastAsia="Arial" w:hAnsi="Arial"/>
                  <w:sz w:val="18"/>
                  <w:szCs w:val="18"/>
                  <w:color w:val="0000EE"/>
                  <w:w w:val="99"/>
                </w:rPr>
                <w:t>Exchange Act Rules 13a-14(a) and 15d-14(a), as</w:t>
              </w:r>
            </w:hyperlink>
          </w:p>
        </w:tc>
        <w:tc>
          <w:tcPr>
            <w:tcW w:w="3080" w:type="dxa"/>
            <w:vAlign w:val="bottom"/>
            <w:gridSpan w:val="6"/>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7020" w:type="dxa"/>
            <w:vAlign w:val="bottom"/>
            <w:gridSpan w:val="12"/>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adopted pursuant to Section 302 of the Sarbanes-Oxley</w:t>
              </w:r>
            </w:hyperlink>
          </w:p>
        </w:tc>
        <w:tc>
          <w:tcPr>
            <w:tcW w:w="2700" w:type="dxa"/>
            <w:vAlign w:val="bottom"/>
            <w:vMerge w:val="restart"/>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4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Act of 2002</w:t>
              </w:r>
              <w:r>
                <w:rPr>
                  <w:rFonts w:ascii="Arial" w:cs="Arial" w:eastAsia="Arial" w:hAnsi="Arial"/>
                  <w:sz w:val="18"/>
                  <w:szCs w:val="18"/>
                  <w:color w:val="000000"/>
                </w:rPr>
                <w:t>.</w:t>
              </w:r>
            </w:hyperlink>
          </w:p>
        </w:tc>
        <w:tc>
          <w:tcPr>
            <w:tcW w:w="258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tcPr>
          <w:p>
            <w:pPr>
              <w:ind w:left="60"/>
              <w:spacing w:after="0"/>
              <w:rPr>
                <w:sz w:val="20"/>
                <w:szCs w:val="20"/>
                <w:color w:val="auto"/>
              </w:rPr>
            </w:pPr>
            <w:r>
              <w:rPr>
                <w:rFonts w:ascii="Arial" w:cs="Arial" w:eastAsia="Arial" w:hAnsi="Arial"/>
                <w:sz w:val="18"/>
                <w:szCs w:val="18"/>
                <w:color w:val="auto"/>
              </w:rPr>
              <w:t>31.2</w:t>
            </w:r>
          </w:p>
        </w:tc>
        <w:tc>
          <w:tcPr>
            <w:tcW w:w="39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Certification of Chief Financial Officer pursuant to</w:t>
              </w:r>
            </w:hyperlink>
          </w:p>
        </w:tc>
        <w:tc>
          <w:tcPr>
            <w:tcW w:w="3100" w:type="dxa"/>
            <w:vAlign w:val="bottom"/>
            <w:gridSpan w:val="7"/>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9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78">
              <w:r>
                <w:rPr>
                  <w:rFonts w:ascii="Arial" w:cs="Arial" w:eastAsia="Arial" w:hAnsi="Arial"/>
                  <w:sz w:val="18"/>
                  <w:szCs w:val="18"/>
                  <w:color w:val="0000EE"/>
                  <w:w w:val="99"/>
                </w:rPr>
                <w:t>Exchange Act Rules 13a-14(a) and 15d-14(a), as</w:t>
              </w:r>
            </w:hyperlink>
          </w:p>
        </w:tc>
        <w:tc>
          <w:tcPr>
            <w:tcW w:w="3080" w:type="dxa"/>
            <w:vAlign w:val="bottom"/>
            <w:gridSpan w:val="6"/>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7020" w:type="dxa"/>
            <w:vAlign w:val="bottom"/>
            <w:gridSpan w:val="12"/>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adopted pursuant to Section 302 of the Sarbanes-Oxley</w:t>
              </w:r>
            </w:hyperlink>
          </w:p>
        </w:tc>
        <w:tc>
          <w:tcPr>
            <w:tcW w:w="2700" w:type="dxa"/>
            <w:vAlign w:val="bottom"/>
            <w:vMerge w:val="restart"/>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4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Act of 2002</w:t>
              </w:r>
              <w:r>
                <w:rPr>
                  <w:rFonts w:ascii="Arial" w:cs="Arial" w:eastAsia="Arial" w:hAnsi="Arial"/>
                  <w:sz w:val="18"/>
                  <w:szCs w:val="18"/>
                  <w:color w:val="000000"/>
                </w:rPr>
                <w:t>.</w:t>
              </w:r>
            </w:hyperlink>
          </w:p>
        </w:tc>
        <w:tc>
          <w:tcPr>
            <w:tcW w:w="258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00" w:type="dxa"/>
            <w:vAlign w:val="bottom"/>
          </w:tcPr>
          <w:p>
            <w:pPr>
              <w:ind w:left="60"/>
              <w:spacing w:after="0"/>
              <w:rPr>
                <w:sz w:val="20"/>
                <w:szCs w:val="20"/>
                <w:color w:val="auto"/>
              </w:rPr>
            </w:pPr>
            <w:r>
              <w:rPr>
                <w:rFonts w:ascii="Arial" w:cs="Arial" w:eastAsia="Arial" w:hAnsi="Arial"/>
                <w:sz w:val="18"/>
                <w:szCs w:val="18"/>
                <w:color w:val="auto"/>
              </w:rPr>
              <w:t>32.1†</w:t>
            </w:r>
          </w:p>
        </w:tc>
        <w:tc>
          <w:tcPr>
            <w:tcW w:w="7020" w:type="dxa"/>
            <w:vAlign w:val="bottom"/>
            <w:gridSpan w:val="1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Certification of Chief Executive Officer and Chief</w:t>
              </w:r>
            </w:hyperlink>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0" w:type="dxa"/>
            <w:vAlign w:val="bottom"/>
          </w:tcPr>
          <w:p>
            <w:pPr>
              <w:spacing w:after="0"/>
              <w:rPr>
                <w:sz w:val="15"/>
                <w:szCs w:val="15"/>
                <w:color w:val="auto"/>
              </w:rPr>
            </w:pPr>
          </w:p>
        </w:tc>
        <w:tc>
          <w:tcPr>
            <w:tcW w:w="42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79">
              <w:r>
                <w:rPr>
                  <w:rFonts w:ascii="Arial" w:cs="Arial" w:eastAsia="Arial" w:hAnsi="Arial"/>
                  <w:sz w:val="18"/>
                  <w:szCs w:val="18"/>
                  <w:color w:val="0000EE"/>
                  <w:w w:val="99"/>
                </w:rPr>
                <w:t>Financial Officer pursuant to 18 U.S.C. Section 1350,</w:t>
              </w:r>
            </w:hyperlink>
          </w:p>
        </w:tc>
        <w:tc>
          <w:tcPr>
            <w:tcW w:w="2780" w:type="dxa"/>
            <w:vAlign w:val="bottom"/>
            <w:gridSpan w:val="3"/>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7020" w:type="dxa"/>
            <w:vAlign w:val="bottom"/>
            <w:gridSpan w:val="12"/>
          </w:tcPr>
          <w:p>
            <w:pPr>
              <w:spacing w:after="0" w:line="182" w:lineRule="exact"/>
              <w:rPr>
                <w:rFonts w:ascii="Arial" w:cs="Arial" w:eastAsia="Arial" w:hAnsi="Arial"/>
                <w:sz w:val="18"/>
                <w:szCs w:val="18"/>
                <w:color w:val="0000EE"/>
              </w:rPr>
            </w:pPr>
            <w:hyperlink w:anchor="page179">
              <w:r>
                <w:rPr>
                  <w:rFonts w:ascii="Arial" w:cs="Arial" w:eastAsia="Arial" w:hAnsi="Arial"/>
                  <w:sz w:val="18"/>
                  <w:szCs w:val="18"/>
                  <w:color w:val="0000EE"/>
                </w:rPr>
                <w:t>as adopted pursuant to Section 906 of the Sarbanes-</w:t>
              </w:r>
            </w:hyperlink>
          </w:p>
        </w:tc>
        <w:tc>
          <w:tcPr>
            <w:tcW w:w="2700" w:type="dxa"/>
            <w:vAlign w:val="bottom"/>
            <w:vMerge w:val="restart"/>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179">
              <w:r>
                <w:rPr>
                  <w:rFonts w:ascii="Arial" w:cs="Arial" w:eastAsia="Arial" w:hAnsi="Arial"/>
                  <w:sz w:val="18"/>
                  <w:szCs w:val="18"/>
                  <w:color w:val="0000EE"/>
                  <w:w w:val="99"/>
                </w:rPr>
                <w:t>Oxley Act of 2002.</w:t>
              </w:r>
            </w:hyperlink>
          </w:p>
        </w:tc>
        <w:tc>
          <w:tcPr>
            <w:tcW w:w="2740" w:type="dxa"/>
            <w:vAlign w:val="bottom"/>
            <w:tcBorders>
              <w:top w:val="single" w:sz="8" w:color="0000EE"/>
            </w:tcBorders>
            <w:gridSpan w:val="5"/>
          </w:tcPr>
          <w:p>
            <w:pPr>
              <w:spacing w:after="0"/>
              <w:rPr>
                <w:sz w:val="15"/>
                <w:szCs w:val="15"/>
                <w:color w:val="auto"/>
              </w:rPr>
            </w:pPr>
          </w:p>
        </w:tc>
        <w:tc>
          <w:tcPr>
            <w:tcW w:w="2800" w:type="dxa"/>
            <w:vAlign w:val="bottom"/>
            <w:gridSpan w:val="4"/>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0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2700" w:type="dxa"/>
            <w:vAlign w:val="bottom"/>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0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2700" w:type="dxa"/>
            <w:vAlign w:val="bottom"/>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333"/>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70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2700" w:type="dxa"/>
            <w:vAlign w:val="bottom"/>
            <w:vMerge w:val="restart"/>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100" w:type="dxa"/>
            <w:vAlign w:val="bottom"/>
          </w:tcPr>
          <w:p>
            <w:pPr>
              <w:spacing w:after="0"/>
              <w:rPr>
                <w:sz w:val="19"/>
                <w:szCs w:val="19"/>
                <w:color w:val="auto"/>
              </w:rPr>
            </w:pPr>
          </w:p>
        </w:tc>
        <w:tc>
          <w:tcPr>
            <w:tcW w:w="70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2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70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c>
          <w:tcPr>
            <w:tcW w:w="2700" w:type="dxa"/>
            <w:vAlign w:val="bottom"/>
            <w:vMerge w:val="restart"/>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100" w:type="dxa"/>
            <w:vAlign w:val="bottom"/>
          </w:tcPr>
          <w:p>
            <w:pPr>
              <w:spacing w:after="0"/>
              <w:rPr>
                <w:sz w:val="19"/>
                <w:szCs w:val="19"/>
                <w:color w:val="auto"/>
              </w:rPr>
            </w:pPr>
          </w:p>
        </w:tc>
        <w:tc>
          <w:tcPr>
            <w:tcW w:w="70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2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70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2700" w:type="dxa"/>
            <w:vAlign w:val="bottom"/>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33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70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c>
          <w:tcPr>
            <w:tcW w:w="2700" w:type="dxa"/>
            <w:vAlign w:val="bottom"/>
            <w:vMerge w:val="restart"/>
          </w:tcPr>
          <w:p>
            <w:pPr>
              <w:ind w:left="258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100" w:type="dxa"/>
            <w:vAlign w:val="bottom"/>
          </w:tcPr>
          <w:p>
            <w:pPr>
              <w:spacing w:after="0"/>
              <w:rPr>
                <w:sz w:val="19"/>
                <w:szCs w:val="19"/>
                <w:color w:val="auto"/>
              </w:rPr>
            </w:pPr>
          </w:p>
        </w:tc>
        <w:tc>
          <w:tcPr>
            <w:tcW w:w="70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2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04" w:lineRule="exact"/>
        <w:rPr>
          <w:sz w:val="20"/>
          <w:szCs w:val="20"/>
          <w:color w:val="auto"/>
        </w:rPr>
      </w:pPr>
    </w:p>
    <w:p>
      <w:pPr>
        <w:ind w:left="400" w:hanging="392"/>
        <w:spacing w:after="0" w:line="246"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222222"/>
        </w:rPr>
        <w:t xml:space="preserve">Certain identified information has been excluded from this exhibit </w:t>
      </w:r>
      <w:r>
        <w:rPr>
          <w:rFonts w:ascii="Arial" w:cs="Arial" w:eastAsia="Arial" w:hAnsi="Arial"/>
          <w:sz w:val="18"/>
          <w:szCs w:val="18"/>
          <w:color w:val="000000"/>
        </w:rPr>
        <w:t>because it is both not material and would be competitively harmful if</w:t>
      </w:r>
      <w:r>
        <w:rPr>
          <w:rFonts w:ascii="Arial" w:cs="Arial" w:eastAsia="Arial" w:hAnsi="Arial"/>
          <w:sz w:val="18"/>
          <w:szCs w:val="18"/>
          <w:color w:val="222222"/>
        </w:rPr>
        <w:t xml:space="preserve"> </w:t>
      </w:r>
      <w:r>
        <w:rPr>
          <w:rFonts w:ascii="Arial" w:cs="Arial" w:eastAsia="Arial" w:hAnsi="Arial"/>
          <w:sz w:val="18"/>
          <w:szCs w:val="18"/>
          <w:color w:val="000000"/>
        </w:rPr>
        <w:t>publicly disclosed</w:t>
      </w:r>
      <w:r>
        <w:rPr>
          <w:rFonts w:ascii="Arial" w:cs="Arial" w:eastAsia="Arial" w:hAnsi="Arial"/>
          <w:sz w:val="18"/>
          <w:szCs w:val="18"/>
          <w:color w:val="222222"/>
        </w:rPr>
        <w:t>.</w:t>
      </w:r>
    </w:p>
    <w:p>
      <w:pPr>
        <w:spacing w:after="0" w:line="197"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Confidential treatment has been granted for a portion of this exhibit.</w:t>
      </w:r>
    </w:p>
    <w:p>
      <w:pPr>
        <w:spacing w:after="0" w:line="212" w:lineRule="exact"/>
        <w:rPr>
          <w:sz w:val="20"/>
          <w:szCs w:val="20"/>
          <w:color w:val="auto"/>
        </w:rPr>
      </w:pPr>
    </w:p>
    <w:p>
      <w:pPr>
        <w:jc w:val="both"/>
        <w:ind w:left="400" w:hanging="392"/>
        <w:spacing w:after="0" w:line="238" w:lineRule="auto"/>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are not deemed filed with the SEC and are not to be incorporated by reference into any filing of NGM Biopharmaceuticals,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NGM Biopharmaceuticals, Inc.</w:t>
      </w:r>
    </w:p>
    <w:p>
      <w:pPr>
        <w:spacing w:after="0" w:line="301"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wp:posOffset>
            </wp:positionV>
            <wp:extent cx="29914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J. Woodhouse, Ph.D.</w:t>
      </w:r>
    </w:p>
    <w:p>
      <w:pPr>
        <w:ind w:left="65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79"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 /s/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wp:posOffset>
            </wp:positionV>
            <wp:extent cx="29914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Siobhan Nolan Mangini</w:t>
      </w:r>
    </w:p>
    <w:p>
      <w:pPr>
        <w:spacing w:after="0" w:line="18"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David J. Woodhouse, Siobhan Nolan Mangini and Valerie Pierce,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19"/>
                <w:szCs w:val="19"/>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37"/>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J. Woodhouse</w:t>
            </w:r>
          </w:p>
        </w:tc>
        <w:tc>
          <w:tcPr>
            <w:tcW w:w="120" w:type="dxa"/>
            <w:vAlign w:val="bottom"/>
          </w:tcPr>
          <w:p>
            <w:pPr>
              <w:spacing w:after="0"/>
              <w:rPr>
                <w:sz w:val="20"/>
                <w:szCs w:val="20"/>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Executive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David J. Woodhouse, Ph.D.</w:t>
            </w:r>
          </w:p>
        </w:tc>
        <w:tc>
          <w:tcPr>
            <w:tcW w:w="120" w:type="dxa"/>
            <w:vAlign w:val="bottom"/>
          </w:tcPr>
          <w:p>
            <w:pPr>
              <w:spacing w:after="0"/>
              <w:rPr>
                <w:sz w:val="21"/>
                <w:szCs w:val="21"/>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(Principal Executive Officer)</w:t>
            </w:r>
          </w:p>
        </w:tc>
        <w:tc>
          <w:tcPr>
            <w:tcW w:w="1840" w:type="dxa"/>
            <w:vAlign w:val="bottom"/>
          </w:tcPr>
          <w:p>
            <w:pPr>
              <w:spacing w:after="0"/>
              <w:rPr>
                <w:sz w:val="21"/>
                <w:szCs w:val="21"/>
                <w:color w:val="auto"/>
              </w:rPr>
            </w:pPr>
          </w:p>
        </w:tc>
      </w:tr>
      <w:tr>
        <w:trPr>
          <w:trHeight w:val="47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Siobhan Nolan Mangini</w:t>
            </w:r>
          </w:p>
        </w:tc>
        <w:tc>
          <w:tcPr>
            <w:tcW w:w="120" w:type="dxa"/>
            <w:vAlign w:val="bottom"/>
          </w:tcPr>
          <w:p>
            <w:pPr>
              <w:spacing w:after="0"/>
              <w:rPr>
                <w:sz w:val="24"/>
                <w:szCs w:val="24"/>
                <w:color w:val="auto"/>
              </w:rPr>
            </w:pPr>
          </w:p>
        </w:tc>
        <w:tc>
          <w:tcPr>
            <w:tcW w:w="59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Chief Financial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Siobhan Nolan Mangini</w:t>
            </w:r>
          </w:p>
        </w:tc>
        <w:tc>
          <w:tcPr>
            <w:tcW w:w="120" w:type="dxa"/>
            <w:vAlign w:val="bottom"/>
          </w:tcPr>
          <w:p>
            <w:pPr>
              <w:spacing w:after="0"/>
              <w:rPr>
                <w:sz w:val="21"/>
                <w:szCs w:val="21"/>
                <w:color w:val="auto"/>
              </w:rPr>
            </w:pPr>
          </w:p>
        </w:tc>
        <w:tc>
          <w:tcPr>
            <w:tcW w:w="5940" w:type="dxa"/>
            <w:vAlign w:val="bottom"/>
            <w:gridSpan w:val="2"/>
          </w:tcPr>
          <w:p>
            <w:pPr>
              <w:ind w:left="1200"/>
              <w:spacing w:after="0"/>
              <w:rPr>
                <w:sz w:val="20"/>
                <w:szCs w:val="20"/>
                <w:color w:val="auto"/>
              </w:rPr>
            </w:pPr>
            <w:r>
              <w:rPr>
                <w:rFonts w:ascii="Arial" w:cs="Arial" w:eastAsia="Arial" w:hAnsi="Arial"/>
                <w:sz w:val="18"/>
                <w:szCs w:val="18"/>
                <w:i w:val="1"/>
                <w:iCs w:val="1"/>
                <w:color w:val="auto"/>
              </w:rPr>
              <w:t>(Principal Financial and Accounting Officer)</w:t>
            </w:r>
          </w:p>
        </w:tc>
        <w:tc>
          <w:tcPr>
            <w:tcW w:w="1840" w:type="dxa"/>
            <w:vAlign w:val="bottom"/>
          </w:tcPr>
          <w:p>
            <w:pPr>
              <w:spacing w:after="0"/>
              <w:rPr>
                <w:sz w:val="21"/>
                <w:szCs w:val="21"/>
                <w:color w:val="auto"/>
              </w:rPr>
            </w:pPr>
          </w:p>
        </w:tc>
      </w:tr>
      <w:tr>
        <w:trPr>
          <w:trHeight w:val="43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Bill Rieflin</w:t>
            </w:r>
          </w:p>
        </w:tc>
        <w:tc>
          <w:tcPr>
            <w:tcW w:w="120" w:type="dxa"/>
            <w:vAlign w:val="bottom"/>
          </w:tcPr>
          <w:p>
            <w:pPr>
              <w:spacing w:after="0"/>
              <w:rPr>
                <w:sz w:val="24"/>
                <w:szCs w:val="24"/>
                <w:color w:val="auto"/>
              </w:rPr>
            </w:pPr>
          </w:p>
        </w:tc>
        <w:tc>
          <w:tcPr>
            <w:tcW w:w="59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Executive Chairman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William J. Rieflin</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Jin-Long Chen</w:t>
            </w:r>
          </w:p>
        </w:tc>
        <w:tc>
          <w:tcPr>
            <w:tcW w:w="120" w:type="dxa"/>
            <w:vAlign w:val="bottom"/>
          </w:tcPr>
          <w:p>
            <w:pPr>
              <w:spacing w:after="0"/>
              <w:rPr>
                <w:sz w:val="24"/>
                <w:szCs w:val="24"/>
                <w:color w:val="auto"/>
              </w:rPr>
            </w:pPr>
          </w:p>
        </w:tc>
        <w:tc>
          <w:tcPr>
            <w:tcW w:w="59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Chief Scientific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Jin-Long Chen, Ph.D.</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V. Goeddel, Ph.D.</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8"/>
              </w:rPr>
              <w:t>David V. Goeddel, Ph.D.</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3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Shelly D. Guyer</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Shelly D. Guyer</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3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Carole Ho</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rPr>
              <w:t>Carole Ho, MD</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Suzanne Hooper</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rPr>
              <w:t>Suzanne Sawochka Hooper</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Leschly</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Mark Leschly</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/s/ David Schnell, M.D.</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David Schnell, M.D.</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McHenry T. Tichenor</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7"/>
              </w:rPr>
              <w:t>McHenry T. Tichenor, Jr.</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661"/>
        </w:trPr>
        <w:tc>
          <w:tcPr>
            <w:tcW w:w="3340" w:type="dxa"/>
            <w:vAlign w:val="bottom"/>
          </w:tcPr>
          <w:p>
            <w:pPr>
              <w:spacing w:after="0"/>
              <w:rPr>
                <w:sz w:val="24"/>
                <w:szCs w:val="24"/>
                <w:color w:val="auto"/>
              </w:rPr>
            </w:pPr>
          </w:p>
        </w:tc>
        <w:tc>
          <w:tcPr>
            <w:tcW w:w="5940" w:type="dxa"/>
            <w:vAlign w:val="bottom"/>
            <w:gridSpan w:val="2"/>
          </w:tcPr>
          <w:p>
            <w:pPr>
              <w:jc w:val="right"/>
              <w:ind w:right="34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40"/>
          </w:cols>
          <w:pgMar w:left="320" w:top="373"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6089015</wp:posOffset>
            </wp:positionH>
            <wp:positionV relativeFrom="page">
              <wp:posOffset>234950</wp:posOffset>
            </wp:positionV>
            <wp:extent cx="1165860" cy="222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222885"/>
                    </a:xfrm>
                    <a:prstGeom prst="rect">
                      <a:avLst/>
                    </a:prstGeom>
                    <a:noFill/>
                  </pic:spPr>
                </pic:pic>
              </a:graphicData>
            </a:graphic>
          </wp:anchor>
        </w:drawing>
        <w:t>CONFIDENTIAL</w:t>
      </w:r>
    </w:p>
    <w:p>
      <w:pPr>
        <w:spacing w:after="0" w:line="200" w:lineRule="exact"/>
        <w:rPr>
          <w:sz w:val="20"/>
          <w:szCs w:val="20"/>
          <w:color w:val="auto"/>
        </w:rPr>
      </w:pPr>
    </w:p>
    <w:p>
      <w:pPr>
        <w:spacing w:after="0" w:line="376" w:lineRule="exact"/>
        <w:rPr>
          <w:sz w:val="20"/>
          <w:szCs w:val="20"/>
          <w:color w:val="auto"/>
        </w:rPr>
      </w:pPr>
    </w:p>
    <w:p>
      <w:pPr>
        <w:ind w:right="240" w:firstLine="8"/>
        <w:spacing w:after="0" w:line="246"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10.17</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AMENDMENT No. 7</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to</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MULTI-PRODUCT LICENCE AGREEMENT</w:t>
      </w:r>
    </w:p>
    <w:p>
      <w:pPr>
        <w:spacing w:after="0" w:line="39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dated</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October 2014</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LONZA SALES AG</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NGM BIOPHARMACEUTICALS,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6200140</wp:posOffset>
            </wp:positionH>
            <wp:positionV relativeFrom="page">
              <wp:posOffset>183515</wp:posOffset>
            </wp:positionV>
            <wp:extent cx="113157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40030"/>
                    </a:xfrm>
                    <a:prstGeom prst="rect">
                      <a:avLst/>
                    </a:prstGeom>
                    <a:noFill/>
                  </pic:spPr>
                </pic:pic>
              </a:graphicData>
            </a:graphic>
          </wp:anchor>
        </w:drawing>
        <w:t>CONFIDENTIAL</w:t>
      </w:r>
    </w:p>
    <w:p>
      <w:pPr>
        <w:spacing w:after="0" w:line="200" w:lineRule="exact"/>
        <w:rPr>
          <w:sz w:val="20"/>
          <w:szCs w:val="20"/>
          <w:color w:val="auto"/>
        </w:rPr>
      </w:pPr>
    </w:p>
    <w:p>
      <w:pPr>
        <w:spacing w:after="0" w:line="238" w:lineRule="exact"/>
        <w:rPr>
          <w:sz w:val="20"/>
          <w:szCs w:val="20"/>
          <w:color w:val="auto"/>
        </w:rPr>
      </w:pPr>
    </w:p>
    <w:p>
      <w:pPr>
        <w:jc w:val="both"/>
        <w:ind w:left="20" w:hanging="12"/>
        <w:spacing w:after="0" w:line="229" w:lineRule="auto"/>
        <w:rPr>
          <w:sz w:val="20"/>
          <w:szCs w:val="20"/>
          <w:color w:val="auto"/>
        </w:rPr>
      </w:pPr>
      <w:r>
        <w:rPr>
          <w:rFonts w:ascii="Arial" w:cs="Arial" w:eastAsia="Arial" w:hAnsi="Arial"/>
          <w:sz w:val="20"/>
          <w:szCs w:val="20"/>
          <w:color w:val="auto"/>
        </w:rPr>
        <w:t>THIS AMENDMENT No. 7 (“Amendment No.7”) to the Multi-Product Licence Agreement, dated 31 October 2014, as amended by Amendment No. 1, dated 28 July 2015, Amendment No. 2, dated 07 October 2015, Amendment No. 3, dated 26 April 2016, Amendment No. 4, dated 03 October 2017, Amendment No. 5, dated 16 March 2018, and Amendment No. 6, dated 06 February 2019 (collectively the “Agreement”) is made effective as of the last dates of signatures between the parties (the “Amendment No. 7 Effective Date”).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Between</w:t>
      </w:r>
    </w:p>
    <w:p>
      <w:pPr>
        <w:spacing w:after="0" w:line="70" w:lineRule="exact"/>
        <w:rPr>
          <w:sz w:val="20"/>
          <w:szCs w:val="20"/>
          <w:color w:val="auto"/>
        </w:rPr>
      </w:pPr>
    </w:p>
    <w:p>
      <w:pPr>
        <w:jc w:val="both"/>
        <w:ind w:left="20" w:hanging="12"/>
        <w:spacing w:after="0" w:line="257" w:lineRule="auto"/>
        <w:rPr>
          <w:sz w:val="20"/>
          <w:szCs w:val="20"/>
          <w:color w:val="auto"/>
        </w:rPr>
      </w:pPr>
      <w:r>
        <w:rPr>
          <w:rFonts w:ascii="Arial" w:cs="Arial" w:eastAsia="Arial" w:hAnsi="Arial"/>
          <w:sz w:val="20"/>
          <w:szCs w:val="20"/>
          <w:b w:val="1"/>
          <w:bCs w:val="1"/>
          <w:color w:val="auto"/>
        </w:rPr>
        <w:t xml:space="preserve">LONZA SALES AG </w:t>
      </w:r>
      <w:r>
        <w:rPr>
          <w:rFonts w:ascii="Arial" w:cs="Arial" w:eastAsia="Arial" w:hAnsi="Arial"/>
          <w:sz w:val="20"/>
          <w:szCs w:val="20"/>
          <w:color w:val="auto"/>
        </w:rPr>
        <w:t>incorporated and registered in Switzerland whose registered office is at Muenchensteinerstrasse 38, CH-4002, Basel, Switzerland ("Lonza"), and</w:t>
      </w:r>
    </w:p>
    <w:p>
      <w:pPr>
        <w:spacing w:after="0" w:line="47" w:lineRule="exact"/>
        <w:rPr>
          <w:sz w:val="20"/>
          <w:szCs w:val="20"/>
          <w:color w:val="auto"/>
        </w:rPr>
      </w:pPr>
    </w:p>
    <w:p>
      <w:pPr>
        <w:jc w:val="both"/>
        <w:ind w:left="20" w:hanging="12"/>
        <w:spacing w:after="0" w:line="257" w:lineRule="auto"/>
        <w:rPr>
          <w:sz w:val="20"/>
          <w:szCs w:val="20"/>
          <w:color w:val="auto"/>
        </w:rPr>
      </w:pPr>
      <w:r>
        <w:rPr>
          <w:rFonts w:ascii="Arial" w:cs="Arial" w:eastAsia="Arial" w:hAnsi="Arial"/>
          <w:sz w:val="20"/>
          <w:szCs w:val="20"/>
          <w:b w:val="1"/>
          <w:bCs w:val="1"/>
          <w:color w:val="auto"/>
        </w:rPr>
        <w:t xml:space="preserve">NGM BIOPHARMACEUTICALS, INC., </w:t>
      </w:r>
      <w:r>
        <w:rPr>
          <w:rFonts w:ascii="Arial" w:cs="Arial" w:eastAsia="Arial" w:hAnsi="Arial"/>
          <w:sz w:val="20"/>
          <w:szCs w:val="20"/>
          <w:color w:val="auto"/>
        </w:rPr>
        <w:t>incorporated and registered in the State of Delaware whose registered office is at 333</w:t>
      </w:r>
      <w:r>
        <w:rPr>
          <w:rFonts w:ascii="Arial" w:cs="Arial" w:eastAsia="Arial" w:hAnsi="Arial"/>
          <w:sz w:val="20"/>
          <w:szCs w:val="20"/>
          <w:b w:val="1"/>
          <w:bCs w:val="1"/>
          <w:color w:val="auto"/>
        </w:rPr>
        <w:t xml:space="preserve"> </w:t>
      </w:r>
      <w:r>
        <w:rPr>
          <w:rFonts w:ascii="Arial" w:cs="Arial" w:eastAsia="Arial" w:hAnsi="Arial"/>
          <w:sz w:val="20"/>
          <w:szCs w:val="20"/>
          <w:color w:val="auto"/>
        </w:rPr>
        <w:t>Oyster Point Blvd., South San Francisco, CA 94080, USA, ("Licensee").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Lonza and Licensee may be independently defined as a “Party” or collectively as the “Parties”.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94" w:lineRule="exact"/>
        <w:rPr>
          <w:sz w:val="20"/>
          <w:szCs w:val="20"/>
          <w:color w:val="auto"/>
        </w:rPr>
      </w:pPr>
    </w:p>
    <w:p>
      <w:pPr>
        <w:ind w:left="920" w:hanging="912"/>
        <w:spacing w:after="0" w:line="236" w:lineRule="auto"/>
        <w:tabs>
          <w:tab w:leader="none" w:pos="9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Lonza and the Licensee entered into the Agreement, pursuant to which Lonza licensed certain Intellectual Property Rights (as therein defined) to the Licensee (“Agreement”).</w:t>
      </w:r>
    </w:p>
    <w:p>
      <w:pPr>
        <w:spacing w:after="0" w:line="87" w:lineRule="exact"/>
        <w:rPr>
          <w:rFonts w:ascii="Arial" w:cs="Arial" w:eastAsia="Arial" w:hAnsi="Arial"/>
          <w:sz w:val="20"/>
          <w:szCs w:val="20"/>
          <w:color w:val="auto"/>
        </w:rPr>
      </w:pPr>
    </w:p>
    <w:p>
      <w:pPr>
        <w:ind w:left="920" w:hanging="912"/>
        <w:spacing w:after="0"/>
        <w:tabs>
          <w:tab w:leader="none" w:pos="9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Lonza previously granted its consent to the appointment of Licensee’s Affiliate,</w:t>
      </w:r>
    </w:p>
    <w:p>
      <w:pPr>
        <w:spacing w:after="0" w:line="94" w:lineRule="exact"/>
        <w:rPr>
          <w:rFonts w:ascii="Arial" w:cs="Arial" w:eastAsia="Arial" w:hAnsi="Arial"/>
          <w:sz w:val="20"/>
          <w:szCs w:val="20"/>
          <w:color w:val="auto"/>
        </w:rPr>
      </w:pPr>
    </w:p>
    <w:p>
      <w:pPr>
        <w:ind w:left="940" w:hanging="12"/>
        <w:spacing w:after="0" w:line="236" w:lineRule="auto"/>
        <w:rPr>
          <w:rFonts w:ascii="Arial" w:cs="Arial" w:eastAsia="Arial" w:hAnsi="Arial"/>
          <w:sz w:val="20"/>
          <w:szCs w:val="20"/>
          <w:color w:val="auto"/>
        </w:rPr>
      </w:pPr>
      <w:r>
        <w:rPr>
          <w:rFonts w:ascii="Arial" w:cs="Arial" w:eastAsia="Arial" w:hAnsi="Arial"/>
          <w:sz w:val="20"/>
          <w:szCs w:val="20"/>
          <w:color w:val="auto"/>
        </w:rPr>
        <w:t>NGM Biopharmaceuticals Australia Pty Ltd. (“NGM Australia”), as a Sublicensee pursuant to Clause 4.3 of the Agreement. Licensee notified Lonza of a change to</w:t>
      </w:r>
    </w:p>
    <w:p>
      <w:pPr>
        <w:spacing w:after="0" w:line="87"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0"/>
          <w:szCs w:val="20"/>
          <w:color w:val="auto"/>
        </w:rPr>
        <w:t>NGM Australia’s address and the Parties wish to amend the terms of the Agreement to reflect this modification.</w:t>
      </w:r>
    </w:p>
    <w:p>
      <w:pPr>
        <w:spacing w:after="0" w:line="94" w:lineRule="exact"/>
        <w:rPr>
          <w:rFonts w:ascii="Arial" w:cs="Arial" w:eastAsia="Arial" w:hAnsi="Arial"/>
          <w:sz w:val="20"/>
          <w:szCs w:val="20"/>
          <w:color w:val="auto"/>
        </w:rPr>
      </w:pPr>
    </w:p>
    <w:p>
      <w:pPr>
        <w:ind w:left="920" w:hanging="912"/>
        <w:spacing w:after="0" w:line="236" w:lineRule="auto"/>
        <w:tabs>
          <w:tab w:leader="none" w:pos="9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Lonza previously granted its consent to the appointment of Licensee’s Strategic Partner, Merck Sharp &amp; Dohme Corp. of One Merck Drive, Whithouse Station, NJ</w:t>
      </w:r>
    </w:p>
    <w:p>
      <w:pPr>
        <w:spacing w:after="0" w:line="87"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0"/>
          <w:szCs w:val="20"/>
          <w:color w:val="auto"/>
        </w:rPr>
        <w:t>08889, USA (“Merck”), as a Sublicensee in respect of [*], with effect from [*].</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ind w:right="160" w:firstLine="8"/>
        <w:spacing w:after="0" w:line="258"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6200140</wp:posOffset>
            </wp:positionH>
            <wp:positionV relativeFrom="page">
              <wp:posOffset>183515</wp:posOffset>
            </wp:positionV>
            <wp:extent cx="1131570" cy="240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40030"/>
                    </a:xfrm>
                    <a:prstGeom prst="rect">
                      <a:avLst/>
                    </a:prstGeom>
                    <a:noFill/>
                  </pic:spPr>
                </pic:pic>
              </a:graphicData>
            </a:graphic>
          </wp:anchor>
        </w:drawing>
        <w:t>CONFIDENTIAL</w:t>
      </w:r>
    </w:p>
    <w:p>
      <w:pPr>
        <w:spacing w:after="0" w:line="222" w:lineRule="exact"/>
        <w:rPr>
          <w:sz w:val="20"/>
          <w:szCs w:val="20"/>
          <w:color w:val="auto"/>
        </w:rPr>
      </w:pPr>
    </w:p>
    <w:p>
      <w:pPr>
        <w:ind w:left="920" w:hanging="912"/>
        <w:spacing w:after="0" w:line="236" w:lineRule="auto"/>
        <w:tabs>
          <w:tab w:leader="none" w:pos="9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Licensee has given written notice to Lonza that it wishes to terminate the appointment of Merck as a Sublicensee with effect from [*] and that [*] with effect from [*].</w:t>
      </w:r>
    </w:p>
    <w:p>
      <w:pPr>
        <w:spacing w:after="0" w:line="87" w:lineRule="exact"/>
        <w:rPr>
          <w:rFonts w:ascii="Arial" w:cs="Arial" w:eastAsia="Arial" w:hAnsi="Arial"/>
          <w:sz w:val="20"/>
          <w:szCs w:val="20"/>
          <w:color w:val="auto"/>
        </w:rPr>
      </w:pPr>
    </w:p>
    <w:p>
      <w:pPr>
        <w:ind w:left="920" w:right="20" w:hanging="912"/>
        <w:spacing w:after="0" w:line="236" w:lineRule="auto"/>
        <w:tabs>
          <w:tab w:leader="none" w:pos="9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Licensee notified Lonza of the [*] and [*] and the Parties therefore wish to update the Products table in Appendix 5 Table A with effect from [*].</w:t>
      </w:r>
    </w:p>
    <w:p>
      <w:pPr>
        <w:spacing w:after="0" w:line="87" w:lineRule="exact"/>
        <w:rPr>
          <w:rFonts w:ascii="Arial" w:cs="Arial" w:eastAsia="Arial" w:hAnsi="Arial"/>
          <w:sz w:val="20"/>
          <w:szCs w:val="20"/>
          <w:color w:val="auto"/>
        </w:rPr>
      </w:pPr>
    </w:p>
    <w:p>
      <w:pPr>
        <w:ind w:left="920" w:hanging="912"/>
        <w:spacing w:after="0" w:line="236" w:lineRule="auto"/>
        <w:tabs>
          <w:tab w:leader="none" w:pos="9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Licensee notified Lonza that it will [*], and the Parties wish to amend the terms of the Agreement to reflect Licensee [*].</w:t>
      </w:r>
    </w:p>
    <w:p>
      <w:pPr>
        <w:spacing w:after="0" w:line="87" w:lineRule="exact"/>
        <w:rPr>
          <w:rFonts w:ascii="Arial" w:cs="Arial" w:eastAsia="Arial" w:hAnsi="Arial"/>
          <w:sz w:val="20"/>
          <w:szCs w:val="20"/>
          <w:color w:val="auto"/>
        </w:rPr>
      </w:pPr>
    </w:p>
    <w:p>
      <w:pPr>
        <w:ind w:left="920" w:right="20" w:hanging="912"/>
        <w:spacing w:after="0" w:line="236" w:lineRule="auto"/>
        <w:tabs>
          <w:tab w:leader="none" w:pos="9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Licensee and Lonza now wish to amend the terms of the Agreement to reflect the address change of NGM Australia, and termination of the sublicence to Merck for [*].</w:t>
      </w:r>
    </w:p>
    <w:p>
      <w:pPr>
        <w:spacing w:after="0" w:line="209" w:lineRule="exact"/>
        <w:rPr>
          <w:sz w:val="20"/>
          <w:szCs w:val="20"/>
          <w:color w:val="auto"/>
        </w:rPr>
      </w:pPr>
    </w:p>
    <w:p>
      <w:pPr>
        <w:jc w:val="both"/>
        <w:ind w:hanging="12"/>
        <w:spacing w:after="0" w:line="232" w:lineRule="auto"/>
        <w:rPr>
          <w:sz w:val="20"/>
          <w:szCs w:val="20"/>
          <w:color w:val="auto"/>
        </w:rPr>
      </w:pPr>
      <w:r>
        <w:rPr>
          <w:rFonts w:ascii="Arial" w:cs="Arial" w:eastAsia="Arial" w:hAnsi="Arial"/>
          <w:sz w:val="20"/>
          <w:szCs w:val="20"/>
          <w:color w:val="auto"/>
        </w:rPr>
        <w:t>NOW THEREFORE in consideration of the mutual promises and covenants contained herein and other good and valuable consideration the sufficiency of which is acknowledged it is hereby agreed by and between the Parties to amend the Agreement as follows:</w:t>
      </w:r>
    </w:p>
    <w:p>
      <w:pPr>
        <w:spacing w:after="0" w:line="89" w:lineRule="exact"/>
        <w:rPr>
          <w:sz w:val="20"/>
          <w:szCs w:val="20"/>
          <w:color w:val="auto"/>
        </w:rPr>
      </w:pPr>
    </w:p>
    <w:p>
      <w:pPr>
        <w:ind w:left="460" w:hanging="452"/>
        <w:spacing w:after="0" w:line="236" w:lineRule="auto"/>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Unless otherwise defined in this Amendment No.7, the words and phrases defined in the Agreement shall have the same meanings in this Amendment No.7.</w:t>
      </w:r>
    </w:p>
    <w:p>
      <w:pPr>
        <w:spacing w:after="0" w:line="87" w:lineRule="exact"/>
        <w:rPr>
          <w:rFonts w:ascii="Arial" w:cs="Arial" w:eastAsia="Arial" w:hAnsi="Arial"/>
          <w:sz w:val="20"/>
          <w:szCs w:val="20"/>
          <w:color w:val="auto"/>
        </w:rPr>
      </w:pPr>
    </w:p>
    <w:p>
      <w:pPr>
        <w:ind w:left="460" w:hanging="452"/>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Clause 4.3.6 (a) of the Agreement shall be deleted in its entirety and replaced with the following:</w:t>
      </w:r>
    </w:p>
    <w:p>
      <w:pPr>
        <w:spacing w:after="0" w:line="94" w:lineRule="exact"/>
        <w:rPr>
          <w:rFonts w:ascii="Arial" w:cs="Arial" w:eastAsia="Arial" w:hAnsi="Arial"/>
          <w:sz w:val="20"/>
          <w:szCs w:val="20"/>
          <w:color w:val="auto"/>
        </w:rPr>
      </w:pPr>
    </w:p>
    <w:p>
      <w:pPr>
        <w:jc w:val="center"/>
        <w:ind w:left="1840" w:hanging="848"/>
        <w:spacing w:after="0" w:line="257" w:lineRule="auto"/>
        <w:tabs>
          <w:tab w:leader="none" w:pos="1284" w:val="left"/>
        </w:tabs>
        <w:numPr>
          <w:ilvl w:val="1"/>
          <w:numId w:val="74"/>
        </w:numPr>
        <w:rPr>
          <w:rFonts w:ascii="Arial" w:cs="Arial" w:eastAsia="Arial" w:hAnsi="Arial"/>
          <w:sz w:val="19"/>
          <w:szCs w:val="19"/>
          <w:color w:val="auto"/>
        </w:rPr>
      </w:pPr>
      <w:r>
        <w:rPr>
          <w:rFonts w:ascii="Arial" w:cs="Arial" w:eastAsia="Arial" w:hAnsi="Arial"/>
          <w:sz w:val="19"/>
          <w:szCs w:val="19"/>
          <w:color w:val="auto"/>
        </w:rPr>
        <w:t>Lonza hereby consents to the grant of a sublicence by Licensee to its Affiliate NGM Biopharmaceuticals Australia Pty Ltd, Collins Square, Tower Five, Level 22, 727 Collins Street, DOCKLANDS VIC 3008, Australia.</w:t>
      </w:r>
    </w:p>
    <w:p>
      <w:pPr>
        <w:spacing w:after="0" w:line="72" w:lineRule="exact"/>
        <w:rPr>
          <w:rFonts w:ascii="Arial" w:cs="Arial" w:eastAsia="Arial" w:hAnsi="Arial"/>
          <w:sz w:val="19"/>
          <w:szCs w:val="19"/>
          <w:color w:val="auto"/>
        </w:rPr>
      </w:pPr>
    </w:p>
    <w:p>
      <w:pPr>
        <w:ind w:left="460" w:hanging="452"/>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Clause 4.3.6 (c) of the Agreement (as inserted by Amendment No. 1 to the Agreement) shall be deleted in its entirety.</w:t>
      </w:r>
    </w:p>
    <w:p>
      <w:pPr>
        <w:spacing w:after="0" w:line="94" w:lineRule="exact"/>
        <w:rPr>
          <w:rFonts w:ascii="Arial" w:cs="Arial" w:eastAsia="Arial" w:hAnsi="Arial"/>
          <w:sz w:val="20"/>
          <w:szCs w:val="20"/>
          <w:color w:val="auto"/>
        </w:rPr>
      </w:pPr>
    </w:p>
    <w:p>
      <w:pPr>
        <w:ind w:left="460" w:hanging="452"/>
        <w:spacing w:after="0" w:line="236" w:lineRule="auto"/>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hereby warrants and confirms to Lonza that all rights and sublicences granted to Merck for [*] under the terms of the Agreement, shall terminate with effect from [*].</w:t>
      </w:r>
    </w:p>
    <w:p>
      <w:pPr>
        <w:spacing w:after="0" w:line="87" w:lineRule="exact"/>
        <w:rPr>
          <w:rFonts w:ascii="Arial" w:cs="Arial" w:eastAsia="Arial" w:hAnsi="Arial"/>
          <w:sz w:val="20"/>
          <w:szCs w:val="20"/>
          <w:color w:val="auto"/>
        </w:rPr>
      </w:pPr>
    </w:p>
    <w:p>
      <w:pPr>
        <w:ind w:left="460" w:hanging="452"/>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hereby warrants and confirms to Lonza that [*] with effect from [*].</w:t>
      </w:r>
    </w:p>
    <w:p>
      <w:pPr>
        <w:spacing w:after="0" w:line="94" w:lineRule="exact"/>
        <w:rPr>
          <w:rFonts w:ascii="Arial" w:cs="Arial" w:eastAsia="Arial" w:hAnsi="Arial"/>
          <w:sz w:val="20"/>
          <w:szCs w:val="20"/>
          <w:color w:val="auto"/>
        </w:rPr>
      </w:pPr>
    </w:p>
    <w:p>
      <w:pPr>
        <w:ind w:left="460" w:hanging="452"/>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hereby warrants and confirms to Lonza that [*] with effect from [*].</w:t>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w:t>
      </w:r>
    </w:p>
    <w:p>
      <w:pPr>
        <w:ind w:right="160" w:firstLine="8"/>
        <w:spacing w:after="0" w:line="258"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6200140</wp:posOffset>
            </wp:positionH>
            <wp:positionV relativeFrom="page">
              <wp:posOffset>183515</wp:posOffset>
            </wp:positionV>
            <wp:extent cx="1131570" cy="240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40030"/>
                    </a:xfrm>
                    <a:prstGeom prst="rect">
                      <a:avLst/>
                    </a:prstGeom>
                    <a:noFill/>
                  </pic:spPr>
                </pic:pic>
              </a:graphicData>
            </a:graphic>
          </wp:anchor>
        </w:drawing>
        <w:t>CONFIDENTIAL</w:t>
      </w:r>
    </w:p>
    <w:p>
      <w:pPr>
        <w:spacing w:after="0" w:line="330" w:lineRule="exact"/>
        <w:rPr>
          <w:sz w:val="20"/>
          <w:szCs w:val="20"/>
          <w:color w:val="auto"/>
        </w:rPr>
      </w:pPr>
    </w:p>
    <w:p>
      <w:pPr>
        <w:jc w:val="both"/>
        <w:ind w:left="460" w:hanging="452"/>
        <w:spacing w:after="0" w:line="230" w:lineRule="auto"/>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Licensee shall ensure that any and all [*] provided to Merck under the Agreement or otherwise in the possession of Merck (including without limitation [*]) are destroyed or returned to the Licensee no later than [*]; provided, that Merck may retain one (1) copy of [*] in its secure electronic backup files for archival purposes provided always that Licensee is responsible for [*].</w:t>
      </w:r>
    </w:p>
    <w:p>
      <w:pPr>
        <w:spacing w:after="0" w:line="90" w:lineRule="exact"/>
        <w:rPr>
          <w:rFonts w:ascii="Arial" w:cs="Arial" w:eastAsia="Arial" w:hAnsi="Arial"/>
          <w:sz w:val="20"/>
          <w:szCs w:val="20"/>
          <w:color w:val="auto"/>
        </w:rPr>
      </w:pPr>
    </w:p>
    <w:p>
      <w:pPr>
        <w:jc w:val="both"/>
        <w:ind w:left="460" w:hanging="452"/>
        <w:spacing w:after="0" w:line="230" w:lineRule="auto"/>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Licensee shall ensure that any and all [*] provided to Merck under the Agreement or otherwise in the possession of Merck (including without limitation [*] are destroyed or returned to the Licensee no later than [*]; provided, that Merck may retain one (1) copy of any [*] in its secure electronic backup files for archival purposes provided always that Licensee is responsible for [*].</w:t>
      </w:r>
    </w:p>
    <w:p>
      <w:pPr>
        <w:spacing w:after="0" w:line="90" w:lineRule="exact"/>
        <w:rPr>
          <w:rFonts w:ascii="Arial" w:cs="Arial" w:eastAsia="Arial" w:hAnsi="Arial"/>
          <w:sz w:val="20"/>
          <w:szCs w:val="20"/>
          <w:color w:val="auto"/>
        </w:rPr>
      </w:pPr>
    </w:p>
    <w:p>
      <w:pPr>
        <w:jc w:val="both"/>
        <w:ind w:left="460" w:hanging="452"/>
        <w:spacing w:after="0" w:line="232" w:lineRule="auto"/>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Licensee hereby warrants and confirms to Lonza that [*] with effect from [*], with the exception of [*]. Licensee will notify Lonza in writing when [*], which shall be subject to the terms of the Agreement. The parties agree that [*] will not [*] under the Agreement.</w:t>
      </w:r>
    </w:p>
    <w:p>
      <w:pPr>
        <w:spacing w:after="0" w:line="89" w:lineRule="exact"/>
        <w:rPr>
          <w:rFonts w:ascii="Arial" w:cs="Arial" w:eastAsia="Arial" w:hAnsi="Arial"/>
          <w:sz w:val="20"/>
          <w:szCs w:val="20"/>
          <w:color w:val="auto"/>
        </w:rPr>
      </w:pPr>
    </w:p>
    <w:p>
      <w:pPr>
        <w:jc w:val="both"/>
        <w:ind w:left="460" w:hanging="452"/>
        <w:spacing w:after="0" w:line="232" w:lineRule="auto"/>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Licensee hereby warrants and confirms to Lonza that [*] with effect from [*], with the exception of [*]. Licensee will notify Lonza in writing when [*], which shall be subject to the terms of the Agreement. The parties agree that [*] will not [*] under the Agreement.</w:t>
      </w:r>
    </w:p>
    <w:p>
      <w:pPr>
        <w:spacing w:after="0" w:line="89" w:lineRule="exact"/>
        <w:rPr>
          <w:rFonts w:ascii="Arial" w:cs="Arial" w:eastAsia="Arial" w:hAnsi="Arial"/>
          <w:sz w:val="20"/>
          <w:szCs w:val="20"/>
          <w:color w:val="auto"/>
        </w:rPr>
      </w:pPr>
    </w:p>
    <w:p>
      <w:pPr>
        <w:jc w:val="both"/>
        <w:ind w:left="460" w:hanging="452"/>
        <w:spacing w:after="0" w:line="232" w:lineRule="auto"/>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Licensee hereby warrants and confirms to Lonza that [*] with effect from [*], with the exception of [*]. Licensee will notify Lonza in writing when [*], which shall be subject to the terms of the Agreement. The parties agree that [*] will not [*] under the Agreement.</w:t>
      </w:r>
    </w:p>
    <w:p>
      <w:pPr>
        <w:spacing w:after="0" w:line="89" w:lineRule="exact"/>
        <w:rPr>
          <w:rFonts w:ascii="Arial" w:cs="Arial" w:eastAsia="Arial" w:hAnsi="Arial"/>
          <w:sz w:val="20"/>
          <w:szCs w:val="20"/>
          <w:color w:val="auto"/>
        </w:rPr>
      </w:pPr>
    </w:p>
    <w:p>
      <w:pPr>
        <w:ind w:left="460" w:hanging="452"/>
        <w:spacing w:after="0"/>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Lonza hereby consents to the grant of a sublicence to [*] for the purpose of [*], at [*]. [*] are not part of [*] and therefore [*].</w:t>
      </w:r>
    </w:p>
    <w:p>
      <w:pPr>
        <w:spacing w:after="0" w:line="94" w:lineRule="exact"/>
        <w:rPr>
          <w:rFonts w:ascii="Arial" w:cs="Arial" w:eastAsia="Arial" w:hAnsi="Arial"/>
          <w:sz w:val="20"/>
          <w:szCs w:val="20"/>
          <w:color w:val="auto"/>
        </w:rPr>
      </w:pPr>
    </w:p>
    <w:p>
      <w:pPr>
        <w:ind w:left="460" w:hanging="452"/>
        <w:spacing w:after="0" w:line="236" w:lineRule="auto"/>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Licensee hereby confirms and undertakes to Lonza that Licensee shall be and shall remain responsible for [*], whether occurring before, on or after [*].</w:t>
      </w:r>
    </w:p>
    <w:p>
      <w:pPr>
        <w:spacing w:after="0" w:line="87" w:lineRule="exact"/>
        <w:rPr>
          <w:rFonts w:ascii="Arial" w:cs="Arial" w:eastAsia="Arial" w:hAnsi="Arial"/>
          <w:sz w:val="20"/>
          <w:szCs w:val="20"/>
          <w:color w:val="auto"/>
        </w:rPr>
      </w:pPr>
    </w:p>
    <w:p>
      <w:pPr>
        <w:ind w:left="460" w:hanging="452"/>
        <w:spacing w:after="0"/>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Appendix 5 of the Agreement shall be deleted in its entirety and replaced by the Appendix 5 attached hereto.</w:t>
      </w:r>
    </w:p>
    <w:p>
      <w:pPr>
        <w:spacing w:after="0" w:line="94" w:lineRule="exact"/>
        <w:rPr>
          <w:rFonts w:ascii="Arial" w:cs="Arial" w:eastAsia="Arial" w:hAnsi="Arial"/>
          <w:sz w:val="20"/>
          <w:szCs w:val="20"/>
          <w:color w:val="auto"/>
        </w:rPr>
      </w:pPr>
    </w:p>
    <w:p>
      <w:pPr>
        <w:ind w:left="460" w:hanging="452"/>
        <w:spacing w:after="0"/>
        <w:tabs>
          <w:tab w:leader="none" w:pos="4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Save as expressly provided herein all terms and conditions of the Agreement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w:t>
      </w:r>
    </w:p>
    <w:p>
      <w:pPr>
        <w:ind w:right="160" w:firstLine="8"/>
        <w:spacing w:after="0" w:line="258"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6200140</wp:posOffset>
            </wp:positionH>
            <wp:positionV relativeFrom="page">
              <wp:posOffset>183515</wp:posOffset>
            </wp:positionV>
            <wp:extent cx="1131570" cy="240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40030"/>
                    </a:xfrm>
                    <a:prstGeom prst="rect">
                      <a:avLst/>
                    </a:prstGeom>
                    <a:noFill/>
                  </pic:spPr>
                </pic:pic>
              </a:graphicData>
            </a:graphic>
          </wp:anchor>
        </w:drawing>
        <w:t>CONFIDENTIAL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AS WITNESS the hands of the duly authorized representatives of the parties hereto the day and year first before written.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20"/>
                <w:szCs w:val="20"/>
                <w:color w:val="auto"/>
              </w:rPr>
              <w:t>SIGNED BY:</w:t>
            </w:r>
          </w:p>
        </w:tc>
        <w:tc>
          <w:tcPr>
            <w:tcW w:w="4200" w:type="dxa"/>
            <w:vAlign w:val="bottom"/>
            <w:gridSpan w:val="2"/>
          </w:tcPr>
          <w:p>
            <w:pPr>
              <w:spacing w:after="0"/>
              <w:rPr>
                <w:sz w:val="20"/>
                <w:szCs w:val="20"/>
                <w:color w:val="auto"/>
              </w:rPr>
            </w:pPr>
            <w:r>
              <w:rPr>
                <w:rFonts w:ascii="Arial" w:cs="Arial" w:eastAsia="Arial" w:hAnsi="Arial"/>
                <w:sz w:val="20"/>
                <w:szCs w:val="20"/>
                <w:color w:val="auto"/>
              </w:rPr>
              <w:t>/s/ Bart van Aarnhem</w:t>
            </w:r>
          </w:p>
        </w:tc>
        <w:tc>
          <w:tcPr>
            <w:tcW w:w="0" w:type="dxa"/>
            <w:vAlign w:val="bottom"/>
          </w:tcPr>
          <w:p>
            <w:pPr>
              <w:spacing w:after="0"/>
              <w:rPr>
                <w:sz w:val="1"/>
                <w:szCs w:val="1"/>
                <w:color w:val="auto"/>
              </w:rPr>
            </w:pPr>
          </w:p>
        </w:tc>
      </w:tr>
      <w:tr>
        <w:trPr>
          <w:trHeight w:val="233"/>
        </w:trPr>
        <w:tc>
          <w:tcPr>
            <w:tcW w:w="4980" w:type="dxa"/>
            <w:vAlign w:val="bottom"/>
          </w:tcPr>
          <w:p>
            <w:pPr>
              <w:spacing w:after="0"/>
              <w:rPr>
                <w:sz w:val="20"/>
                <w:szCs w:val="20"/>
                <w:color w:val="auto"/>
              </w:rPr>
            </w:pPr>
            <w:r>
              <w:rPr>
                <w:rFonts w:ascii="Arial" w:cs="Arial" w:eastAsia="Arial" w:hAnsi="Arial"/>
                <w:sz w:val="20"/>
                <w:szCs w:val="20"/>
                <w:color w:val="auto"/>
              </w:rPr>
              <w:t>For and on behalf of</w:t>
            </w:r>
          </w:p>
        </w:tc>
        <w:tc>
          <w:tcPr>
            <w:tcW w:w="4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line="227" w:lineRule="exact"/>
              <w:rPr>
                <w:sz w:val="20"/>
                <w:szCs w:val="20"/>
                <w:color w:val="auto"/>
              </w:rPr>
            </w:pPr>
            <w:r>
              <w:rPr>
                <w:rFonts w:ascii="Arial" w:cs="Arial" w:eastAsia="Arial" w:hAnsi="Arial"/>
                <w:sz w:val="20"/>
                <w:szCs w:val="20"/>
                <w:color w:val="auto"/>
              </w:rPr>
              <w:t>LONZA SALES AG</w:t>
            </w:r>
          </w:p>
        </w:tc>
        <w:tc>
          <w:tcPr>
            <w:tcW w:w="4200" w:type="dxa"/>
            <w:vAlign w:val="bottom"/>
            <w:gridSpan w:val="2"/>
            <w:vMerge w:val="restart"/>
          </w:tcPr>
          <w:p>
            <w:pPr>
              <w:spacing w:after="0"/>
              <w:rPr>
                <w:sz w:val="20"/>
                <w:szCs w:val="20"/>
                <w:color w:val="auto"/>
              </w:rPr>
            </w:pPr>
            <w:r>
              <w:rPr>
                <w:rFonts w:ascii="Arial" w:cs="Arial" w:eastAsia="Arial" w:hAnsi="Arial"/>
                <w:sz w:val="20"/>
                <w:szCs w:val="20"/>
                <w:color w:val="auto"/>
              </w:rPr>
              <w:t>Associate General Counsel</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19"/>
                <w:szCs w:val="19"/>
                <w:color w:val="auto"/>
              </w:rPr>
            </w:pPr>
          </w:p>
        </w:tc>
        <w:tc>
          <w:tcPr>
            <w:tcW w:w="4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Pr>
          <w:p>
            <w:pPr>
              <w:spacing w:after="0"/>
              <w:rPr>
                <w:sz w:val="19"/>
                <w:szCs w:val="19"/>
                <w:color w:val="auto"/>
              </w:rPr>
            </w:pPr>
          </w:p>
        </w:tc>
        <w:tc>
          <w:tcPr>
            <w:tcW w:w="418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color w:val="auto"/>
              </w:rPr>
              <w:t>Title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4200" w:type="dxa"/>
            <w:vAlign w:val="bottom"/>
            <w:gridSpan w:val="2"/>
          </w:tcPr>
          <w:p>
            <w:pPr>
              <w:ind w:left="60"/>
              <w:spacing w:after="0"/>
              <w:rPr>
                <w:sz w:val="20"/>
                <w:szCs w:val="20"/>
                <w:color w:val="auto"/>
              </w:rPr>
            </w:pPr>
            <w:r>
              <w:rPr>
                <w:rFonts w:ascii="Arial" w:cs="Arial" w:eastAsia="Arial" w:hAnsi="Arial"/>
                <w:sz w:val="20"/>
                <w:szCs w:val="20"/>
                <w:color w:val="auto"/>
              </w:rPr>
              <w:t>Dec 21, 2020</w:t>
            </w:r>
          </w:p>
        </w:tc>
        <w:tc>
          <w:tcPr>
            <w:tcW w:w="0" w:type="dxa"/>
            <w:vAlign w:val="bottom"/>
          </w:tcPr>
          <w:p>
            <w:pPr>
              <w:spacing w:after="0"/>
              <w:rPr>
                <w:sz w:val="1"/>
                <w:szCs w:val="1"/>
                <w:color w:val="auto"/>
              </w:rPr>
            </w:pPr>
          </w:p>
        </w:tc>
      </w:tr>
      <w:tr>
        <w:trPr>
          <w:trHeight w:val="225"/>
        </w:trPr>
        <w:tc>
          <w:tcPr>
            <w:tcW w:w="4980" w:type="dxa"/>
            <w:vAlign w:val="bottom"/>
          </w:tcPr>
          <w:p>
            <w:pPr>
              <w:spacing w:after="0"/>
              <w:rPr>
                <w:sz w:val="19"/>
                <w:szCs w:val="19"/>
                <w:color w:val="auto"/>
              </w:rPr>
            </w:pPr>
          </w:p>
        </w:tc>
        <w:tc>
          <w:tcPr>
            <w:tcW w:w="4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980" w:type="dxa"/>
            <w:vAlign w:val="bottom"/>
          </w:tcPr>
          <w:p>
            <w:pPr>
              <w:spacing w:after="0"/>
              <w:rPr>
                <w:sz w:val="20"/>
                <w:szCs w:val="20"/>
                <w:color w:val="auto"/>
              </w:rPr>
            </w:pPr>
          </w:p>
        </w:tc>
        <w:tc>
          <w:tcPr>
            <w:tcW w:w="4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980" w:type="dxa"/>
            <w:vAlign w:val="bottom"/>
          </w:tcPr>
          <w:p>
            <w:pPr>
              <w:spacing w:after="0"/>
              <w:rPr>
                <w:sz w:val="20"/>
                <w:szCs w:val="20"/>
                <w:color w:val="auto"/>
              </w:rPr>
            </w:pPr>
            <w:r>
              <w:rPr>
                <w:rFonts w:ascii="Arial" w:cs="Arial" w:eastAsia="Arial" w:hAnsi="Arial"/>
                <w:sz w:val="20"/>
                <w:szCs w:val="20"/>
                <w:color w:val="auto"/>
              </w:rPr>
              <w:t>SIGNED BY:</w:t>
            </w:r>
          </w:p>
        </w:tc>
        <w:tc>
          <w:tcPr>
            <w:tcW w:w="4200" w:type="dxa"/>
            <w:vAlign w:val="bottom"/>
            <w:gridSpan w:val="2"/>
          </w:tcPr>
          <w:p>
            <w:pPr>
              <w:spacing w:after="0"/>
              <w:rPr>
                <w:sz w:val="20"/>
                <w:szCs w:val="20"/>
                <w:color w:val="auto"/>
              </w:rPr>
            </w:pPr>
            <w:r>
              <w:rPr>
                <w:rFonts w:ascii="Arial" w:cs="Arial" w:eastAsia="Arial" w:hAnsi="Arial"/>
                <w:sz w:val="20"/>
                <w:szCs w:val="20"/>
                <w:color w:val="auto"/>
              </w:rPr>
              <w:t>/s/ Henit Lapid</w:t>
            </w:r>
          </w:p>
        </w:tc>
        <w:tc>
          <w:tcPr>
            <w:tcW w:w="0" w:type="dxa"/>
            <w:vAlign w:val="bottom"/>
          </w:tcPr>
          <w:p>
            <w:pPr>
              <w:spacing w:after="0"/>
              <w:rPr>
                <w:sz w:val="1"/>
                <w:szCs w:val="1"/>
                <w:color w:val="auto"/>
              </w:rPr>
            </w:pPr>
          </w:p>
        </w:tc>
      </w:tr>
      <w:tr>
        <w:trPr>
          <w:trHeight w:val="233"/>
        </w:trPr>
        <w:tc>
          <w:tcPr>
            <w:tcW w:w="4980" w:type="dxa"/>
            <w:vAlign w:val="bottom"/>
          </w:tcPr>
          <w:p>
            <w:pPr>
              <w:spacing w:after="0"/>
              <w:rPr>
                <w:sz w:val="20"/>
                <w:szCs w:val="20"/>
                <w:color w:val="auto"/>
              </w:rPr>
            </w:pPr>
            <w:r>
              <w:rPr>
                <w:rFonts w:ascii="Arial" w:cs="Arial" w:eastAsia="Arial" w:hAnsi="Arial"/>
                <w:sz w:val="20"/>
                <w:szCs w:val="20"/>
                <w:color w:val="auto"/>
              </w:rPr>
              <w:t>For and on behalf of</w:t>
            </w:r>
          </w:p>
        </w:tc>
        <w:tc>
          <w:tcPr>
            <w:tcW w:w="4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line="227" w:lineRule="exact"/>
              <w:rPr>
                <w:sz w:val="20"/>
                <w:szCs w:val="20"/>
                <w:color w:val="auto"/>
              </w:rPr>
            </w:pPr>
            <w:r>
              <w:rPr>
                <w:rFonts w:ascii="Arial" w:cs="Arial" w:eastAsia="Arial" w:hAnsi="Arial"/>
                <w:sz w:val="20"/>
                <w:szCs w:val="20"/>
                <w:color w:val="auto"/>
              </w:rPr>
              <w:t>LONZA SALES AG</w:t>
            </w:r>
          </w:p>
        </w:tc>
        <w:tc>
          <w:tcPr>
            <w:tcW w:w="4200" w:type="dxa"/>
            <w:vAlign w:val="bottom"/>
            <w:gridSpan w:val="2"/>
            <w:vMerge w:val="restart"/>
          </w:tcPr>
          <w:p>
            <w:pPr>
              <w:spacing w:after="0"/>
              <w:rPr>
                <w:sz w:val="20"/>
                <w:szCs w:val="20"/>
                <w:color w:val="auto"/>
              </w:rPr>
            </w:pPr>
            <w:r>
              <w:rPr>
                <w:rFonts w:ascii="Arial" w:cs="Arial" w:eastAsia="Arial" w:hAnsi="Arial"/>
                <w:sz w:val="20"/>
                <w:szCs w:val="20"/>
                <w:color w:val="auto"/>
              </w:rPr>
              <w:t>Head of Marketing, MMDM</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tcPr>
          <w:p>
            <w:pPr>
              <w:spacing w:after="0"/>
              <w:rPr>
                <w:sz w:val="19"/>
                <w:szCs w:val="19"/>
                <w:color w:val="auto"/>
              </w:rPr>
            </w:pPr>
          </w:p>
        </w:tc>
        <w:tc>
          <w:tcPr>
            <w:tcW w:w="4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980" w:type="dxa"/>
            <w:vAlign w:val="bottom"/>
          </w:tcPr>
          <w:p>
            <w:pPr>
              <w:spacing w:after="0"/>
              <w:rPr>
                <w:sz w:val="20"/>
                <w:szCs w:val="20"/>
                <w:color w:val="auto"/>
              </w:rPr>
            </w:pPr>
          </w:p>
        </w:tc>
        <w:tc>
          <w:tcPr>
            <w:tcW w:w="4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p>
        </w:tc>
        <w:tc>
          <w:tcPr>
            <w:tcW w:w="4200" w:type="dxa"/>
            <w:vAlign w:val="bottom"/>
            <w:gridSpan w:val="2"/>
          </w:tcPr>
          <w:p>
            <w:pPr>
              <w:ind w:left="60"/>
              <w:spacing w:after="0"/>
              <w:rPr>
                <w:sz w:val="20"/>
                <w:szCs w:val="20"/>
                <w:color w:val="auto"/>
              </w:rPr>
            </w:pPr>
            <w:r>
              <w:rPr>
                <w:rFonts w:ascii="Arial" w:cs="Arial" w:eastAsia="Arial" w:hAnsi="Arial"/>
                <w:sz w:val="20"/>
                <w:szCs w:val="20"/>
                <w:color w:val="auto"/>
              </w:rPr>
              <w:t>Dec 22, 2020</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4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80" w:type="dxa"/>
            <w:vAlign w:val="bottom"/>
          </w:tcPr>
          <w:p>
            <w:pPr>
              <w:spacing w:after="0"/>
              <w:rPr>
                <w:sz w:val="20"/>
                <w:szCs w:val="20"/>
                <w:color w:val="auto"/>
              </w:rPr>
            </w:pPr>
          </w:p>
        </w:tc>
        <w:tc>
          <w:tcPr>
            <w:tcW w:w="4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980" w:type="dxa"/>
            <w:vAlign w:val="bottom"/>
          </w:tcPr>
          <w:p>
            <w:pPr>
              <w:spacing w:after="0"/>
              <w:rPr>
                <w:sz w:val="20"/>
                <w:szCs w:val="20"/>
                <w:color w:val="auto"/>
              </w:rPr>
            </w:pPr>
            <w:r>
              <w:rPr>
                <w:rFonts w:ascii="Arial" w:cs="Arial" w:eastAsia="Arial" w:hAnsi="Arial"/>
                <w:sz w:val="20"/>
                <w:szCs w:val="20"/>
                <w:color w:val="auto"/>
              </w:rPr>
              <w:t>SIGNED BY:</w:t>
            </w:r>
          </w:p>
        </w:tc>
        <w:tc>
          <w:tcPr>
            <w:tcW w:w="4200" w:type="dxa"/>
            <w:vAlign w:val="bottom"/>
            <w:gridSpan w:val="2"/>
          </w:tcPr>
          <w:p>
            <w:pPr>
              <w:spacing w:after="0"/>
              <w:rPr>
                <w:sz w:val="20"/>
                <w:szCs w:val="20"/>
                <w:color w:val="auto"/>
              </w:rPr>
            </w:pPr>
            <w:r>
              <w:rPr>
                <w:rFonts w:ascii="Arial" w:cs="Arial" w:eastAsia="Arial" w:hAnsi="Arial"/>
                <w:sz w:val="20"/>
                <w:szCs w:val="20"/>
                <w:color w:val="auto"/>
              </w:rPr>
              <w:t>/s/ Valerie L. Pierce</w:t>
            </w:r>
          </w:p>
        </w:tc>
        <w:tc>
          <w:tcPr>
            <w:tcW w:w="0" w:type="dxa"/>
            <w:vAlign w:val="bottom"/>
          </w:tcPr>
          <w:p>
            <w:pPr>
              <w:spacing w:after="0"/>
              <w:rPr>
                <w:sz w:val="1"/>
                <w:szCs w:val="1"/>
                <w:color w:val="auto"/>
              </w:rPr>
            </w:pPr>
          </w:p>
        </w:tc>
      </w:tr>
      <w:tr>
        <w:trPr>
          <w:trHeight w:val="233"/>
        </w:trPr>
        <w:tc>
          <w:tcPr>
            <w:tcW w:w="4980" w:type="dxa"/>
            <w:vAlign w:val="bottom"/>
          </w:tcPr>
          <w:p>
            <w:pPr>
              <w:spacing w:after="0"/>
              <w:rPr>
                <w:sz w:val="20"/>
                <w:szCs w:val="20"/>
                <w:color w:val="auto"/>
              </w:rPr>
            </w:pPr>
            <w:r>
              <w:rPr>
                <w:rFonts w:ascii="Arial" w:cs="Arial" w:eastAsia="Arial" w:hAnsi="Arial"/>
                <w:sz w:val="20"/>
                <w:szCs w:val="20"/>
                <w:color w:val="auto"/>
              </w:rPr>
              <w:t>For and on behalf of</w:t>
            </w:r>
          </w:p>
        </w:tc>
        <w:tc>
          <w:tcPr>
            <w:tcW w:w="4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line="227" w:lineRule="exact"/>
              <w:rPr>
                <w:sz w:val="20"/>
                <w:szCs w:val="20"/>
                <w:color w:val="auto"/>
              </w:rPr>
            </w:pPr>
            <w:r>
              <w:rPr>
                <w:rFonts w:ascii="Arial" w:cs="Arial" w:eastAsia="Arial" w:hAnsi="Arial"/>
                <w:sz w:val="20"/>
                <w:szCs w:val="20"/>
                <w:color w:val="auto"/>
              </w:rPr>
              <w:t>NGM BIOPHARMACEUTICALS, INC.</w:t>
            </w:r>
          </w:p>
        </w:tc>
        <w:tc>
          <w:tcPr>
            <w:tcW w:w="4200" w:type="dxa"/>
            <w:vAlign w:val="bottom"/>
            <w:gridSpan w:val="2"/>
            <w:vMerge w:val="restart"/>
          </w:tcPr>
          <w:p>
            <w:pPr>
              <w:spacing w:after="0"/>
              <w:rPr>
                <w:sz w:val="20"/>
                <w:szCs w:val="20"/>
                <w:color w:val="auto"/>
              </w:rPr>
            </w:pPr>
            <w:r>
              <w:rPr>
                <w:rFonts w:ascii="Arial" w:cs="Arial" w:eastAsia="Arial" w:hAnsi="Arial"/>
                <w:sz w:val="20"/>
                <w:szCs w:val="20"/>
                <w:color w:val="auto"/>
              </w:rPr>
              <w:t>SVP &amp; General Counsel</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19"/>
                <w:szCs w:val="19"/>
                <w:color w:val="auto"/>
              </w:rPr>
            </w:pPr>
          </w:p>
        </w:tc>
        <w:tc>
          <w:tcPr>
            <w:tcW w:w="4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980" w:type="dxa"/>
            <w:vAlign w:val="bottom"/>
          </w:tcPr>
          <w:p>
            <w:pPr>
              <w:spacing w:after="0"/>
              <w:rPr>
                <w:sz w:val="20"/>
                <w:szCs w:val="20"/>
                <w:color w:val="auto"/>
              </w:rPr>
            </w:pPr>
          </w:p>
        </w:tc>
        <w:tc>
          <w:tcPr>
            <w:tcW w:w="4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Title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p>
        </w:tc>
        <w:tc>
          <w:tcPr>
            <w:tcW w:w="4180" w:type="dxa"/>
            <w:vAlign w:val="bottom"/>
          </w:tcPr>
          <w:p>
            <w:pPr>
              <w:ind w:left="60"/>
              <w:spacing w:after="0"/>
              <w:rPr>
                <w:sz w:val="20"/>
                <w:szCs w:val="20"/>
                <w:color w:val="auto"/>
              </w:rPr>
            </w:pPr>
            <w:r>
              <w:rPr>
                <w:rFonts w:ascii="Arial" w:cs="Arial" w:eastAsia="Arial" w:hAnsi="Arial"/>
                <w:sz w:val="20"/>
                <w:szCs w:val="20"/>
                <w:color w:val="auto"/>
              </w:rPr>
              <w:t>12/18/2020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4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80" w:type="dxa"/>
            <w:vAlign w:val="bottom"/>
          </w:tcPr>
          <w:p>
            <w:pPr>
              <w:spacing w:after="0"/>
              <w:rPr>
                <w:sz w:val="20"/>
                <w:szCs w:val="20"/>
                <w:color w:val="auto"/>
              </w:rPr>
            </w:pPr>
          </w:p>
        </w:tc>
        <w:tc>
          <w:tcPr>
            <w:tcW w:w="4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ind w:firstLine="8"/>
        <w:spacing w:after="0" w:line="258"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417" w:right="49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6200140</wp:posOffset>
            </wp:positionH>
            <wp:positionV relativeFrom="page">
              <wp:posOffset>183515</wp:posOffset>
            </wp:positionV>
            <wp:extent cx="1131570" cy="2400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40030"/>
                    </a:xfrm>
                    <a:prstGeom prst="rect">
                      <a:avLst/>
                    </a:prstGeom>
                    <a:noFill/>
                  </pic:spPr>
                </pic:pic>
              </a:graphicData>
            </a:graphic>
          </wp:anchor>
        </w:drawing>
        <w:t>CONFIDENTIAL</w:t>
      </w:r>
    </w:p>
    <w:p>
      <w:pPr>
        <w:spacing w:after="0" w:line="185" w:lineRule="exact"/>
        <w:rPr>
          <w:sz w:val="20"/>
          <w:szCs w:val="20"/>
          <w:color w:val="auto"/>
        </w:rPr>
      </w:pPr>
    </w:p>
    <w:tbl>
      <w:tblPr>
        <w:tblLayout w:type="fixed"/>
        <w:tblInd w:w="2010" w:type="dxa"/>
        <w:tblCellMar>
          <w:top w:w="0" w:type="dxa"/>
          <w:left w:w="0" w:type="dxa"/>
          <w:bottom w:w="0" w:type="dxa"/>
          <w:right w:w="0" w:type="dxa"/>
        </w:tblCellMar>
      </w:tblPr>
      <w:tr>
        <w:trPr>
          <w:trHeight w:val="230"/>
        </w:trPr>
        <w:tc>
          <w:tcPr>
            <w:tcW w:w="2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6"/>
          </w:tcPr>
          <w:p>
            <w:pPr>
              <w:jc w:val="center"/>
              <w:ind w:right="40"/>
              <w:spacing w:after="0"/>
              <w:rPr>
                <w:sz w:val="20"/>
                <w:szCs w:val="20"/>
                <w:color w:val="auto"/>
              </w:rPr>
            </w:pPr>
            <w:r>
              <w:rPr>
                <w:rFonts w:ascii="Arial" w:cs="Arial" w:eastAsia="Arial" w:hAnsi="Arial"/>
                <w:sz w:val="20"/>
                <w:szCs w:val="20"/>
                <w:b w:val="1"/>
                <w:bCs w:val="1"/>
                <w:color w:val="auto"/>
                <w:w w:val="99"/>
              </w:rPr>
              <w:t>APPENDIX 5</w:t>
            </w:r>
          </w:p>
        </w:tc>
        <w:tc>
          <w:tcPr>
            <w:tcW w:w="3040" w:type="dxa"/>
            <w:vAlign w:val="bottom"/>
          </w:tcPr>
          <w:p>
            <w:pPr>
              <w:spacing w:after="0"/>
              <w:rPr>
                <w:sz w:val="19"/>
                <w:szCs w:val="19"/>
                <w:color w:val="auto"/>
              </w:rPr>
            </w:pPr>
          </w:p>
        </w:tc>
      </w:tr>
      <w:tr>
        <w:trPr>
          <w:trHeight w:val="412"/>
        </w:trPr>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28"/>
        </w:trPr>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20"/>
                <w:szCs w:val="20"/>
                <w:b w:val="1"/>
                <w:bCs w:val="1"/>
                <w:color w:val="auto"/>
                <w:w w:val="96"/>
              </w:rPr>
              <w:t>Table A</w:t>
            </w:r>
          </w:p>
        </w:tc>
        <w:tc>
          <w:tcPr>
            <w:tcW w:w="3040" w:type="dxa"/>
            <w:vAlign w:val="bottom"/>
          </w:tcPr>
          <w:p>
            <w:pPr>
              <w:spacing w:after="0"/>
              <w:rPr>
                <w:sz w:val="24"/>
                <w:szCs w:val="24"/>
                <w:color w:val="auto"/>
              </w:rPr>
            </w:pPr>
          </w:p>
        </w:tc>
      </w:tr>
      <w:tr>
        <w:trPr>
          <w:trHeight w:val="237"/>
        </w:trPr>
        <w:tc>
          <w:tcPr>
            <w:tcW w:w="2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r>
      <w:tr>
        <w:trPr>
          <w:trHeight w:val="231"/>
        </w:trPr>
        <w:tc>
          <w:tcPr>
            <w:tcW w:w="2220" w:type="dxa"/>
            <w:vAlign w:val="bottom"/>
            <w:tcBorders>
              <w:left w:val="single" w:sz="8" w:color="auto"/>
              <w:right w:val="single" w:sz="8" w:color="auto"/>
            </w:tcBorders>
          </w:tcPr>
          <w:p>
            <w:pPr>
              <w:spacing w:after="0"/>
              <w:rPr>
                <w:sz w:val="20"/>
                <w:szCs w:val="20"/>
                <w:color w:val="auto"/>
              </w:rPr>
            </w:pPr>
            <w:r>
              <w:rPr>
                <w:rFonts w:ascii="Arial" w:cs="Arial" w:eastAsia="Arial" w:hAnsi="Arial"/>
                <w:sz w:val="20"/>
                <w:szCs w:val="20"/>
                <w:color w:val="auto"/>
              </w:rPr>
              <w:t>Product</w:t>
            </w:r>
          </w:p>
        </w:tc>
        <w:tc>
          <w:tcPr>
            <w:tcW w:w="20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rPr>
              <w:t>Product Name</w:t>
            </w:r>
          </w:p>
        </w:tc>
        <w:tc>
          <w:tcPr>
            <w:tcW w:w="3040" w:type="dxa"/>
            <w:vAlign w:val="bottom"/>
            <w:tcBorders>
              <w:right w:val="single" w:sz="8" w:color="auto"/>
            </w:tcBorders>
          </w:tcPr>
          <w:p>
            <w:pPr>
              <w:jc w:val="right"/>
              <w:ind w:right="2761"/>
              <w:spacing w:after="0"/>
              <w:rPr>
                <w:sz w:val="20"/>
                <w:szCs w:val="20"/>
                <w:color w:val="auto"/>
              </w:rPr>
            </w:pPr>
            <w:r>
              <w:rPr>
                <w:rFonts w:ascii="Arial" w:cs="Arial" w:eastAsia="Arial" w:hAnsi="Arial"/>
                <w:sz w:val="20"/>
                <w:szCs w:val="20"/>
                <w:color w:val="auto"/>
                <w:w w:val="84"/>
              </w:rPr>
              <w:t>[*]</w:t>
            </w:r>
          </w:p>
        </w:tc>
      </w:tr>
      <w:tr>
        <w:trPr>
          <w:trHeight w:val="208"/>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09"/>
        </w:trPr>
        <w:tc>
          <w:tcPr>
            <w:tcW w:w="2220" w:type="dxa"/>
            <w:vAlign w:val="bottom"/>
            <w:tcBorders>
              <w:left w:val="single" w:sz="8" w:color="auto"/>
              <w:bottom w:val="single" w:sz="8" w:color="auto"/>
              <w:right w:val="single" w:sz="8" w:color="auto"/>
            </w:tcBorders>
          </w:tcPr>
          <w:p>
            <w:pPr>
              <w:spacing w:after="0" w:line="209"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jc w:val="right"/>
              <w:ind w:right="2761"/>
              <w:spacing w:after="0" w:line="209" w:lineRule="exact"/>
              <w:rPr>
                <w:sz w:val="20"/>
                <w:szCs w:val="20"/>
                <w:color w:val="auto"/>
              </w:rPr>
            </w:pPr>
            <w:r>
              <w:rPr>
                <w:rFonts w:ascii="Arial" w:cs="Arial" w:eastAsia="Arial" w:hAnsi="Arial"/>
                <w:sz w:val="20"/>
                <w:szCs w:val="20"/>
                <w:color w:val="auto"/>
                <w:w w:val="84"/>
              </w:rPr>
              <w:t>[*]</w:t>
            </w:r>
          </w:p>
        </w:tc>
      </w:tr>
    </w:tbl>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*The Licensee shall notify Lonza in writing within a period of [*] days for [*] for each Product.</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u w:val="single" w:color="auto"/>
          <w:color w:val="auto"/>
        </w:rPr>
        <w:t>Table B</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u w:val="single" w:color="auto"/>
          <w:color w:val="auto"/>
        </w:rPr>
        <w:t>COMMERCIAL PRODUCTS AND ROYALTIES</w:t>
      </w:r>
    </w:p>
    <w:p>
      <w:pPr>
        <w:spacing w:after="0" w:line="200" w:lineRule="exact"/>
        <w:rPr>
          <w:sz w:val="20"/>
          <w:szCs w:val="20"/>
          <w:color w:val="auto"/>
        </w:rPr>
      </w:pPr>
    </w:p>
    <w:p>
      <w:pPr>
        <w:spacing w:after="0" w:line="239" w:lineRule="exact"/>
        <w:rPr>
          <w:sz w:val="20"/>
          <w:szCs w:val="20"/>
          <w:color w:val="auto"/>
        </w:rPr>
      </w:pPr>
    </w:p>
    <w:tbl>
      <w:tblPr>
        <w:tblLayout w:type="fixed"/>
        <w:tblInd w:w="730" w:type="dxa"/>
        <w:tblCellMar>
          <w:top w:w="0" w:type="dxa"/>
          <w:left w:w="0" w:type="dxa"/>
          <w:bottom w:w="0" w:type="dxa"/>
          <w:right w:w="0" w:type="dxa"/>
        </w:tblCellMar>
      </w:tblPr>
      <w:tr>
        <w:trPr>
          <w:trHeight w:val="226"/>
        </w:trPr>
        <w:tc>
          <w:tcPr>
            <w:tcW w:w="2720" w:type="dxa"/>
            <w:vAlign w:val="bottom"/>
            <w:tcBorders>
              <w:top w:val="single" w:sz="8" w:color="auto"/>
              <w:left w:val="single" w:sz="8" w:color="auto"/>
              <w:right w:val="single" w:sz="8" w:color="auto"/>
            </w:tcBorders>
          </w:tcPr>
          <w:p>
            <w:pPr>
              <w:ind w:left="20"/>
              <w:spacing w:after="0" w:line="226" w:lineRule="exact"/>
              <w:rPr>
                <w:sz w:val="20"/>
                <w:szCs w:val="20"/>
                <w:color w:val="auto"/>
              </w:rPr>
            </w:pPr>
            <w:r>
              <w:rPr>
                <w:rFonts w:ascii="Arial" w:cs="Arial" w:eastAsia="Arial" w:hAnsi="Arial"/>
                <w:sz w:val="20"/>
                <w:szCs w:val="20"/>
                <w:color w:val="auto"/>
              </w:rPr>
              <w:t>Commercial</w:t>
            </w:r>
          </w:p>
        </w:tc>
        <w:tc>
          <w:tcPr>
            <w:tcW w:w="2020" w:type="dxa"/>
            <w:vAlign w:val="bottom"/>
            <w:tcBorders>
              <w:top w:val="single" w:sz="8" w:color="auto"/>
              <w:right w:val="single" w:sz="8" w:color="auto"/>
            </w:tcBorders>
          </w:tcPr>
          <w:p>
            <w:pPr>
              <w:spacing w:after="0" w:line="226" w:lineRule="exact"/>
              <w:rPr>
                <w:sz w:val="20"/>
                <w:szCs w:val="20"/>
                <w:color w:val="auto"/>
              </w:rPr>
            </w:pPr>
            <w:r>
              <w:rPr>
                <w:rFonts w:ascii="Arial" w:cs="Arial" w:eastAsia="Arial" w:hAnsi="Arial"/>
                <w:sz w:val="20"/>
                <w:szCs w:val="20"/>
                <w:color w:val="auto"/>
              </w:rPr>
              <w:t>Product</w:t>
            </w:r>
          </w:p>
        </w:tc>
        <w:tc>
          <w:tcPr>
            <w:tcW w:w="2120" w:type="dxa"/>
            <w:vAlign w:val="bottom"/>
            <w:tcBorders>
              <w:top w:val="single" w:sz="8" w:color="auto"/>
              <w:right w:val="single" w:sz="8" w:color="auto"/>
            </w:tcBorders>
          </w:tcPr>
          <w:p>
            <w:pPr>
              <w:spacing w:after="0" w:line="226" w:lineRule="exact"/>
              <w:rPr>
                <w:sz w:val="20"/>
                <w:szCs w:val="20"/>
                <w:color w:val="auto"/>
              </w:rPr>
            </w:pPr>
            <w:r>
              <w:rPr>
                <w:rFonts w:ascii="Arial" w:cs="Arial" w:eastAsia="Arial" w:hAnsi="Arial"/>
                <w:sz w:val="20"/>
                <w:szCs w:val="20"/>
                <w:color w:val="auto"/>
              </w:rPr>
              <w:t>Rate of</w:t>
            </w:r>
          </w:p>
        </w:tc>
        <w:tc>
          <w:tcPr>
            <w:tcW w:w="2900" w:type="dxa"/>
            <w:vAlign w:val="bottom"/>
            <w:tcBorders>
              <w:top w:val="single" w:sz="8" w:color="auto"/>
              <w:right w:val="single" w:sz="8" w:color="auto"/>
            </w:tcBorders>
          </w:tcPr>
          <w:p>
            <w:pPr>
              <w:spacing w:after="0" w:line="226" w:lineRule="exact"/>
              <w:rPr>
                <w:sz w:val="20"/>
                <w:szCs w:val="20"/>
                <w:color w:val="auto"/>
              </w:rPr>
            </w:pPr>
            <w:r>
              <w:rPr>
                <w:rFonts w:ascii="Arial" w:cs="Arial" w:eastAsia="Arial" w:hAnsi="Arial"/>
                <w:sz w:val="20"/>
                <w:szCs w:val="20"/>
                <w:color w:val="auto"/>
              </w:rPr>
              <w:t>Party manufacturing</w:t>
            </w:r>
          </w:p>
        </w:tc>
      </w:tr>
      <w:tr>
        <w:trPr>
          <w:trHeight w:val="233"/>
        </w:trPr>
        <w:tc>
          <w:tcPr>
            <w:tcW w:w="2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Product</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Name</w:t>
            </w: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Royalty</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the Product</w:t>
            </w:r>
          </w:p>
        </w:tc>
      </w:tr>
      <w:tr>
        <w:trPr>
          <w:trHeight w:val="223"/>
        </w:trPr>
        <w:tc>
          <w:tcPr>
            <w:tcW w:w="27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#1</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r>
      <w:tr>
        <w:trPr>
          <w:trHeight w:val="209"/>
        </w:trPr>
        <w:tc>
          <w:tcPr>
            <w:tcW w:w="272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Product #2</w:t>
            </w:r>
          </w:p>
        </w:tc>
        <w:tc>
          <w:tcPr>
            <w:tcW w:w="20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r>
      <w:tr>
        <w:trPr>
          <w:trHeight w:val="223"/>
        </w:trPr>
        <w:tc>
          <w:tcPr>
            <w:tcW w:w="27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#3</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r>
      <w:tr>
        <w:trPr>
          <w:trHeight w:val="223"/>
        </w:trPr>
        <w:tc>
          <w:tcPr>
            <w:tcW w:w="27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#4</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r>
      <w:tr>
        <w:trPr>
          <w:trHeight w:val="210"/>
        </w:trPr>
        <w:tc>
          <w:tcPr>
            <w:tcW w:w="272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Product #5 etc</w:t>
            </w:r>
          </w:p>
        </w:tc>
        <w:tc>
          <w:tcPr>
            <w:tcW w:w="20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w:t>
      </w:r>
    </w:p>
    <w:p>
      <w:pPr>
        <w:ind w:firstLine="8"/>
        <w:spacing w:after="0" w:line="258"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ectPr>
          <w:pgSz w:w="11900" w:h="16838" w:orient="portrait"/>
          <w:cols w:equalWidth="0" w:num="1">
            <w:col w:w="11080"/>
          </w:cols>
          <w:pgMar w:left="320" w:top="417" w:right="49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92" w:lineRule="exact"/>
        <w:rPr>
          <w:sz w:val="20"/>
          <w:szCs w:val="20"/>
          <w:color w:val="auto"/>
        </w:rPr>
      </w:pPr>
    </w:p>
    <w:p>
      <w:pPr>
        <w:ind w:right="20" w:firstLine="8"/>
        <w:spacing w:after="0" w:line="236" w:lineRule="auto"/>
        <w:tabs>
          <w:tab w:leader="none" w:pos="253" w:val="left"/>
        </w:tabs>
        <w:numPr>
          <w:ilvl w:val="0"/>
          <w:numId w:val="80"/>
        </w:numPr>
        <w:rPr>
          <w:rFonts w:ascii="Arial" w:cs="Arial" w:eastAsia="Arial" w:hAnsi="Arial"/>
          <w:sz w:val="20"/>
          <w:szCs w:val="20"/>
          <w:color w:val="auto"/>
        </w:rPr>
      </w:pPr>
      <w:r>
        <w:rPr>
          <w:rFonts w:ascii="Arial" w:cs="Arial" w:eastAsia="Arial" w:hAnsi="Arial"/>
          <w:sz w:val="20"/>
          <w:szCs w:val="20"/>
          <w:color w:val="auto"/>
        </w:rPr>
        <w:t>= Certain information contained in this document, marked by brackets, has been omitted from this exhibit because it is both not material and would be competitively harmful if publicly disclosed.</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MULTI-PRODUCT LICENCE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 October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LONZA SALES AG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NGM BIOPHARMACEUTICALS,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1639570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CONFIDENTIAL</w:t>
      </w:r>
    </w:p>
    <w:p>
      <w:pPr>
        <w:spacing w:after="0" w:line="28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This Amendment No. 8 (“</w:t>
      </w:r>
      <w:r>
        <w:rPr>
          <w:rFonts w:ascii="Arial" w:cs="Arial" w:eastAsia="Arial" w:hAnsi="Arial"/>
          <w:sz w:val="20"/>
          <w:szCs w:val="20"/>
          <w:b w:val="1"/>
          <w:bCs w:val="1"/>
          <w:color w:val="auto"/>
        </w:rPr>
        <w:t>Amendment No.8</w:t>
      </w:r>
      <w:r>
        <w:rPr>
          <w:rFonts w:ascii="Arial" w:cs="Arial" w:eastAsia="Arial" w:hAnsi="Arial"/>
          <w:sz w:val="20"/>
          <w:szCs w:val="20"/>
          <w:color w:val="auto"/>
        </w:rPr>
        <w:t>”) to the Multi-Product License Agreement, dated 31 October 2014, and as amended by Amendment No. 1, dated 28 July 2015 , Amendment No. 2, dated 07 October 2015, Amendment No. 3, dated 26 April 2016, Amendment No. 4, dated 03 October 2017, Amendment No. 5, dated 16 March 2018, Amendment No. 6, dated 06 February 2019 and Amendment 7, dated 22 December 2020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 is made effective as of the last dates of signatures between the parties (the “</w:t>
      </w:r>
      <w:r>
        <w:rPr>
          <w:rFonts w:ascii="Arial" w:cs="Arial" w:eastAsia="Arial" w:hAnsi="Arial"/>
          <w:sz w:val="20"/>
          <w:szCs w:val="20"/>
          <w:b w:val="1"/>
          <w:bCs w:val="1"/>
          <w:color w:val="auto"/>
        </w:rPr>
        <w:t>Amendment No. 8 Effective Date</w:t>
      </w:r>
      <w:r>
        <w:rPr>
          <w:rFonts w:ascii="Arial" w:cs="Arial" w:eastAsia="Arial" w:hAnsi="Arial"/>
          <w:sz w:val="20"/>
          <w:szCs w:val="20"/>
          <w:color w:val="auto"/>
        </w:rPr>
        <w:t>”); and is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By and Between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LONZA SALES AG </w:t>
      </w:r>
      <w:r>
        <w:rPr>
          <w:rFonts w:ascii="Arial" w:cs="Arial" w:eastAsia="Arial" w:hAnsi="Arial"/>
          <w:sz w:val="20"/>
          <w:szCs w:val="20"/>
          <w:color w:val="auto"/>
        </w:rPr>
        <w:t>incorporated and registered in Switzerland whose registered office is at Muenchensteinerstrasse 38, CH-4002, Basel, Switzerland ("</w:t>
      </w:r>
      <w:r>
        <w:rPr>
          <w:rFonts w:ascii="Arial" w:cs="Arial" w:eastAsia="Arial" w:hAnsi="Arial"/>
          <w:sz w:val="20"/>
          <w:szCs w:val="20"/>
          <w:b w:val="1"/>
          <w:bCs w:val="1"/>
          <w:color w:val="auto"/>
        </w:rPr>
        <w:t>Lonza</w:t>
      </w:r>
      <w:r>
        <w:rPr>
          <w:rFonts w:ascii="Arial" w:cs="Arial" w:eastAsia="Arial" w:hAnsi="Arial"/>
          <w:sz w:val="20"/>
          <w:szCs w:val="20"/>
          <w:color w:val="auto"/>
        </w:rPr>
        <w:t>"), and</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NGM BIOPHARMACEUTICALS, INC., </w:t>
      </w:r>
      <w:r>
        <w:rPr>
          <w:rFonts w:ascii="Arial" w:cs="Arial" w:eastAsia="Arial" w:hAnsi="Arial"/>
          <w:sz w:val="20"/>
          <w:szCs w:val="20"/>
          <w:color w:val="auto"/>
        </w:rPr>
        <w:t>incorporated and registered in the State of Delaware whose registered office is at 333</w:t>
      </w:r>
      <w:r>
        <w:rPr>
          <w:rFonts w:ascii="Arial" w:cs="Arial" w:eastAsia="Arial" w:hAnsi="Arial"/>
          <w:sz w:val="20"/>
          <w:szCs w:val="20"/>
          <w:b w:val="1"/>
          <w:bCs w:val="1"/>
          <w:color w:val="auto"/>
        </w:rPr>
        <w:t xml:space="preserve"> </w:t>
      </w:r>
      <w:r>
        <w:rPr>
          <w:rFonts w:ascii="Arial" w:cs="Arial" w:eastAsia="Arial" w:hAnsi="Arial"/>
          <w:sz w:val="20"/>
          <w:szCs w:val="20"/>
          <w:color w:val="auto"/>
        </w:rPr>
        <w:t>Oyster Point Blvd., South San Francisco, CA 94080, USA, ("</w:t>
      </w:r>
      <w:r>
        <w:rPr>
          <w:rFonts w:ascii="Arial" w:cs="Arial" w:eastAsia="Arial" w:hAnsi="Arial"/>
          <w:sz w:val="20"/>
          <w:szCs w:val="20"/>
          <w:b w:val="1"/>
          <w:bCs w:val="1"/>
          <w:color w:val="auto"/>
        </w:rPr>
        <w:t>Licensee</w:t>
      </w:r>
      <w:r>
        <w:rPr>
          <w:rFonts w:ascii="Arial" w:cs="Arial" w:eastAsia="Arial" w:hAnsi="Arial"/>
          <w:sz w:val="20"/>
          <w:szCs w:val="20"/>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Lonza and Licensee may be independently defined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94" w:lineRule="exact"/>
        <w:rPr>
          <w:sz w:val="20"/>
          <w:szCs w:val="20"/>
          <w:color w:val="auto"/>
        </w:rPr>
      </w:pPr>
    </w:p>
    <w:p>
      <w:pPr>
        <w:ind w:left="920" w:hanging="912"/>
        <w:spacing w:after="0" w:line="236" w:lineRule="auto"/>
        <w:tabs>
          <w:tab w:leader="none" w:pos="9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Lonza and the Licensee entered into the Agreement, pursuant to which Lonza licensed certain Intellectual Property Rights (as therein defined) to the Licensee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87" w:lineRule="exact"/>
        <w:rPr>
          <w:rFonts w:ascii="Arial" w:cs="Arial" w:eastAsia="Arial" w:hAnsi="Arial"/>
          <w:sz w:val="20"/>
          <w:szCs w:val="20"/>
          <w:color w:val="auto"/>
        </w:rPr>
      </w:pPr>
    </w:p>
    <w:p>
      <w:pPr>
        <w:ind w:left="920" w:hanging="912"/>
        <w:spacing w:after="0"/>
        <w:tabs>
          <w:tab w:leader="none" w:pos="9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Licensee notified Lonza of the [*] and the Parties therefore agree to update the Products table in Appendix 5 Table A.</w:t>
      </w:r>
    </w:p>
    <w:p>
      <w:pPr>
        <w:spacing w:after="0" w:line="105" w:lineRule="exact"/>
        <w:rPr>
          <w:rFonts w:ascii="Arial" w:cs="Arial" w:eastAsia="Arial" w:hAnsi="Arial"/>
          <w:sz w:val="19"/>
          <w:szCs w:val="19"/>
          <w:color w:val="auto"/>
        </w:rPr>
      </w:pPr>
    </w:p>
    <w:p>
      <w:pPr>
        <w:ind w:left="920" w:hanging="912"/>
        <w:spacing w:after="0"/>
        <w:tabs>
          <w:tab w:leader="none" w:pos="9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Parties wish to amend the terms of the Agreement.</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NOW THEREFORE in consideration of the mutual promises and covenants contained herein and other good and valuable consideration the sufficiency of which is acknowledged it is hereby agreed by and between the Parties to amend the Agreement as follows:</w:t>
      </w:r>
    </w:p>
    <w:p>
      <w:pPr>
        <w:spacing w:after="0" w:line="89" w:lineRule="exact"/>
        <w:rPr>
          <w:sz w:val="20"/>
          <w:szCs w:val="20"/>
          <w:color w:val="auto"/>
        </w:rPr>
      </w:pPr>
    </w:p>
    <w:p>
      <w:pPr>
        <w:ind w:left="460" w:hanging="452"/>
        <w:spacing w:after="0" w:line="236" w:lineRule="auto"/>
        <w:tabs>
          <w:tab w:leader="none" w:pos="4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Unless otherwise defined in this Amendment No.8, the words and phrases defined in the Agreement shall have the same meanings in this Amendment No.8.</w:t>
      </w:r>
    </w:p>
    <w:p>
      <w:pPr>
        <w:spacing w:after="0" w:line="87" w:lineRule="exact"/>
        <w:rPr>
          <w:rFonts w:ascii="Arial" w:cs="Arial" w:eastAsia="Arial" w:hAnsi="Arial"/>
          <w:sz w:val="20"/>
          <w:szCs w:val="20"/>
          <w:color w:val="auto"/>
        </w:rPr>
      </w:pPr>
    </w:p>
    <w:p>
      <w:pPr>
        <w:jc w:val="both"/>
        <w:ind w:left="460" w:hanging="452"/>
        <w:spacing w:after="0" w:line="232" w:lineRule="auto"/>
        <w:tabs>
          <w:tab w:leader="none" w:pos="4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Licensee hereby warrants and confirms to Lonza that [*] with the exception of [*]. Licensee also warrants and confirms to Lonza that [*]. Licensee will notify Lonza in writing when [*] which shall be subject to the terms of the Agreement. The parties agree that [*] will not [*] under the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ind w:right="160" w:firstLine="8"/>
        <w:spacing w:after="0" w:line="258"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90" w:right="33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Appendix 5 of the Agreement shall be deleted in its entirety and replaced by the Appendix 5 attached hereto.</w:t>
      </w:r>
    </w:p>
    <w:p>
      <w:pPr>
        <w:spacing w:after="0" w:line="94" w:lineRule="exact"/>
        <w:rPr>
          <w:rFonts w:ascii="Arial" w:cs="Arial" w:eastAsia="Arial" w:hAnsi="Arial"/>
          <w:sz w:val="20"/>
          <w:szCs w:val="20"/>
          <w:color w:val="auto"/>
        </w:rPr>
      </w:pPr>
    </w:p>
    <w:p>
      <w:pPr>
        <w:ind w:left="460" w:hanging="452"/>
        <w:spacing w:after="0"/>
        <w:tabs>
          <w:tab w:leader="none" w:pos="4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Save as expressly provided herein all terms and conditions of the Agreement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ind w:firstLine="8"/>
        <w:spacing w:after="0" w:line="258"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90" w:right="49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color w:val="auto"/>
        </w:rPr>
        <w:t>CONFIDENTIAL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AS WITNESS, the hands of the duly authorized representatives of the parties hereto the Amendment No. 8 Effective Date.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20"/>
                <w:szCs w:val="20"/>
                <w:color w:val="auto"/>
              </w:rPr>
              <w:t>SIGNED BY:</w:t>
            </w:r>
          </w:p>
        </w:tc>
        <w:tc>
          <w:tcPr>
            <w:tcW w:w="6080" w:type="dxa"/>
            <w:vAlign w:val="bottom"/>
            <w:gridSpan w:val="2"/>
          </w:tcPr>
          <w:p>
            <w:pPr>
              <w:spacing w:after="0"/>
              <w:rPr>
                <w:sz w:val="20"/>
                <w:szCs w:val="20"/>
                <w:color w:val="auto"/>
              </w:rPr>
            </w:pPr>
            <w:r>
              <w:rPr>
                <w:rFonts w:ascii="Arial" w:cs="Arial" w:eastAsia="Arial" w:hAnsi="Arial"/>
                <w:sz w:val="20"/>
                <w:szCs w:val="20"/>
                <w:color w:val="auto"/>
              </w:rPr>
              <w:t>/s/ Bart van Aarnhem</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20"/>
                <w:szCs w:val="20"/>
                <w:color w:val="auto"/>
              </w:rPr>
              <w:t>For and on behalf of</w:t>
            </w:r>
          </w:p>
        </w:tc>
        <w:tc>
          <w:tcPr>
            <w:tcW w:w="6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20"/>
                <w:szCs w:val="20"/>
                <w:b w:val="1"/>
                <w:bCs w:val="1"/>
                <w:color w:val="auto"/>
              </w:rPr>
              <w:t>LONZA SALES AG</w:t>
            </w:r>
          </w:p>
        </w:tc>
        <w:tc>
          <w:tcPr>
            <w:tcW w:w="6080" w:type="dxa"/>
            <w:vAlign w:val="bottom"/>
            <w:gridSpan w:val="2"/>
          </w:tcPr>
          <w:p>
            <w:pPr>
              <w:spacing w:after="0"/>
              <w:rPr>
                <w:sz w:val="20"/>
                <w:szCs w:val="20"/>
                <w:color w:val="auto"/>
              </w:rPr>
            </w:pPr>
            <w:r>
              <w:rPr>
                <w:rFonts w:ascii="Arial" w:cs="Arial" w:eastAsia="Arial" w:hAnsi="Arial"/>
                <w:sz w:val="20"/>
                <w:szCs w:val="20"/>
                <w:color w:val="auto"/>
              </w:rPr>
              <w:t>Associate General Counsel</w:t>
            </w:r>
          </w:p>
        </w:tc>
      </w:tr>
      <w:tr>
        <w:trPr>
          <w:trHeight w:val="219"/>
        </w:trPr>
        <w:tc>
          <w:tcPr>
            <w:tcW w:w="5180" w:type="dxa"/>
            <w:vAlign w:val="bottom"/>
          </w:tcPr>
          <w:p>
            <w:pPr>
              <w:spacing w:after="0"/>
              <w:rPr>
                <w:sz w:val="19"/>
                <w:szCs w:val="19"/>
                <w:color w:val="auto"/>
              </w:rPr>
            </w:pPr>
          </w:p>
        </w:tc>
        <w:tc>
          <w:tcPr>
            <w:tcW w:w="606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color w:val="auto"/>
              </w:rPr>
              <w:t>Title</w:t>
            </w:r>
          </w:p>
        </w:tc>
        <w:tc>
          <w:tcPr>
            <w:tcW w:w="20" w:type="dxa"/>
            <w:vAlign w:val="bottom"/>
          </w:tcPr>
          <w:p>
            <w:pPr>
              <w:spacing w:after="0"/>
              <w:rPr>
                <w:sz w:val="19"/>
                <w:szCs w:val="19"/>
                <w:color w:val="auto"/>
              </w:rPr>
            </w:pPr>
          </w:p>
        </w:tc>
      </w:tr>
      <w:tr>
        <w:trPr>
          <w:trHeight w:val="233"/>
        </w:trPr>
        <w:tc>
          <w:tcPr>
            <w:tcW w:w="518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20"/>
                <w:szCs w:val="20"/>
                <w:color w:val="auto"/>
              </w:rPr>
              <w:t>Feb 10, 2021</w:t>
            </w:r>
          </w:p>
        </w:tc>
      </w:tr>
      <w:tr>
        <w:trPr>
          <w:trHeight w:val="231"/>
        </w:trPr>
        <w:tc>
          <w:tcPr>
            <w:tcW w:w="5180" w:type="dxa"/>
            <w:vAlign w:val="bottom"/>
          </w:tcPr>
          <w:p>
            <w:pPr>
              <w:spacing w:after="0"/>
              <w:rPr>
                <w:sz w:val="20"/>
                <w:szCs w:val="20"/>
                <w:color w:val="auto"/>
              </w:rPr>
            </w:pPr>
          </w:p>
        </w:tc>
        <w:tc>
          <w:tcPr>
            <w:tcW w:w="6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0"/>
                <w:szCs w:val="20"/>
                <w:color w:val="auto"/>
              </w:rPr>
            </w:pPr>
          </w:p>
        </w:tc>
      </w:tr>
      <w:tr>
        <w:trPr>
          <w:trHeight w:val="451"/>
        </w:trPr>
        <w:tc>
          <w:tcPr>
            <w:tcW w:w="5180" w:type="dxa"/>
            <w:vAlign w:val="bottom"/>
          </w:tcPr>
          <w:p>
            <w:pPr>
              <w:spacing w:after="0"/>
              <w:rPr>
                <w:sz w:val="20"/>
                <w:szCs w:val="20"/>
                <w:color w:val="auto"/>
              </w:rPr>
            </w:pPr>
            <w:r>
              <w:rPr>
                <w:rFonts w:ascii="Arial" w:cs="Arial" w:eastAsia="Arial" w:hAnsi="Arial"/>
                <w:sz w:val="20"/>
                <w:szCs w:val="20"/>
                <w:color w:val="auto"/>
              </w:rPr>
              <w:t>SIGNED BY:</w:t>
            </w:r>
          </w:p>
        </w:tc>
        <w:tc>
          <w:tcPr>
            <w:tcW w:w="6080" w:type="dxa"/>
            <w:vAlign w:val="bottom"/>
            <w:gridSpan w:val="2"/>
          </w:tcPr>
          <w:p>
            <w:pPr>
              <w:spacing w:after="0"/>
              <w:rPr>
                <w:sz w:val="20"/>
                <w:szCs w:val="20"/>
                <w:color w:val="auto"/>
              </w:rPr>
            </w:pPr>
            <w:r>
              <w:rPr>
                <w:rFonts w:ascii="Arial" w:cs="Arial" w:eastAsia="Arial" w:hAnsi="Arial"/>
                <w:sz w:val="20"/>
                <w:szCs w:val="20"/>
                <w:color w:val="auto"/>
              </w:rPr>
              <w:t>Dan Mekic</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20"/>
                <w:szCs w:val="20"/>
                <w:color w:val="auto"/>
              </w:rPr>
              <w:t>For and on behalf of</w:t>
            </w:r>
          </w:p>
        </w:tc>
        <w:tc>
          <w:tcPr>
            <w:tcW w:w="6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20"/>
                <w:szCs w:val="20"/>
                <w:b w:val="1"/>
                <w:bCs w:val="1"/>
                <w:color w:val="auto"/>
              </w:rPr>
              <w:t>LONZA SALES AG</w:t>
            </w:r>
          </w:p>
        </w:tc>
        <w:tc>
          <w:tcPr>
            <w:tcW w:w="6080" w:type="dxa"/>
            <w:vAlign w:val="bottom"/>
            <w:gridSpan w:val="2"/>
          </w:tcPr>
          <w:p>
            <w:pPr>
              <w:spacing w:after="0"/>
              <w:rPr>
                <w:sz w:val="20"/>
                <w:szCs w:val="20"/>
                <w:color w:val="auto"/>
              </w:rPr>
            </w:pPr>
            <w:r>
              <w:rPr>
                <w:rFonts w:ascii="Arial" w:cs="Arial" w:eastAsia="Arial" w:hAnsi="Arial"/>
                <w:sz w:val="20"/>
                <w:szCs w:val="20"/>
                <w:color w:val="auto"/>
              </w:rPr>
              <w:t>Head of Income Management and</w:t>
            </w:r>
          </w:p>
        </w:tc>
      </w:tr>
      <w:tr>
        <w:trPr>
          <w:trHeight w:val="223"/>
        </w:trPr>
        <w:tc>
          <w:tcPr>
            <w:tcW w:w="5180" w:type="dxa"/>
            <w:vAlign w:val="bottom"/>
          </w:tcPr>
          <w:p>
            <w:pPr>
              <w:spacing w:after="0"/>
              <w:rPr>
                <w:sz w:val="19"/>
                <w:szCs w:val="19"/>
                <w:color w:val="auto"/>
              </w:rPr>
            </w:pPr>
          </w:p>
        </w:tc>
        <w:tc>
          <w:tcPr>
            <w:tcW w:w="606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Forecasting LI</w:t>
            </w:r>
          </w:p>
        </w:tc>
        <w:tc>
          <w:tcPr>
            <w:tcW w:w="20" w:type="dxa"/>
            <w:vAlign w:val="bottom"/>
          </w:tcPr>
          <w:p>
            <w:pPr>
              <w:spacing w:after="0"/>
              <w:rPr>
                <w:sz w:val="19"/>
                <w:szCs w:val="19"/>
                <w:color w:val="auto"/>
              </w:rPr>
            </w:pPr>
          </w:p>
        </w:tc>
      </w:tr>
      <w:tr>
        <w:trPr>
          <w:trHeight w:val="219"/>
        </w:trPr>
        <w:tc>
          <w:tcPr>
            <w:tcW w:w="5180" w:type="dxa"/>
            <w:vAlign w:val="bottom"/>
          </w:tcPr>
          <w:p>
            <w:pPr>
              <w:spacing w:after="0"/>
              <w:rPr>
                <w:sz w:val="19"/>
                <w:szCs w:val="19"/>
                <w:color w:val="auto"/>
              </w:rPr>
            </w:pPr>
          </w:p>
        </w:tc>
        <w:tc>
          <w:tcPr>
            <w:tcW w:w="6060" w:type="dxa"/>
            <w:vAlign w:val="bottom"/>
          </w:tcPr>
          <w:p>
            <w:pPr>
              <w:jc w:val="right"/>
              <w:spacing w:after="0" w:line="219" w:lineRule="exact"/>
              <w:rPr>
                <w:sz w:val="20"/>
                <w:szCs w:val="20"/>
                <w:color w:val="auto"/>
              </w:rPr>
            </w:pPr>
            <w:r>
              <w:rPr>
                <w:rFonts w:ascii="Arial" w:cs="Arial" w:eastAsia="Arial" w:hAnsi="Arial"/>
                <w:sz w:val="20"/>
                <w:szCs w:val="20"/>
                <w:color w:val="auto"/>
              </w:rPr>
              <w:t>Title</w:t>
            </w:r>
          </w:p>
        </w:tc>
        <w:tc>
          <w:tcPr>
            <w:tcW w:w="20" w:type="dxa"/>
            <w:vAlign w:val="bottom"/>
          </w:tcPr>
          <w:p>
            <w:pPr>
              <w:spacing w:after="0"/>
              <w:rPr>
                <w:sz w:val="19"/>
                <w:szCs w:val="19"/>
                <w:color w:val="auto"/>
              </w:rPr>
            </w:pPr>
          </w:p>
        </w:tc>
      </w:tr>
      <w:tr>
        <w:trPr>
          <w:trHeight w:val="233"/>
        </w:trPr>
        <w:tc>
          <w:tcPr>
            <w:tcW w:w="518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20"/>
                <w:szCs w:val="20"/>
                <w:color w:val="auto"/>
              </w:rPr>
              <w:t>Feb 10, 2021</w:t>
            </w:r>
          </w:p>
        </w:tc>
      </w:tr>
      <w:tr>
        <w:trPr>
          <w:trHeight w:val="231"/>
        </w:trPr>
        <w:tc>
          <w:tcPr>
            <w:tcW w:w="5180" w:type="dxa"/>
            <w:vAlign w:val="bottom"/>
          </w:tcPr>
          <w:p>
            <w:pPr>
              <w:spacing w:after="0"/>
              <w:rPr>
                <w:sz w:val="20"/>
                <w:szCs w:val="20"/>
                <w:color w:val="auto"/>
              </w:rPr>
            </w:pPr>
          </w:p>
        </w:tc>
        <w:tc>
          <w:tcPr>
            <w:tcW w:w="6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0"/>
                <w:szCs w:val="20"/>
                <w:color w:val="auto"/>
              </w:rPr>
            </w:pPr>
          </w:p>
        </w:tc>
      </w:tr>
      <w:tr>
        <w:trPr>
          <w:trHeight w:val="451"/>
        </w:trPr>
        <w:tc>
          <w:tcPr>
            <w:tcW w:w="5180" w:type="dxa"/>
            <w:vAlign w:val="bottom"/>
          </w:tcPr>
          <w:p>
            <w:pPr>
              <w:spacing w:after="0"/>
              <w:rPr>
                <w:sz w:val="20"/>
                <w:szCs w:val="20"/>
                <w:color w:val="auto"/>
              </w:rPr>
            </w:pPr>
            <w:r>
              <w:rPr>
                <w:rFonts w:ascii="Arial" w:cs="Arial" w:eastAsia="Arial" w:hAnsi="Arial"/>
                <w:sz w:val="20"/>
                <w:szCs w:val="20"/>
                <w:color w:val="auto"/>
              </w:rPr>
              <w:t>SIGNED BY:</w:t>
            </w:r>
          </w:p>
        </w:tc>
        <w:tc>
          <w:tcPr>
            <w:tcW w:w="6080" w:type="dxa"/>
            <w:vAlign w:val="bottom"/>
            <w:gridSpan w:val="2"/>
          </w:tcPr>
          <w:p>
            <w:pPr>
              <w:spacing w:after="0"/>
              <w:rPr>
                <w:sz w:val="20"/>
                <w:szCs w:val="20"/>
                <w:color w:val="auto"/>
              </w:rPr>
            </w:pPr>
            <w:r>
              <w:rPr>
                <w:rFonts w:ascii="Arial" w:cs="Arial" w:eastAsia="Arial" w:hAnsi="Arial"/>
                <w:sz w:val="20"/>
                <w:szCs w:val="20"/>
                <w:color w:val="auto"/>
              </w:rPr>
              <w:t>/s/ Valerie L. Pierce</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20"/>
                <w:szCs w:val="20"/>
                <w:color w:val="auto"/>
              </w:rPr>
              <w:t>For and on behalf of</w:t>
            </w:r>
          </w:p>
        </w:tc>
        <w:tc>
          <w:tcPr>
            <w:tcW w:w="6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20"/>
                <w:szCs w:val="20"/>
                <w:b w:val="1"/>
                <w:bCs w:val="1"/>
                <w:color w:val="auto"/>
              </w:rPr>
              <w:t>NGM BIOPHARMACEUTICALS, INC.</w:t>
            </w:r>
          </w:p>
        </w:tc>
        <w:tc>
          <w:tcPr>
            <w:tcW w:w="6080" w:type="dxa"/>
            <w:vAlign w:val="bottom"/>
            <w:gridSpan w:val="2"/>
          </w:tcPr>
          <w:p>
            <w:pPr>
              <w:spacing w:after="0"/>
              <w:rPr>
                <w:sz w:val="20"/>
                <w:szCs w:val="20"/>
                <w:color w:val="auto"/>
              </w:rPr>
            </w:pPr>
            <w:r>
              <w:rPr>
                <w:rFonts w:ascii="Arial" w:cs="Arial" w:eastAsia="Arial" w:hAnsi="Arial"/>
                <w:sz w:val="20"/>
                <w:szCs w:val="20"/>
                <w:color w:val="auto"/>
              </w:rPr>
              <w:t>SVP &amp; General Counsel</w:t>
            </w:r>
          </w:p>
        </w:tc>
      </w:tr>
      <w:tr>
        <w:trPr>
          <w:trHeight w:val="219"/>
        </w:trPr>
        <w:tc>
          <w:tcPr>
            <w:tcW w:w="5180" w:type="dxa"/>
            <w:vAlign w:val="bottom"/>
          </w:tcPr>
          <w:p>
            <w:pPr>
              <w:spacing w:after="0"/>
              <w:rPr>
                <w:sz w:val="19"/>
                <w:szCs w:val="19"/>
                <w:color w:val="auto"/>
              </w:rPr>
            </w:pPr>
          </w:p>
        </w:tc>
        <w:tc>
          <w:tcPr>
            <w:tcW w:w="606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color w:val="auto"/>
              </w:rPr>
              <w:t>Title</w:t>
            </w:r>
          </w:p>
        </w:tc>
        <w:tc>
          <w:tcPr>
            <w:tcW w:w="20" w:type="dxa"/>
            <w:vAlign w:val="bottom"/>
          </w:tcPr>
          <w:p>
            <w:pPr>
              <w:spacing w:after="0"/>
              <w:rPr>
                <w:sz w:val="19"/>
                <w:szCs w:val="19"/>
                <w:color w:val="auto"/>
              </w:rPr>
            </w:pPr>
          </w:p>
        </w:tc>
      </w:tr>
      <w:tr>
        <w:trPr>
          <w:trHeight w:val="233"/>
        </w:trPr>
        <w:tc>
          <w:tcPr>
            <w:tcW w:w="518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2/4/2021</w:t>
            </w:r>
          </w:p>
        </w:tc>
        <w:tc>
          <w:tcPr>
            <w:tcW w:w="20" w:type="dxa"/>
            <w:vAlign w:val="bottom"/>
          </w:tcPr>
          <w:p>
            <w:pPr>
              <w:spacing w:after="0"/>
              <w:rPr>
                <w:sz w:val="20"/>
                <w:szCs w:val="20"/>
                <w:color w:val="auto"/>
              </w:rPr>
            </w:pPr>
          </w:p>
        </w:tc>
      </w:tr>
      <w:tr>
        <w:trPr>
          <w:trHeight w:val="231"/>
        </w:trPr>
        <w:tc>
          <w:tcPr>
            <w:tcW w:w="5180" w:type="dxa"/>
            <w:vAlign w:val="bottom"/>
          </w:tcPr>
          <w:p>
            <w:pPr>
              <w:spacing w:after="0"/>
              <w:rPr>
                <w:sz w:val="20"/>
                <w:szCs w:val="20"/>
                <w:color w:val="auto"/>
              </w:rPr>
            </w:pPr>
          </w:p>
        </w:tc>
        <w:tc>
          <w:tcPr>
            <w:tcW w:w="6060" w:type="dxa"/>
            <w:vAlign w:val="bottom"/>
          </w:tcPr>
          <w:p>
            <w:pPr>
              <w:jc w:val="right"/>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3" w:lineRule="exact"/>
        <w:rPr>
          <w:sz w:val="20"/>
          <w:szCs w:val="20"/>
          <w:color w:val="auto"/>
        </w:rPr>
      </w:pPr>
    </w:p>
    <w:p>
      <w:pPr>
        <w:ind w:right="160" w:firstLine="8"/>
        <w:spacing w:after="0" w:line="258"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90" w:right="33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color w:val="auto"/>
        </w:rPr>
        <w:t>CONFIDENTIAL</w:t>
      </w:r>
    </w:p>
    <w:p>
      <w:pPr>
        <w:spacing w:after="0" w:line="151" w:lineRule="exact"/>
        <w:rPr>
          <w:sz w:val="20"/>
          <w:szCs w:val="20"/>
          <w:color w:val="auto"/>
        </w:rPr>
      </w:pPr>
    </w:p>
    <w:tbl>
      <w:tblPr>
        <w:tblLayout w:type="fixed"/>
        <w:tblInd w:w="197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020" w:type="dxa"/>
            <w:vAlign w:val="bottom"/>
            <w:gridSpan w:val="6"/>
          </w:tcPr>
          <w:p>
            <w:pPr>
              <w:jc w:val="center"/>
              <w:ind w:left="701"/>
              <w:spacing w:after="0"/>
              <w:rPr>
                <w:sz w:val="20"/>
                <w:szCs w:val="20"/>
                <w:color w:val="auto"/>
              </w:rPr>
            </w:pPr>
            <w:r>
              <w:rPr>
                <w:rFonts w:ascii="Arial" w:cs="Arial" w:eastAsia="Arial" w:hAnsi="Arial"/>
                <w:sz w:val="20"/>
                <w:szCs w:val="20"/>
                <w:b w:val="1"/>
                <w:bCs w:val="1"/>
                <w:color w:val="auto"/>
                <w:w w:val="99"/>
              </w:rPr>
              <w:t>APPENDIX 5</w:t>
            </w:r>
          </w:p>
        </w:tc>
        <w:tc>
          <w:tcPr>
            <w:tcW w:w="3060" w:type="dxa"/>
            <w:vAlign w:val="bottom"/>
          </w:tcPr>
          <w:p>
            <w:pPr>
              <w:spacing w:after="0"/>
              <w:rPr>
                <w:sz w:val="19"/>
                <w:szCs w:val="19"/>
                <w:color w:val="auto"/>
              </w:rPr>
            </w:pPr>
          </w:p>
        </w:tc>
      </w:tr>
      <w:tr>
        <w:trPr>
          <w:trHeight w:val="426"/>
        </w:trPr>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6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r>
        <w:trPr>
          <w:trHeight w:val="655"/>
        </w:trPr>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20"/>
                <w:szCs w:val="20"/>
                <w:b w:val="1"/>
                <w:bCs w:val="1"/>
                <w:color w:val="auto"/>
                <w:w w:val="96"/>
              </w:rPr>
              <w:t>Table A</w:t>
            </w:r>
          </w:p>
        </w:tc>
        <w:tc>
          <w:tcPr>
            <w:tcW w:w="3060" w:type="dxa"/>
            <w:vAlign w:val="bottom"/>
          </w:tcPr>
          <w:p>
            <w:pPr>
              <w:spacing w:after="0"/>
              <w:rPr>
                <w:sz w:val="24"/>
                <w:szCs w:val="24"/>
                <w:color w:val="auto"/>
              </w:rPr>
            </w:pPr>
          </w:p>
        </w:tc>
      </w:tr>
      <w:tr>
        <w:trPr>
          <w:trHeight w:val="237"/>
        </w:trPr>
        <w:tc>
          <w:tcPr>
            <w:tcW w:w="2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r>
      <w:tr>
        <w:trPr>
          <w:trHeight w:val="209"/>
        </w:trPr>
        <w:tc>
          <w:tcPr>
            <w:tcW w:w="226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Product</w:t>
            </w:r>
          </w:p>
        </w:tc>
        <w:tc>
          <w:tcPr>
            <w:tcW w:w="2020" w:type="dxa"/>
            <w:vAlign w:val="bottom"/>
            <w:tcBorders>
              <w:bottom w:val="single" w:sz="8" w:color="auto"/>
              <w:right w:val="single" w:sz="8" w:color="auto"/>
            </w:tcBorders>
            <w:gridSpan w:val="6"/>
          </w:tcPr>
          <w:p>
            <w:pPr>
              <w:spacing w:after="0" w:line="209" w:lineRule="exact"/>
              <w:rPr>
                <w:sz w:val="20"/>
                <w:szCs w:val="20"/>
                <w:color w:val="auto"/>
              </w:rPr>
            </w:pPr>
            <w:r>
              <w:rPr>
                <w:rFonts w:ascii="Arial" w:cs="Arial" w:eastAsia="Arial" w:hAnsi="Arial"/>
                <w:sz w:val="20"/>
                <w:szCs w:val="20"/>
                <w:color w:val="auto"/>
              </w:rPr>
              <w:t>Product Name</w:t>
            </w:r>
          </w:p>
        </w:tc>
        <w:tc>
          <w:tcPr>
            <w:tcW w:w="3060" w:type="dxa"/>
            <w:vAlign w:val="bottom"/>
            <w:tcBorders>
              <w:bottom w:val="single" w:sz="8" w:color="auto"/>
              <w:right w:val="single" w:sz="8" w:color="auto"/>
            </w:tcBorders>
          </w:tcPr>
          <w:p>
            <w:pPr>
              <w:jc w:val="right"/>
              <w:ind w:right="2781"/>
              <w:spacing w:after="0" w:line="209" w:lineRule="exact"/>
              <w:rPr>
                <w:sz w:val="20"/>
                <w:szCs w:val="20"/>
                <w:color w:val="auto"/>
              </w:rPr>
            </w:pPr>
            <w:r>
              <w:rPr>
                <w:rFonts w:ascii="Arial" w:cs="Arial" w:eastAsia="Arial" w:hAnsi="Arial"/>
                <w:sz w:val="20"/>
                <w:szCs w:val="20"/>
                <w:color w:val="auto"/>
                <w:w w:val="84"/>
              </w:rPr>
              <w:t>[*]</w:t>
            </w:r>
          </w:p>
        </w:tc>
      </w:tr>
      <w:tr>
        <w:trPr>
          <w:trHeight w:val="209"/>
        </w:trPr>
        <w:tc>
          <w:tcPr>
            <w:tcW w:w="226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jc w:val="right"/>
              <w:ind w:right="2781"/>
              <w:spacing w:after="0" w:line="209" w:lineRule="exact"/>
              <w:rPr>
                <w:sz w:val="20"/>
                <w:szCs w:val="20"/>
                <w:color w:val="auto"/>
              </w:rPr>
            </w:pPr>
            <w:r>
              <w:rPr>
                <w:rFonts w:ascii="Arial" w:cs="Arial" w:eastAsia="Arial" w:hAnsi="Arial"/>
                <w:sz w:val="20"/>
                <w:szCs w:val="20"/>
                <w:color w:val="auto"/>
                <w:w w:val="84"/>
              </w:rPr>
              <w:t>[*]</w:t>
            </w:r>
          </w:p>
        </w:tc>
      </w:tr>
    </w:tbl>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*The Licensee shall notify Lonza in writing within a period of [*] days for [*] for each Product.</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u w:val="single" w:color="auto"/>
          <w:color w:val="auto"/>
        </w:rPr>
        <w:t>Table B</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u w:val="single" w:color="auto"/>
          <w:color w:val="auto"/>
        </w:rPr>
        <w:t>COMMERCIAL PRODUCTS AND ROYALTIES</w:t>
      </w:r>
    </w:p>
    <w:p>
      <w:pPr>
        <w:spacing w:after="0" w:line="200" w:lineRule="exact"/>
        <w:rPr>
          <w:sz w:val="20"/>
          <w:szCs w:val="20"/>
          <w:color w:val="auto"/>
        </w:rPr>
      </w:pPr>
    </w:p>
    <w:p>
      <w:pPr>
        <w:spacing w:after="0" w:line="253" w:lineRule="exact"/>
        <w:rPr>
          <w:sz w:val="20"/>
          <w:szCs w:val="20"/>
          <w:color w:val="auto"/>
        </w:rPr>
      </w:pPr>
    </w:p>
    <w:tbl>
      <w:tblPr>
        <w:tblLayout w:type="fixed"/>
        <w:tblInd w:w="750" w:type="dxa"/>
        <w:tblCellMar>
          <w:top w:w="0" w:type="dxa"/>
          <w:left w:w="0" w:type="dxa"/>
          <w:bottom w:w="0" w:type="dxa"/>
          <w:right w:w="0" w:type="dxa"/>
        </w:tblCellMar>
      </w:tblPr>
      <w:tr>
        <w:trPr>
          <w:trHeight w:val="229"/>
        </w:trPr>
        <w:tc>
          <w:tcPr>
            <w:tcW w:w="2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Commercial Product</w:t>
            </w:r>
          </w:p>
        </w:tc>
        <w:tc>
          <w:tcPr>
            <w:tcW w:w="20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Product Name</w:t>
            </w:r>
          </w:p>
        </w:tc>
        <w:tc>
          <w:tcPr>
            <w:tcW w:w="2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Rate of Royalty</w:t>
            </w:r>
          </w:p>
        </w:tc>
        <w:tc>
          <w:tcPr>
            <w:tcW w:w="2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Party manufacturing the Product</w:t>
            </w:r>
          </w:p>
        </w:tc>
      </w:tr>
      <w:tr>
        <w:trPr>
          <w:trHeight w:val="223"/>
        </w:trPr>
        <w:tc>
          <w:tcPr>
            <w:tcW w:w="27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#1</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r>
        <w:trPr>
          <w:trHeight w:val="223"/>
        </w:trPr>
        <w:tc>
          <w:tcPr>
            <w:tcW w:w="27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#2</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r>
        <w:trPr>
          <w:trHeight w:val="223"/>
        </w:trPr>
        <w:tc>
          <w:tcPr>
            <w:tcW w:w="27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#3</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r>
        <w:trPr>
          <w:trHeight w:val="223"/>
        </w:trPr>
        <w:tc>
          <w:tcPr>
            <w:tcW w:w="27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#4</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r>
        <w:trPr>
          <w:trHeight w:val="223"/>
        </w:trPr>
        <w:tc>
          <w:tcPr>
            <w:tcW w:w="27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#5</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r>
        <w:trPr>
          <w:trHeight w:val="223"/>
        </w:trPr>
        <w:tc>
          <w:tcPr>
            <w:tcW w:w="27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#6</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r>
        <w:trPr>
          <w:trHeight w:val="223"/>
        </w:trPr>
        <w:tc>
          <w:tcPr>
            <w:tcW w:w="27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Product #7</w:t>
            </w:r>
          </w:p>
        </w:tc>
        <w:tc>
          <w:tcPr>
            <w:tcW w:w="20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w:t>
      </w:r>
    </w:p>
    <w:p>
      <w:pPr>
        <w:spacing w:after="0" w:line="13" w:lineRule="exact"/>
        <w:rPr>
          <w:sz w:val="20"/>
          <w:szCs w:val="20"/>
          <w:color w:val="auto"/>
        </w:rPr>
      </w:pPr>
    </w:p>
    <w:p>
      <w:pPr>
        <w:ind w:firstLine="8"/>
        <w:spacing w:after="0" w:line="258"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ectPr>
          <w:pgSz w:w="11900" w:h="16838" w:orient="portrait"/>
          <w:cols w:equalWidth="0" w:num="1">
            <w:col w:w="11080"/>
          </w:cols>
          <w:pgMar w:left="320" w:top="190" w:right="499" w:bottom="1440" w:gutter="0" w:footer="0" w:header="0"/>
        </w:sectPr>
      </w:pPr>
    </w:p>
    <w:bookmarkStart w:id="174" w:name="page175"/>
    <w:bookmarkEnd w:id="174"/>
    <w:p>
      <w:pPr>
        <w:ind w:left="10240"/>
        <w:spacing w:after="0"/>
        <w:rPr>
          <w:sz w:val="20"/>
          <w:szCs w:val="20"/>
          <w:color w:val="auto"/>
        </w:rPr>
      </w:pPr>
      <w:r>
        <w:rPr>
          <w:rFonts w:ascii="Arial" w:cs="Arial" w:eastAsia="Arial" w:hAnsi="Arial"/>
          <w:sz w:val="18"/>
          <w:szCs w:val="18"/>
          <w:b w:val="1"/>
          <w:bCs w:val="1"/>
          <w:color w:val="auto"/>
        </w:rPr>
        <w:t>Exhibit 21.1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tcPr>
          <w:p>
            <w:pPr>
              <w:ind w:left="120"/>
              <w:spacing w:after="0"/>
              <w:rPr>
                <w:sz w:val="20"/>
                <w:szCs w:val="20"/>
                <w:color w:val="auto"/>
              </w:rPr>
            </w:pPr>
            <w:r>
              <w:rPr>
                <w:rFonts w:ascii="Arial" w:cs="Arial" w:eastAsia="Arial" w:hAnsi="Arial"/>
                <w:sz w:val="18"/>
                <w:szCs w:val="18"/>
                <w:b w:val="1"/>
                <w:bCs w:val="1"/>
                <w:color w:val="auto"/>
              </w:rPr>
              <w:t>SUBSIDIARIES</w:t>
            </w:r>
          </w:p>
        </w:tc>
      </w:tr>
      <w:tr>
        <w:trPr>
          <w:trHeight w:val="53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Subsidiary Name</w:t>
            </w:r>
          </w:p>
        </w:tc>
        <w:tc>
          <w:tcPr>
            <w:tcW w:w="80" w:type="dxa"/>
            <w:vAlign w:val="bottom"/>
          </w:tcPr>
          <w:p>
            <w:pPr>
              <w:spacing w:after="0"/>
              <w:rPr>
                <w:sz w:val="24"/>
                <w:szCs w:val="24"/>
                <w:color w:val="auto"/>
              </w:rPr>
            </w:pPr>
          </w:p>
        </w:tc>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43"/>
        </w:trPr>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rPr>
              <w:t>NGM Biopharmaceuticals Australia Pty Ltd.</w:t>
            </w:r>
          </w:p>
        </w:tc>
        <w:tc>
          <w:tcPr>
            <w:tcW w:w="64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bl>
    <w:p>
      <w:pPr>
        <w:sectPr>
          <w:pgSz w:w="11900" w:h="16838" w:orient="portrait"/>
          <w:cols w:equalWidth="0" w:num="1">
            <w:col w:w="11340"/>
          </w:cols>
          <w:pgMar w:left="320" w:top="34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ind w:left="800" w:right="440" w:hanging="401"/>
        <w:spacing w:after="0" w:line="234"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333-230725) pertaining to NGM Biopharmaceuticals, Inc. Amended and Restated 2018 Equity Incentive Plan and NGM Biopharmaceuticals, Inc. 2019 Employee Stock Purchase Plan;</w:t>
      </w:r>
    </w:p>
    <w:p>
      <w:pPr>
        <w:spacing w:after="0" w:line="1" w:lineRule="exact"/>
        <w:rPr>
          <w:rFonts w:ascii="Arial" w:cs="Arial" w:eastAsia="Arial" w:hAnsi="Arial"/>
          <w:sz w:val="18"/>
          <w:szCs w:val="18"/>
          <w:color w:val="auto"/>
        </w:rPr>
      </w:pPr>
    </w:p>
    <w:p>
      <w:pPr>
        <w:ind w:left="800" w:right="440" w:hanging="401"/>
        <w:spacing w:after="0" w:line="234"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333-237243) pertaining to NGM Biopharmaceuticals, Inc. Amended and Restated 2018 Equity Incentive Plan; and</w:t>
      </w:r>
    </w:p>
    <w:p>
      <w:pPr>
        <w:spacing w:after="0" w:line="1" w:lineRule="exact"/>
        <w:rPr>
          <w:rFonts w:ascii="Arial" w:cs="Arial" w:eastAsia="Arial" w:hAnsi="Arial"/>
          <w:sz w:val="18"/>
          <w:szCs w:val="18"/>
          <w:color w:val="auto"/>
        </w:rPr>
      </w:pPr>
    </w:p>
    <w:p>
      <w:pPr>
        <w:ind w:left="800" w:right="1460" w:hanging="401"/>
        <w:spacing w:after="0" w:line="246"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S-3 No. 333-238991) and related prospectus and prospectus supplements of NGM Biopharmaceuticals, Inc.;</w:t>
      </w:r>
    </w:p>
    <w:p>
      <w:pPr>
        <w:spacing w:after="0" w:line="22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of our report dated March 15, 2021, with respect to the consolidated financial statements of NGM Biopharmaceuticals, Inc., included in this Annual Report (Form 10-K) of NGM Biopharmaceuticals, Inc. for the year ended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333333"/>
        </w:rPr>
        <w:t>Redwood City, California</w:t>
      </w:r>
    </w:p>
    <w:p>
      <w:pPr>
        <w:spacing w:after="0"/>
        <w:rPr>
          <w:sz w:val="20"/>
          <w:szCs w:val="20"/>
          <w:color w:val="auto"/>
        </w:rPr>
      </w:pPr>
      <w:r>
        <w:rPr>
          <w:rFonts w:ascii="Arial" w:cs="Arial" w:eastAsia="Arial" w:hAnsi="Arial"/>
          <w:sz w:val="18"/>
          <w:szCs w:val="18"/>
          <w:color w:val="333333"/>
        </w:rPr>
        <w:t>March 15, 2021</w:t>
      </w:r>
    </w:p>
    <w:p>
      <w:pPr>
        <w:sectPr>
          <w:pgSz w:w="11900" w:h="16838" w:orient="portrait"/>
          <w:cols w:equalWidth="0" w:num="1">
            <w:col w:w="11240"/>
          </w:cols>
          <w:pgMar w:left="320" w:top="589"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2" w:lineRule="exact"/>
        <w:rPr>
          <w:sz w:val="20"/>
          <w:szCs w:val="20"/>
          <w:color w:val="auto"/>
        </w:rPr>
      </w:pPr>
    </w:p>
    <w:p>
      <w:pPr>
        <w:ind w:left="800" w:hanging="792"/>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jc w:val="both"/>
        <w:ind w:left="1600" w:hanging="796"/>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25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-1905</wp:posOffset>
            </wp:positionV>
            <wp:extent cx="3231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David J. Woodhouse, Ph.D.</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 and Director</w:t>
      </w:r>
    </w:p>
    <w:p>
      <w:pPr>
        <w:ind w:left="6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46"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12" w:lineRule="exact"/>
        <w:rPr>
          <w:sz w:val="20"/>
          <w:szCs w:val="20"/>
          <w:color w:val="auto"/>
        </w:rPr>
      </w:pPr>
    </w:p>
    <w:p>
      <w:pPr>
        <w:ind w:left="800" w:hanging="792"/>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right="20" w:hanging="792"/>
        <w:spacing w:after="0" w:line="246" w:lineRule="auto"/>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line="238" w:lineRule="auto"/>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8"/>
          <w:szCs w:val="18"/>
          <w:color w:val="auto"/>
        </w:rPr>
      </w:pPr>
    </w:p>
    <w:p>
      <w:pPr>
        <w:jc w:val="both"/>
        <w:ind w:left="1600" w:hanging="796"/>
        <w:spacing w:after="0"/>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255" w:lineRule="exact"/>
        <w:rPr>
          <w:sz w:val="20"/>
          <w:szCs w:val="20"/>
          <w:color w:val="auto"/>
        </w:rPr>
      </w:pPr>
    </w:p>
    <w:p>
      <w:pPr>
        <w:ind w:left="48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37890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Siobhan Nolan Mangini</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ind w:left="52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346"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Principal Executive Officer of NGM Biopharmaceuticals, Inc. (the “Company”) and Siobhan Nolan Mangini, Chief Financial Officer of the Company, each hereby certifies that, to the best of his knowledge:</w:t>
      </w:r>
    </w:p>
    <w:p>
      <w:pPr>
        <w:spacing w:after="0" w:line="205" w:lineRule="exact"/>
        <w:rPr>
          <w:sz w:val="20"/>
          <w:szCs w:val="20"/>
          <w:color w:val="auto"/>
        </w:rPr>
      </w:pPr>
    </w:p>
    <w:p>
      <w:pPr>
        <w:ind w:left="800" w:hanging="792"/>
        <w:spacing w:after="0" w:line="246" w:lineRule="auto"/>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2020, to which this Certification is attached as Exhibit 32.1 (the “Annual Report”), fully complies with the requirements of Section 13(a) or Section 15(d) of the Exchange Act; and</w:t>
      </w:r>
    </w:p>
    <w:p>
      <w:pPr>
        <w:spacing w:after="0" w:line="196"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6258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01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Siobhan Nolan Mangini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NGM Biopharmaceuticals, Inc. under the Securities Act of 1933, as amended, or the Exchange Act (whether made before or after the date of the Form 10-K), irrespective of any general incorporation language contained in such filing.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lvl w:ilvl="1">
      <w:lvlJc w:val="left"/>
      <w:lvlText w:val="•"/>
      <w:numFmt w:val="bullet"/>
      <w:start w:val="1"/>
    </w:lvl>
  </w:abstractNum>
  <w:abstractNum w:abstractNumId="8">
    <w:nsid w:val="749ABB43"/>
    <w:multiLevelType w:val="hybridMultilevel"/>
    <w:lvl w:ilvl="0">
      <w:lvlJc w:val="left"/>
      <w:lvlText w:val="1"/>
      <w:numFmt w:val="bullet"/>
      <w:start w:val="1"/>
    </w:lvl>
  </w:abstractNum>
  <w:abstractNum w:abstractNumId="9">
    <w:nsid w:val="3DC240FB"/>
    <w:multiLevelType w:val="hybridMultilevel"/>
    <w:lvl w:ilvl="0">
      <w:lvlJc w:val="left"/>
      <w:lvlText w:val="2"/>
      <w:numFmt w:val="bullet"/>
      <w:start w:val="1"/>
    </w:lvl>
  </w:abstractNum>
  <w:abstractNum w:abstractNumId="10">
    <w:nsid w:val="1BA026FA"/>
    <w:multiLevelType w:val="hybridMultilevel"/>
    <w:lvl w:ilvl="0">
      <w:lvlJc w:val="left"/>
      <w:lvlText w:val="3"/>
      <w:numFmt w:val="bullet"/>
      <w:start w:val="1"/>
    </w:lvl>
  </w:abstractNum>
  <w:abstractNum w:abstractNumId="11">
    <w:nsid w:val="79A1DEAA"/>
    <w:multiLevelType w:val="hybridMultilevel"/>
    <w:lvl w:ilvl="0">
      <w:lvlJc w:val="left"/>
      <w:lvlText w:val="4"/>
      <w:numFmt w:val="bullet"/>
      <w:start w:val="1"/>
    </w:lvl>
  </w:abstractNum>
  <w:abstractNum w:abstractNumId="12">
    <w:nsid w:val="75C6C33A"/>
    <w:multiLevelType w:val="hybridMultilevel"/>
    <w:lvl w:ilvl="0">
      <w:lvlJc w:val="left"/>
      <w:lvlText w:val="•"/>
      <w:numFmt w:val="bullet"/>
      <w:start w:val="1"/>
    </w:lvl>
    <w:lvl w:ilvl="1">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decimal"/>
      <w:start w:val="2"/>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o"/>
      <w:numFmt w:val="bullet"/>
      <w:start w:val="1"/>
    </w:lvl>
    <w:lvl w:ilvl="1">
      <w:lvlJc w:val="left"/>
      <w:lvlText w:val="▪"/>
      <w:numFmt w:val="bullet"/>
      <w:start w:val="1"/>
    </w:lvl>
  </w:abstractNum>
  <w:abstractNum w:abstractNumId="49">
    <w:nsid w:val="98A3148"/>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o"/>
      <w:numFmt w:val="bullet"/>
      <w:start w:val="1"/>
    </w:lvl>
    <w:lvl w:ilvl="1">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decimal"/>
      <w:start w:val="2"/>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4"/>
    </w:lvl>
  </w:abstractNum>
  <w:abstractNum w:abstractNumId="63">
    <w:nsid w:val="42963E5A"/>
    <w:multiLevelType w:val="hybridMultilevel"/>
    <w:lvl w:ilvl="0">
      <w:lvlJc w:val="left"/>
      <w:lvlText w:val="%1."/>
      <w:numFmt w:val="decimal"/>
      <w:start w:val="5"/>
    </w:lvl>
  </w:abstractNum>
  <w:abstractNum w:abstractNumId="64">
    <w:nsid w:val="A0382C5"/>
    <w:multiLevelType w:val="hybridMultilevel"/>
    <w:lvl w:ilvl="0">
      <w:lvlJc w:val="left"/>
      <w:lvlText w:val="(%1)"/>
      <w:numFmt w:val="lowerLetter"/>
      <w:start w:val="1"/>
    </w:lvl>
    <w:lvl w:ilvl="1">
      <w:lvlJc w:val="left"/>
      <w:lvlText w:val="%2."/>
      <w:numFmt w:val="decimal"/>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upperLetter"/>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upperLetter"/>
      <w:start w:val="4"/>
    </w:lvl>
  </w:abstractNum>
  <w:abstractNum w:abstractNumId="73">
    <w:nsid w:val="7FFFCA11"/>
    <w:multiLevelType w:val="hybridMultilevel"/>
    <w:lvl w:ilvl="0">
      <w:lvlJc w:val="left"/>
      <w:lvlText w:val="%1."/>
      <w:numFmt w:val="decimal"/>
      <w:start w:val="1"/>
    </w:lvl>
    <w:lvl w:ilvl="1">
      <w:lvlJc w:val="left"/>
      <w:lvlText w:val="(%2)"/>
      <w:numFmt w:val="lowerLetter"/>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decimal"/>
      <w:start w:val="7"/>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upperLetter"/>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1."/>
      <w:numFmt w:val="decimal"/>
      <w:start w:val="3"/>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9">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8"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jpeg"/><Relationship Id="rId234" Type="http://schemas.openxmlformats.org/officeDocument/2006/relationships/image" Target="media/image205.png"/><Relationship Id="rId235" Type="http://schemas.openxmlformats.org/officeDocument/2006/relationships/image" Target="media/image206.jpeg"/><Relationship Id="rId236" Type="http://schemas.openxmlformats.org/officeDocument/2006/relationships/image" Target="media/image207.png"/><Relationship Id="rId237" Type="http://schemas.openxmlformats.org/officeDocument/2006/relationships/image" Target="media/image208.jpeg"/><Relationship Id="rId238" Type="http://schemas.openxmlformats.org/officeDocument/2006/relationships/image" Target="media/image209.png"/><Relationship Id="rId239" Type="http://schemas.openxmlformats.org/officeDocument/2006/relationships/image" Target="media/image210.jpeg"/><Relationship Id="rId240" Type="http://schemas.openxmlformats.org/officeDocument/2006/relationships/image" Target="media/image211.png"/><Relationship Id="rId241" Type="http://schemas.openxmlformats.org/officeDocument/2006/relationships/image" Target="media/image212.jpeg"/><Relationship Id="rId242" Type="http://schemas.openxmlformats.org/officeDocument/2006/relationships/image" Target="media/image213.png"/><Relationship Id="rId243" Type="http://schemas.openxmlformats.org/officeDocument/2006/relationships/image" Target="media/image214.jpe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05" Type="http://schemas.openxmlformats.org/officeDocument/2006/relationships/hyperlink" Target="http://www.sec.gov/Archives/edgar/data/0001426332/000119312519100757/d731361dex31.htm" TargetMode="External"/><Relationship Id="rId206" Type="http://schemas.openxmlformats.org/officeDocument/2006/relationships/hyperlink" Target="http://www.sec.gov/Archives/edgar/data/0001426332/000119312518287727/d693178dex34.htm" TargetMode="External"/><Relationship Id="rId207" Type="http://schemas.openxmlformats.org/officeDocument/2006/relationships/hyperlink" Target="http://www.sec.gov/Archives/edgar/data/0001426332/000119312518287727/d693178dex41.htm" TargetMode="External"/><Relationship Id="rId208" Type="http://schemas.openxmlformats.org/officeDocument/2006/relationships/hyperlink" Target="http://www.sec.gov/Archives/edgar/data/0001426332/000119312519094494/d693178dex42.htm" TargetMode="External"/><Relationship Id="rId209" Type="http://schemas.openxmlformats.org/officeDocument/2006/relationships/hyperlink" Target="http://www.sec.gov/Archives/edgar/data/1426332/000156459020011422/ngm-ex43_293.htm" TargetMode="External"/><Relationship Id="rId210" Type="http://schemas.openxmlformats.org/officeDocument/2006/relationships/hyperlink" Target="http://www.sec.gov/Archives/edgar/data/0001426332/000119312518287727/d693178dex101.htm" TargetMode="External"/><Relationship Id="rId211" Type="http://schemas.openxmlformats.org/officeDocument/2006/relationships/hyperlink" Target="http://www.sec.gov/Archives/edgar/data/0001426332/000119312518287727/d693178dex102.htm" TargetMode="External"/><Relationship Id="rId212" Type="http://schemas.openxmlformats.org/officeDocument/2006/relationships/hyperlink" Target="http://www.sec.gov/Archives/edgar/data/0001426332/000119312519084550/d693178dex103.htm" TargetMode="External"/><Relationship Id="rId213" Type="http://schemas.openxmlformats.org/officeDocument/2006/relationships/hyperlink" Target="http://www.sec.gov/Archives/edgar/data/0001426332/000119312519084550/d693178dex104.htm" TargetMode="External"/><Relationship Id="rId214" Type="http://schemas.openxmlformats.org/officeDocument/2006/relationships/hyperlink" Target="http://www.sec.gov/Archives/edgar/data/0001426332/000119312519084550/d693178dex105.htm" TargetMode="External"/><Relationship Id="rId215" Type="http://schemas.openxmlformats.org/officeDocument/2006/relationships/hyperlink" Target="http://www.sec.gov/Archives/edgar/data/0001426332/000119312519084550/d693178dex106.htm" TargetMode="External"/><Relationship Id="rId216" Type="http://schemas.openxmlformats.org/officeDocument/2006/relationships/hyperlink" Target="http://www.sec.gov/Archives/edgar/data/0001426332/000119312518287727/d693178dex107.htm" TargetMode="External"/><Relationship Id="rId217" Type="http://schemas.openxmlformats.org/officeDocument/2006/relationships/hyperlink" Target="http://www.sec.gov/Archives/edgar/data/0001426332/000119312519084550/d693178dex108.htm" TargetMode="External"/><Relationship Id="rId219" Type="http://schemas.openxmlformats.org/officeDocument/2006/relationships/hyperlink" Target="http://www.sec.gov/Archives/edgar/data/0001426332/000119312518287727/d693178dex109.htm" TargetMode="External"/><Relationship Id="rId220" Type="http://schemas.openxmlformats.org/officeDocument/2006/relationships/hyperlink" Target="http://www.sec.gov/Archives/edgar/data/0001426332/000119312518287727/d693178dex1011.htm" TargetMode="External"/><Relationship Id="rId221" Type="http://schemas.openxmlformats.org/officeDocument/2006/relationships/hyperlink" Target="http://www.sec.gov/Archives/edgar/data/0001426332/000119312519084550/d693178dex1013.htm" TargetMode="External"/><Relationship Id="rId222" Type="http://schemas.openxmlformats.org/officeDocument/2006/relationships/hyperlink" Target="http://www.sec.gov/Archives/edgar/data/0001426332/000156459020039692/ngm-ex101_91.htm" TargetMode="External"/><Relationship Id="rId223" Type="http://schemas.openxmlformats.org/officeDocument/2006/relationships/hyperlink" Target="http://www.sec.gov/Archives/edgar/data/0001426332/000119312518287727/d693178dex1015.htm" TargetMode="External"/><Relationship Id="rId224" Type="http://schemas.openxmlformats.org/officeDocument/2006/relationships/hyperlink" Target="http://www.sec.gov/Archives/edgar/data/0001426332/000119312518287727/d693178dex1016.htm" TargetMode="External"/><Relationship Id="rId225" Type="http://schemas.openxmlformats.org/officeDocument/2006/relationships/hyperlink" Target="http://www.sec.gov/Archives/edgar/data/0001426332/000119312518287727/d693178dex1017.htm" TargetMode="External"/><Relationship Id="rId226" Type="http://schemas.openxmlformats.org/officeDocument/2006/relationships/hyperlink" Target="http://www.sec.gov/Archives/edgar/data/0001426332/000119312519094494/d693178dex1017.htm" TargetMode="External"/><Relationship Id="rId227" Type="http://schemas.openxmlformats.org/officeDocument/2006/relationships/hyperlink" Target="http://www.sec.gov/Archives/edgar/data/0001426332/000119312519084550/d69317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2021-03-15T15:55:32Z</dcterms:created>
  <dcterms:modified xsi:type="dcterms:W3CDTF">2021-03-15T15:55:32Z</dcterms:modified>
</cp:coreProperties>
</file>