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9"/>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03/31/2020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118,067</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12.53</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1,156,237</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04/01/2020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118,067</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12.26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1,274,304</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04/02/2020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14,850</w:t>
            </w:r>
            <w:r>
              <w:rPr>
                <w:rFonts w:ascii="Arial" w:cs="Arial" w:eastAsia="Arial" w:hAnsi="Arial"/>
                <w:sz w:val="22"/>
                <w:szCs w:val="22"/>
                <w:color w:val="008000"/>
                <w:w w:val="88"/>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1,289,154</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w w:val="99"/>
              </w:rPr>
            </w:pPr>
            <w:hyperlink r:id="rId15">
              <w:r>
                <w:rPr>
                  <w:rFonts w:ascii="Arial" w:cs="Arial" w:eastAsia="Arial" w:hAnsi="Arial"/>
                  <w:sz w:val="21"/>
                  <w:szCs w:val="21"/>
                  <w:u w:val="single" w:color="auto"/>
                  <w:color w:val="0000EE"/>
                  <w:w w:val="99"/>
                </w:rPr>
                <w:t>COLUMN GROUP II,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-6370955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0000FF"/>
              </w:rPr>
              <w:t>94158</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93980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0">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Capital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Ponoi II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-10246360</wp:posOffset>
            </wp:positionV>
            <wp:extent cx="2766695" cy="1034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766695" cy="10340340"/>
                    </a:xfrm>
                    <a:prstGeom prst="rect">
                      <a:avLst/>
                    </a:prstGeom>
                    <a:noFill/>
                  </pic:spPr>
                </pic:pic>
              </a:graphicData>
            </a:graphic>
          </wp:anchor>
        </w:drawing>
      </w:r>
    </w:p>
    <w:p>
      <w:pPr>
        <w:sectPr>
          <w:pgSz w:w="11900" w:h="16838" w:orient="portrait"/>
          <w:cols w:equalWidth="0" w:num="1">
            <w:col w:w="9979"/>
          </w:cols>
          <w:pgMar w:left="480" w:top="179" w:right="1440" w:bottom="0" w:gutter="0" w:footer="0" w:header="0"/>
        </w:sectPr>
      </w:pPr>
    </w:p>
    <w:bookmarkStart w:id="2" w:name="page3"/>
    <w:bookmarkEnd w:id="2"/>
    <w:p>
      <w:pPr>
        <w:ind w:left="100"/>
        <w:spacing w:after="0"/>
        <w:rPr>
          <w:sz w:val="20"/>
          <w:szCs w:val="20"/>
          <w:color w:val="auto"/>
        </w:rPr>
      </w:pPr>
      <w:r>
        <w:rPr>
          <w:rFonts w:ascii="Arial" w:cs="Arial" w:eastAsia="Arial" w:hAnsi="Arial"/>
          <w:sz w:val="17"/>
          <w:szCs w:val="17"/>
          <w:color w:val="0000FF"/>
        </w:rPr>
        <w:t>1700 OWENS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508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783840" cy="50857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28">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9">
              <w:r>
                <w:rPr>
                  <w:rFonts w:ascii="Arial" w:cs="Arial" w:eastAsia="Arial" w:hAnsi="Arial"/>
                  <w:sz w:val="21"/>
                  <w:szCs w:val="21"/>
                  <w:u w:val="single" w:color="auto"/>
                  <w:color w:val="0000EE"/>
                </w:rPr>
                <w:t>Column Group II GP,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55,448 shares of Common Stock held directly by The Column Group III, LP ("TCG III LP") and 62,619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6,974 shares of Common Stock held directly by TCG III LP and 7,876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04/02/2020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90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24" Type="http://schemas.openxmlformats.org/officeDocument/2006/relationships/hyperlink" Target="http://www.sec.gov/cgi-bin/browse-edgar?action=getcompany&amp;CIK=0001746488" TargetMode="External"/><Relationship Id="rId28" Type="http://schemas.openxmlformats.org/officeDocument/2006/relationships/hyperlink" Target="http://www.sec.gov/cgi-bin/browse-edgar?action=getcompany&amp;CIK=0001614186" TargetMode="External"/><Relationship Id="rId29"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2020-04-02T17:08:33Z</dcterms:created>
  <dcterms:modified xsi:type="dcterms:W3CDTF">2020-04-02T17:08:33Z</dcterms:modified>
</cp:coreProperties>
</file>