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51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511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02/06/2020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500" w:type="dxa"/>
            <w:vAlign w:val="bottom"/>
            <w:tcBorders>
              <w:top w:val="single" w:sz="8" w:color="9A9A9A"/>
            </w:tcBorders>
          </w:tcPr>
          <w:p>
            <w:pPr>
              <w:spacing w:after="0"/>
              <w:rPr>
                <w:sz w:val="12"/>
                <w:szCs w:val="12"/>
                <w:color w:val="auto"/>
              </w:rPr>
            </w:pPr>
          </w:p>
        </w:tc>
        <w:tc>
          <w:tcPr>
            <w:tcW w:w="52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32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4140" w:type="dxa"/>
            <w:vAlign w:val="bottom"/>
            <w:gridSpan w:val="8"/>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tcPr>
          <w:p>
            <w:pPr>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80" w:type="dxa"/>
            <w:vAlign w:val="bottom"/>
            <w:gridSpan w:val="6"/>
            <w:vMerge w:val="restart"/>
          </w:tcPr>
          <w:p>
            <w:pPr>
              <w:ind w:left="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right"/>
              <w:ind w:right="414"/>
              <w:spacing w:after="0"/>
              <w:rPr>
                <w:sz w:val="20"/>
                <w:szCs w:val="20"/>
                <w:color w:val="auto"/>
              </w:rPr>
            </w:pPr>
            <w:r>
              <w:rPr>
                <w:rFonts w:ascii="Arial" w:cs="Arial" w:eastAsia="Arial" w:hAnsi="Arial"/>
                <w:sz w:val="14"/>
                <w:szCs w:val="14"/>
                <w:color w:val="auto"/>
              </w:rPr>
              <w:t>Person</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4300" w:type="dxa"/>
            <w:vAlign w:val="bottom"/>
            <w:tcBorders>
              <w:bottom w:val="single" w:sz="8" w:color="2C2C2C"/>
            </w:tcBorders>
            <w:gridSpan w:val="10"/>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16"/>
          </w:tcPr>
          <w:p>
            <w:pPr>
              <w:jc w:val="center"/>
              <w:ind w:right="17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20" w:type="dxa"/>
            <w:vAlign w:val="bottom"/>
            <w:tcBorders>
              <w:bottom w:val="single" w:sz="8" w:color="2C2C2C"/>
            </w:tcBorders>
            <w:gridSpan w:val="5"/>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40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6.</w:t>
            </w:r>
          </w:p>
        </w:tc>
        <w:tc>
          <w:tcPr>
            <w:tcW w:w="600" w:type="dxa"/>
            <w:vAlign w:val="bottom"/>
          </w:tcPr>
          <w:p>
            <w:pPr>
              <w:spacing w:after="0"/>
              <w:rPr>
                <w:sz w:val="15"/>
                <w:szCs w:val="15"/>
                <w:color w:val="auto"/>
              </w:rPr>
            </w:pP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Form: Direct</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 or</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Indirect (I)</w:t>
            </w: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w:t>
            </w:r>
          </w:p>
        </w:tc>
        <w:tc>
          <w:tcPr>
            <w:tcW w:w="3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Price</w:t>
            </w:r>
          </w:p>
        </w:tc>
        <w:tc>
          <w:tcPr>
            <w:tcW w:w="28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gridSpan w:val="2"/>
          </w:tcPr>
          <w:p>
            <w:pPr>
              <w:jc w:val="right"/>
              <w:ind w:right="111"/>
              <w:spacing w:after="0"/>
              <w:rPr>
                <w:sz w:val="20"/>
                <w:szCs w:val="20"/>
                <w:color w:val="auto"/>
              </w:rPr>
            </w:pPr>
            <w:r>
              <w:rPr>
                <w:rFonts w:ascii="Arial" w:cs="Arial" w:eastAsia="Arial" w:hAnsi="Arial"/>
                <w:sz w:val="18"/>
                <w:szCs w:val="18"/>
                <w:color w:val="0000FF"/>
              </w:rPr>
              <w:t>02/06/2020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P</w:t>
            </w:r>
          </w:p>
        </w:tc>
        <w:tc>
          <w:tcPr>
            <w:tcW w:w="3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0000FF"/>
                <w:w w:val="95"/>
              </w:rPr>
              <w:t>44,900</w:t>
            </w:r>
            <w:r>
              <w:rPr>
                <w:rFonts w:ascii="Arial" w:cs="Arial" w:eastAsia="Arial" w:hAnsi="Arial"/>
                <w:sz w:val="22"/>
                <w:szCs w:val="22"/>
                <w:color w:val="008000"/>
                <w:w w:val="95"/>
                <w:vertAlign w:val="superscript"/>
              </w:rPr>
              <w:t>(1)</w:t>
            </w:r>
          </w:p>
        </w:tc>
        <w:tc>
          <w:tcPr>
            <w:tcW w:w="440" w:type="dxa"/>
            <w:vAlign w:val="bottom"/>
          </w:tcPr>
          <w:p>
            <w:pPr>
              <w:ind w:left="16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15.96</w:t>
            </w:r>
          </w:p>
        </w:tc>
        <w:tc>
          <w:tcPr>
            <w:tcW w:w="1140" w:type="dxa"/>
            <w:vAlign w:val="bottom"/>
            <w:gridSpan w:val="3"/>
          </w:tcPr>
          <w:p>
            <w:pPr>
              <w:jc w:val="center"/>
              <w:spacing w:after="0"/>
              <w:rPr>
                <w:sz w:val="20"/>
                <w:szCs w:val="20"/>
                <w:color w:val="auto"/>
              </w:rPr>
            </w:pPr>
            <w:r>
              <w:rPr>
                <w:rFonts w:ascii="Arial" w:cs="Arial" w:eastAsia="Arial" w:hAnsi="Arial"/>
                <w:sz w:val="18"/>
                <w:szCs w:val="18"/>
                <w:color w:val="0000FF"/>
                <w:w w:val="96"/>
              </w:rPr>
              <w:t>16,465,729</w:t>
            </w:r>
            <w:r>
              <w:rPr>
                <w:rFonts w:ascii="Arial" w:cs="Arial" w:eastAsia="Arial" w:hAnsi="Arial"/>
                <w:sz w:val="22"/>
                <w:szCs w:val="22"/>
                <w:color w:val="008000"/>
                <w:w w:val="96"/>
                <w:vertAlign w:val="superscript"/>
              </w:rPr>
              <w:t>(2)</w:t>
            </w:r>
          </w:p>
        </w:tc>
        <w:tc>
          <w:tcPr>
            <w:tcW w:w="380" w:type="dxa"/>
            <w:vAlign w:val="bottom"/>
          </w:tcPr>
          <w:p>
            <w:pPr>
              <w:spacing w:after="0"/>
              <w:rPr>
                <w:sz w:val="24"/>
                <w:szCs w:val="24"/>
                <w:color w:val="auto"/>
              </w:rPr>
            </w:pPr>
          </w:p>
        </w:tc>
        <w:tc>
          <w:tcPr>
            <w:tcW w:w="600" w:type="dxa"/>
            <w:vAlign w:val="bottom"/>
          </w:tcPr>
          <w:p>
            <w:pPr>
              <w:jc w:val="right"/>
              <w:ind w:right="414"/>
              <w:spacing w:after="0"/>
              <w:rPr>
                <w:sz w:val="20"/>
                <w:szCs w:val="20"/>
                <w:color w:val="auto"/>
              </w:rPr>
            </w:pPr>
            <w:r>
              <w:rPr>
                <w:rFonts w:ascii="Arial" w:cs="Arial" w:eastAsia="Arial" w:hAnsi="Arial"/>
                <w:sz w:val="18"/>
                <w:szCs w:val="18"/>
                <w:color w:val="0000FF"/>
              </w:rPr>
              <w:t>I</w:t>
            </w:r>
          </w:p>
        </w:tc>
        <w:tc>
          <w:tcPr>
            <w:tcW w:w="1900" w:type="dxa"/>
            <w:vAlign w:val="bottom"/>
            <w:gridSpan w:val="4"/>
          </w:tcPr>
          <w:p>
            <w:pPr>
              <w:spacing w:after="0" w:line="283" w:lineRule="exact"/>
              <w:rPr>
                <w:sz w:val="20"/>
                <w:szCs w:val="20"/>
                <w:color w:val="auto"/>
              </w:rPr>
            </w:pPr>
            <w:r>
              <w:rPr>
                <w:rFonts w:ascii="Arial" w:cs="Arial" w:eastAsia="Arial" w:hAnsi="Arial"/>
                <w:sz w:val="32"/>
                <w:szCs w:val="32"/>
                <w:color w:val="0000FF"/>
                <w:w w:val="85"/>
                <w:vertAlign w:val="subscript"/>
              </w:rPr>
              <w:t>See Footnotes</w:t>
            </w:r>
            <w:r>
              <w:rPr>
                <w:rFonts w:ascii="Arial" w:cs="Arial" w:eastAsia="Arial" w:hAnsi="Arial"/>
                <w:sz w:val="11"/>
                <w:szCs w:val="11"/>
                <w:color w:val="008000"/>
                <w:w w:val="85"/>
              </w:rPr>
              <w:t>(3)(4)(5)(6)(7)(8)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20"/>
                <w:szCs w:val="20"/>
                <w:color w:val="auto"/>
              </w:rPr>
            </w:pPr>
            <w:r>
              <w:rPr>
                <w:rFonts w:ascii="Arial" w:cs="Arial" w:eastAsia="Arial" w:hAnsi="Arial"/>
                <w:sz w:val="11"/>
                <w:szCs w:val="11"/>
                <w:color w:val="008000"/>
              </w:rPr>
              <w:t>(9)(10)</w:t>
            </w: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gridSpan w:val="3"/>
          </w:tcPr>
          <w:p>
            <w:pPr>
              <w:jc w:val="right"/>
              <w:ind w:right="234"/>
              <w:spacing w:after="0"/>
              <w:rPr>
                <w:sz w:val="20"/>
                <w:szCs w:val="20"/>
                <w:color w:val="auto"/>
              </w:rPr>
            </w:pPr>
            <w:r>
              <w:rPr>
                <w:rFonts w:ascii="Arial" w:cs="Arial" w:eastAsia="Arial" w:hAnsi="Arial"/>
                <w:sz w:val="18"/>
                <w:szCs w:val="18"/>
                <w:color w:val="0000FF"/>
              </w:rPr>
              <w:t>20,000</w:t>
            </w:r>
          </w:p>
        </w:tc>
        <w:tc>
          <w:tcPr>
            <w:tcW w:w="380" w:type="dxa"/>
            <w:vAlign w:val="bottom"/>
          </w:tcPr>
          <w:p>
            <w:pPr>
              <w:spacing w:after="0"/>
              <w:rPr>
                <w:sz w:val="23"/>
                <w:szCs w:val="23"/>
                <w:color w:val="auto"/>
              </w:rPr>
            </w:pPr>
          </w:p>
        </w:tc>
        <w:tc>
          <w:tcPr>
            <w:tcW w:w="600" w:type="dxa"/>
            <w:vAlign w:val="bottom"/>
          </w:tcPr>
          <w:p>
            <w:pPr>
              <w:ind w:left="40"/>
              <w:spacing w:after="0"/>
              <w:rPr>
                <w:sz w:val="20"/>
                <w:szCs w:val="20"/>
                <w:color w:val="auto"/>
              </w:rPr>
            </w:pPr>
            <w:r>
              <w:rPr>
                <w:rFonts w:ascii="Arial" w:cs="Arial" w:eastAsia="Arial" w:hAnsi="Arial"/>
                <w:sz w:val="18"/>
                <w:szCs w:val="18"/>
                <w:color w:val="0000FF"/>
              </w:rPr>
              <w:t>D</w:t>
            </w: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3"/>
          </w:tcPr>
          <w:p>
            <w:pPr>
              <w:spacing w:after="0"/>
              <w:rPr>
                <w:sz w:val="8"/>
                <w:szCs w:val="8"/>
                <w:color w:val="auto"/>
              </w:rPr>
            </w:pPr>
          </w:p>
        </w:tc>
        <w:tc>
          <w:tcPr>
            <w:tcW w:w="4300" w:type="dxa"/>
            <w:vAlign w:val="bottom"/>
            <w:tcBorders>
              <w:bottom w:val="single" w:sz="8" w:color="2C2C2C"/>
            </w:tcBorders>
            <w:gridSpan w:val="10"/>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5"/>
          </w:tcPr>
          <w:p>
            <w:pPr>
              <w:jc w:val="center"/>
              <w:ind w:left="306"/>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80" w:type="dxa"/>
            <w:vAlign w:val="bottom"/>
            <w:gridSpan w:val="13"/>
          </w:tcPr>
          <w:p>
            <w:pPr>
              <w:jc w:val="center"/>
              <w:ind w:left="1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66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2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Form:</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1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6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21,087 shares held directly by The Column Group III, LP ("TCG III LP") and 23,813 shares held directly by The Column Group III-A, LP ("TCG III-A LP").</w:t>
      </w:r>
    </w:p>
    <w:p>
      <w:pPr>
        <w:spacing w:after="0" w:line="41" w:lineRule="exact"/>
        <w:rPr>
          <w:rFonts w:ascii="Arial" w:cs="Arial" w:eastAsia="Arial" w:hAnsi="Arial"/>
          <w:sz w:val="14"/>
          <w:szCs w:val="14"/>
          <w:color w:val="008000"/>
        </w:rPr>
      </w:pPr>
    </w:p>
    <w:p>
      <w:pPr>
        <w:ind w:left="40" w:right="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1,298,908 shares of Common Stock held directly by Ponoi LP, 1,298,908 shares of Common Stock held directly by Ponoi II LP, 140,337 shares of Common Stock held directly by TCG III LP and 158,485 shares of Common Stock held directly by TCG III-A LP. The Reporting Person disclaims beneficial ownership of the securities except to the extent of his pecuniary interest therein.</w:t>
      </w:r>
    </w:p>
    <w:p>
      <w:pPr>
        <w:spacing w:after="0" w:line="8" w:lineRule="exact"/>
        <w:rPr>
          <w:rFonts w:ascii="Arial" w:cs="Arial" w:eastAsia="Arial" w:hAnsi="Arial"/>
          <w:sz w:val="12"/>
          <w:szCs w:val="12"/>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85"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III-A LP, and indirectly held by The Column Group III GP, LP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02/10/2020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420"/>
          </w:cols>
          <w:pgMar w:left="240" w:top="226" w:right="239" w:bottom="0" w:gutter="0" w:footer="0" w:header="0"/>
          <w:type w:val="continuous"/>
        </w:sectPr>
      </w:pPr>
    </w:p>
    <w:bookmarkStart w:id="1" w:name="page2"/>
    <w:bookmarkEnd w:id="1"/>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2020-02-10T15:49:50Z</dcterms:created>
  <dcterms:modified xsi:type="dcterms:W3CDTF">2020-02-10T15:49:50Z</dcterms:modified>
</cp:coreProperties>
</file>