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520" w:hanging="474"/>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80" w:hanging="441"/>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001-38853</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NGM BIOPHARMACEUTICALS,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620" w:type="dxa"/>
            <w:vAlign w:val="bottom"/>
          </w:tcPr>
          <w:p>
            <w:pPr>
              <w:jc w:val="center"/>
              <w:ind w:left="904"/>
              <w:spacing w:after="0"/>
              <w:rPr>
                <w:sz w:val="20"/>
                <w:szCs w:val="20"/>
                <w:color w:val="auto"/>
              </w:rPr>
            </w:pPr>
            <w:r>
              <w:rPr>
                <w:rFonts w:ascii="Arial" w:cs="Arial" w:eastAsia="Arial" w:hAnsi="Arial"/>
                <w:sz w:val="16"/>
                <w:szCs w:val="16"/>
                <w:b w:val="1"/>
                <w:bCs w:val="1"/>
                <w:color w:val="auto"/>
              </w:rPr>
              <w:t>Delaware</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jc w:val="right"/>
              <w:ind w:right="2327"/>
              <w:spacing w:after="0"/>
              <w:rPr>
                <w:sz w:val="20"/>
                <w:szCs w:val="20"/>
                <w:color w:val="auto"/>
              </w:rPr>
            </w:pPr>
            <w:r>
              <w:rPr>
                <w:rFonts w:ascii="Arial" w:cs="Arial" w:eastAsia="Arial" w:hAnsi="Arial"/>
                <w:sz w:val="16"/>
                <w:szCs w:val="16"/>
                <w:b w:val="1"/>
                <w:bCs w:val="1"/>
                <w:color w:val="auto"/>
              </w:rPr>
              <w:t>26-1679911</w:t>
            </w:r>
          </w:p>
        </w:tc>
        <w:tc>
          <w:tcPr>
            <w:tcW w:w="0" w:type="dxa"/>
            <w:vAlign w:val="bottom"/>
          </w:tcPr>
          <w:p>
            <w:pPr>
              <w:spacing w:after="0"/>
              <w:rPr>
                <w:sz w:val="1"/>
                <w:szCs w:val="1"/>
                <w:color w:val="auto"/>
              </w:rPr>
            </w:pPr>
          </w:p>
        </w:tc>
      </w:tr>
      <w:tr>
        <w:trPr>
          <w:trHeight w:val="130"/>
        </w:trPr>
        <w:tc>
          <w:tcPr>
            <w:tcW w:w="4620" w:type="dxa"/>
            <w:vAlign w:val="bottom"/>
          </w:tcPr>
          <w:p>
            <w:pPr>
              <w:jc w:val="center"/>
              <w:ind w:left="904"/>
              <w:spacing w:after="0" w:line="130" w:lineRule="exact"/>
              <w:rPr>
                <w:sz w:val="20"/>
                <w:szCs w:val="20"/>
                <w:color w:val="auto"/>
              </w:rPr>
            </w:pPr>
            <w:r>
              <w:rPr>
                <w:rFonts w:ascii="Arial" w:cs="Arial" w:eastAsia="Arial" w:hAnsi="Arial"/>
                <w:sz w:val="13"/>
                <w:szCs w:val="13"/>
                <w:b w:val="1"/>
                <w:bCs w:val="1"/>
                <w:color w:val="auto"/>
                <w:w w:val="96"/>
              </w:rPr>
              <w:t>(State or other jurisdiction of</w:t>
            </w: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20" w:type="dxa"/>
            <w:vAlign w:val="bottom"/>
          </w:tcPr>
          <w:p>
            <w:pPr>
              <w:jc w:val="center"/>
              <w:ind w:right="587"/>
              <w:spacing w:after="0" w:line="130"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68"/>
        </w:trPr>
        <w:tc>
          <w:tcPr>
            <w:tcW w:w="462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incorporation or organization)</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tcPr>
          <w:p>
            <w:pPr>
              <w:jc w:val="center"/>
              <w:ind w:right="587"/>
              <w:spacing w:after="0"/>
              <w:rPr>
                <w:sz w:val="20"/>
                <w:szCs w:val="20"/>
                <w:color w:val="auto"/>
              </w:rPr>
            </w:pPr>
            <w:r>
              <w:rPr>
                <w:rFonts w:ascii="Arial" w:cs="Arial" w:eastAsia="Arial" w:hAnsi="Arial"/>
                <w:sz w:val="13"/>
                <w:szCs w:val="13"/>
                <w:b w:val="1"/>
                <w:bCs w:val="1"/>
                <w:color w:val="auto"/>
                <w:w w:val="98"/>
              </w:rPr>
              <w:t>Identification No.)</w:t>
            </w:r>
          </w:p>
        </w:tc>
        <w:tc>
          <w:tcPr>
            <w:tcW w:w="0" w:type="dxa"/>
            <w:vAlign w:val="bottom"/>
          </w:tcPr>
          <w:p>
            <w:pPr>
              <w:spacing w:after="0"/>
              <w:rPr>
                <w:sz w:val="1"/>
                <w:szCs w:val="1"/>
                <w:color w:val="auto"/>
              </w:rPr>
            </w:pPr>
          </w:p>
        </w:tc>
      </w:tr>
      <w:tr>
        <w:trPr>
          <w:trHeight w:val="170"/>
        </w:trPr>
        <w:tc>
          <w:tcPr>
            <w:tcW w:w="4620" w:type="dxa"/>
            <w:vAlign w:val="bottom"/>
          </w:tcPr>
          <w:p>
            <w:pPr>
              <w:jc w:val="center"/>
              <w:ind w:left="904"/>
              <w:spacing w:after="0" w:line="170" w:lineRule="exact"/>
              <w:rPr>
                <w:sz w:val="20"/>
                <w:szCs w:val="20"/>
                <w:color w:val="auto"/>
              </w:rPr>
            </w:pPr>
            <w:r>
              <w:rPr>
                <w:rFonts w:ascii="Arial" w:cs="Arial" w:eastAsia="Arial" w:hAnsi="Arial"/>
                <w:sz w:val="16"/>
                <w:szCs w:val="16"/>
                <w:b w:val="1"/>
                <w:bCs w:val="1"/>
                <w:color w:val="auto"/>
              </w:rPr>
              <w:t>333 Oyster Point Boulevard</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vMerge w:val="restart"/>
          </w:tcPr>
          <w:p>
            <w:pPr>
              <w:jc w:val="right"/>
              <w:ind w:right="2547"/>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8"/>
        </w:trPr>
        <w:tc>
          <w:tcPr>
            <w:tcW w:w="4620" w:type="dxa"/>
            <w:vAlign w:val="bottom"/>
          </w:tcPr>
          <w:p>
            <w:pPr>
              <w:jc w:val="center"/>
              <w:ind w:left="924"/>
              <w:spacing w:after="0"/>
              <w:rPr>
                <w:sz w:val="20"/>
                <w:szCs w:val="20"/>
                <w:color w:val="auto"/>
              </w:rPr>
            </w:pPr>
            <w:r>
              <w:rPr>
                <w:rFonts w:ascii="Arial" w:cs="Arial" w:eastAsia="Arial" w:hAnsi="Arial"/>
                <w:sz w:val="16"/>
                <w:szCs w:val="16"/>
                <w:b w:val="1"/>
                <w:bCs w:val="1"/>
                <w:color w:val="auto"/>
              </w:rPr>
              <w:t>South San Francisco, CA</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20" w:type="dxa"/>
            <w:vAlign w:val="bottom"/>
          </w:tcPr>
          <w:p>
            <w:pPr>
              <w:jc w:val="center"/>
              <w:ind w:left="904"/>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20" w:type="dxa"/>
            <w:vAlign w:val="bottom"/>
          </w:tcPr>
          <w:p>
            <w:pPr>
              <w:jc w:val="center"/>
              <w:ind w:right="607"/>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334"/>
        </w:trPr>
        <w:tc>
          <w:tcPr>
            <w:tcW w:w="4620" w:type="dxa"/>
            <w:vAlign w:val="bottom"/>
          </w:tcPr>
          <w:p>
            <w:pPr>
              <w:spacing w:after="0"/>
              <w:rPr>
                <w:sz w:val="24"/>
                <w:szCs w:val="2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(650) 243-5555</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240" w:type="dxa"/>
            <w:vAlign w:val="bottom"/>
            <w:gridSpan w:val="4"/>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0" w:type="dxa"/>
            <w:vAlign w:val="bottom"/>
          </w:tcPr>
          <w:p>
            <w:pPr>
              <w:spacing w:after="0"/>
              <w:rPr>
                <w:sz w:val="1"/>
                <w:szCs w:val="1"/>
                <w:color w:val="auto"/>
              </w:rPr>
            </w:pPr>
          </w:p>
        </w:tc>
      </w:tr>
      <w:tr>
        <w:trPr>
          <w:trHeight w:val="566"/>
        </w:trPr>
        <w:tc>
          <w:tcPr>
            <w:tcW w:w="4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8"/>
              </w:rPr>
              <w:t>Trading</w:t>
            </w:r>
          </w:p>
        </w:tc>
        <w:tc>
          <w:tcPr>
            <w:tcW w:w="300" w:type="dxa"/>
            <w:vAlign w:val="bottom"/>
          </w:tcPr>
          <w:p>
            <w:pPr>
              <w:spacing w:after="0"/>
              <w:rPr>
                <w:sz w:val="14"/>
                <w:szCs w:val="14"/>
                <w:color w:val="auto"/>
              </w:rPr>
            </w:pPr>
          </w:p>
        </w:tc>
        <w:tc>
          <w:tcPr>
            <w:tcW w:w="5020" w:type="dxa"/>
            <w:vAlign w:val="bottom"/>
            <w:tcBorders>
              <w:right w:val="single" w:sz="8" w:color="auto"/>
            </w:tcBorders>
          </w:tcPr>
          <w:p>
            <w:pPr>
              <w:jc w:val="center"/>
              <w:ind w:right="267"/>
              <w:spacing w:after="0" w:line="162" w:lineRule="exact"/>
              <w:rPr>
                <w:sz w:val="20"/>
                <w:szCs w:val="20"/>
                <w:color w:val="auto"/>
              </w:rPr>
            </w:pPr>
            <w:r>
              <w:rPr>
                <w:rFonts w:ascii="Arial" w:cs="Arial" w:eastAsia="Arial" w:hAnsi="Arial"/>
                <w:sz w:val="16"/>
                <w:szCs w:val="16"/>
                <w:b w:val="1"/>
                <w:bCs w:val="1"/>
                <w:color w:val="auto"/>
              </w:rPr>
              <w:t>Name of Each Exchange on which Securities are Registered</w:t>
            </w:r>
          </w:p>
        </w:tc>
        <w:tc>
          <w:tcPr>
            <w:tcW w:w="0" w:type="dxa"/>
            <w:vAlign w:val="bottom"/>
          </w:tcPr>
          <w:p>
            <w:pPr>
              <w:spacing w:after="0"/>
              <w:rPr>
                <w:sz w:val="1"/>
                <w:szCs w:val="1"/>
                <w:color w:val="auto"/>
              </w:rPr>
            </w:pPr>
          </w:p>
        </w:tc>
      </w:tr>
      <w:tr>
        <w:trPr>
          <w:trHeight w:val="215"/>
        </w:trPr>
        <w:tc>
          <w:tcPr>
            <w:tcW w:w="46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30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30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jc w:val="center"/>
              <w:ind w:right="267"/>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245"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79" w:lineRule="exact"/>
        <w:rPr>
          <w:sz w:val="24"/>
          <w:szCs w:val="24"/>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 w:lineRule="exact"/>
        <w:rPr>
          <w:sz w:val="24"/>
          <w:szCs w:val="24"/>
          <w:color w:val="auto"/>
        </w:rPr>
      </w:pPr>
    </w:p>
    <w:p>
      <w:pPr>
        <w:ind w:right="218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3, 2021, the registrant had 77,018,206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80" w:type="dxa"/>
            <w:vAlign w:val="bottom"/>
            <w:gridSpan w:val="10"/>
          </w:tcPr>
          <w:p>
            <w:pPr>
              <w:ind w:left="78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40" w:type="dxa"/>
            <w:vAlign w:val="bottom"/>
            <w:gridSpan w:val="2"/>
            <w:vMerge w:val="continue"/>
          </w:tcPr>
          <w:p>
            <w:pPr>
              <w:spacing w:after="0"/>
              <w:rPr>
                <w:sz w:val="14"/>
                <w:szCs w:val="14"/>
                <w:color w:val="auto"/>
              </w:rPr>
            </w:pPr>
          </w:p>
        </w:tc>
        <w:tc>
          <w:tcPr>
            <w:tcW w:w="8620" w:type="dxa"/>
            <w:vAlign w:val="bottom"/>
            <w:gridSpan w:val="22"/>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1020" w:type="dxa"/>
            <w:vAlign w:val="bottom"/>
          </w:tcPr>
          <w:p>
            <w:pPr>
              <w:jc w:val="right"/>
              <w:spacing w:after="0" w:line="156" w:lineRule="exact"/>
              <w:rPr>
                <w:rFonts w:ascii="Arial" w:cs="Arial" w:eastAsia="Arial" w:hAnsi="Arial"/>
                <w:sz w:val="18"/>
                <w:szCs w:val="18"/>
                <w:color w:val="auto"/>
              </w:rPr>
            </w:pPr>
            <w:hyperlink w:anchor="page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23"/>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Financial Statements</w:t>
              </w:r>
            </w:hyperlink>
          </w:p>
        </w:tc>
        <w:tc>
          <w:tcPr>
            <w:tcW w:w="540" w:type="dxa"/>
            <w:vAlign w:val="bottom"/>
            <w:tcBorders>
              <w:top w:val="single" w:sz="8" w:color="0000FF"/>
            </w:tcBorders>
            <w:gridSpan w:val="4"/>
          </w:tcPr>
          <w:p>
            <w:pPr>
              <w:spacing w:after="0"/>
              <w:rPr>
                <w:sz w:val="19"/>
                <w:szCs w:val="19"/>
                <w:color w:val="auto"/>
              </w:rPr>
            </w:pPr>
          </w:p>
        </w:tc>
        <w:tc>
          <w:tcPr>
            <w:tcW w:w="6400" w:type="dxa"/>
            <w:vAlign w:val="bottom"/>
            <w:gridSpan w:val="11"/>
          </w:tcPr>
          <w:p>
            <w:pPr>
              <w:spacing w:after="0"/>
              <w:rPr>
                <w:sz w:val="19"/>
                <w:szCs w:val="19"/>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March 31, 2021 </w:t>
              </w:r>
            </w:hyperlink>
            <w:r>
              <w:rPr>
                <w:rFonts w:ascii="Arial" w:cs="Arial" w:eastAsia="Arial" w:hAnsi="Arial"/>
                <w:sz w:val="18"/>
                <w:szCs w:val="18"/>
                <w:color w:val="0000FF"/>
              </w:rPr>
              <w:t xml:space="preserve">(Unaudited) </w:t>
            </w:r>
            <w:hyperlink w:anchor="page3">
              <w:r>
                <w:rPr>
                  <w:rFonts w:ascii="Arial" w:cs="Arial" w:eastAsia="Arial" w:hAnsi="Arial"/>
                  <w:sz w:val="18"/>
                  <w:szCs w:val="18"/>
                  <w:color w:val="0000FF"/>
                </w:rPr>
                <w:t xml:space="preserve">and December 31, </w:t>
              </w:r>
            </w:hyperlink>
            <w:r>
              <w:rPr>
                <w:rFonts w:ascii="Arial" w:cs="Arial" w:eastAsia="Arial" w:hAnsi="Arial"/>
                <w:sz w:val="18"/>
                <w:szCs w:val="18"/>
                <w:color w:val="0000FF"/>
              </w:rPr>
              <w:t>2020</w:t>
            </w:r>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(Audited)</w:t>
              </w:r>
            </w:hyperlink>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Operations for the three months ended </w:t>
              </w:r>
            </w:hyperlink>
            <w:r>
              <w:rPr>
                <w:rFonts w:ascii="Arial" w:cs="Arial" w:eastAsia="Arial" w:hAnsi="Arial"/>
                <w:sz w:val="18"/>
                <w:szCs w:val="18"/>
                <w:color w:val="0000FF"/>
              </w:rPr>
              <w:t xml:space="preserve">March 31, </w:t>
            </w:r>
            <w:hyperlink w:anchor="page3">
              <w:r>
                <w:rPr>
                  <w:rFonts w:ascii="Arial" w:cs="Arial" w:eastAsia="Arial" w:hAnsi="Arial"/>
                  <w:sz w:val="18"/>
                  <w:szCs w:val="18"/>
                  <w:color w:val="0000FF"/>
                </w:rPr>
                <w:t xml:space="preserve">2021 and </w:t>
              </w:r>
            </w:hyperlink>
            <w:r>
              <w:rPr>
                <w:rFonts w:ascii="Arial" w:cs="Arial" w:eastAsia="Arial" w:hAnsi="Arial"/>
                <w:sz w:val="18"/>
                <w:szCs w:val="18"/>
                <w:color w:val="0000FF"/>
              </w:rPr>
              <w:t>2020</w:t>
            </w:r>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w:t>
              </w:r>
            </w:hyperlink>
          </w:p>
        </w:tc>
        <w:tc>
          <w:tcPr>
            <w:tcW w:w="74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Statements of Comprehensive Loss for the three months ended March </w:t>
              </w:r>
            </w:hyperlink>
            <w:r>
              <w:rPr>
                <w:rFonts w:ascii="Arial" w:cs="Arial" w:eastAsia="Arial" w:hAnsi="Arial"/>
                <w:sz w:val="18"/>
                <w:szCs w:val="18"/>
                <w:color w:val="0000FF"/>
              </w:rPr>
              <w:t xml:space="preserve">31, </w:t>
            </w:r>
            <w:hyperlink w:anchor="page4">
              <w:r>
                <w:rPr>
                  <w:rFonts w:ascii="Arial" w:cs="Arial" w:eastAsia="Arial" w:hAnsi="Arial"/>
                  <w:sz w:val="18"/>
                  <w:szCs w:val="18"/>
                  <w:color w:val="0000FF"/>
                </w:rPr>
                <w:t>2021</w:t>
              </w:r>
            </w:hyperlink>
          </w:p>
        </w:tc>
        <w:tc>
          <w:tcPr>
            <w:tcW w:w="102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 xml:space="preserve">and </w:t>
              </w:r>
            </w:hyperlink>
            <w:r>
              <w:rPr>
                <w:rFonts w:ascii="Arial" w:cs="Arial" w:eastAsia="Arial" w:hAnsi="Arial"/>
                <w:sz w:val="18"/>
                <w:szCs w:val="18"/>
                <w:color w:val="0000FF"/>
                <w:w w:val="98"/>
              </w:rPr>
              <w:t xml:space="preserve">2020 </w:t>
            </w:r>
            <w:hyperlink w:anchor="page4">
              <w:r>
                <w:rPr>
                  <w:rFonts w:ascii="Arial" w:cs="Arial" w:eastAsia="Arial" w:hAnsi="Arial"/>
                  <w:sz w:val="18"/>
                  <w:szCs w:val="18"/>
                  <w:color w:val="0000FF"/>
                  <w:w w:val="98"/>
                </w:rPr>
                <w:t>(Unaudited)</w:t>
              </w:r>
            </w:hyperlink>
          </w:p>
        </w:tc>
        <w:tc>
          <w:tcPr>
            <w:tcW w:w="67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three months ended March 31, 2021</w:t>
              </w:r>
            </w:hyperlink>
          </w:p>
        </w:tc>
        <w:tc>
          <w:tcPr>
            <w:tcW w:w="102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and 2020 (Unaudited)</w:t>
              </w:r>
            </w:hyperlink>
          </w:p>
        </w:tc>
        <w:tc>
          <w:tcPr>
            <w:tcW w:w="6620" w:type="dxa"/>
            <w:vAlign w:val="bottom"/>
            <w:tcBorders>
              <w:top w:val="single" w:sz="8" w:color="0000FF"/>
            </w:tcBorders>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of Cash Flows for the three months ended March </w:t>
              </w:r>
            </w:hyperlink>
            <w:r>
              <w:rPr>
                <w:rFonts w:ascii="Arial" w:cs="Arial" w:eastAsia="Arial" w:hAnsi="Arial"/>
                <w:sz w:val="18"/>
                <w:szCs w:val="18"/>
                <w:color w:val="0000FF"/>
              </w:rPr>
              <w:t xml:space="preserve">31, </w:t>
            </w:r>
            <w:hyperlink w:anchor="page6">
              <w:r>
                <w:rPr>
                  <w:rFonts w:ascii="Arial" w:cs="Arial" w:eastAsia="Arial" w:hAnsi="Arial"/>
                  <w:sz w:val="18"/>
                  <w:szCs w:val="18"/>
                  <w:color w:val="0000FF"/>
                </w:rPr>
                <w:t xml:space="preserve">2021 and </w:t>
              </w:r>
            </w:hyperlink>
            <w:r>
              <w:rPr>
                <w:rFonts w:ascii="Arial" w:cs="Arial" w:eastAsia="Arial" w:hAnsi="Arial"/>
                <w:sz w:val="18"/>
                <w:szCs w:val="18"/>
                <w:color w:val="0000FF"/>
              </w:rPr>
              <w:t>2020</w:t>
            </w:r>
          </w:p>
        </w:tc>
        <w:tc>
          <w:tcPr>
            <w:tcW w:w="102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(Unaudited)</w:t>
              </w:r>
            </w:hyperlink>
          </w:p>
        </w:tc>
        <w:tc>
          <w:tcPr>
            <w:tcW w:w="7540" w:type="dxa"/>
            <w:vAlign w:val="bottom"/>
            <w:tcBorders>
              <w:top w:val="single" w:sz="8" w:color="0000FF"/>
            </w:tcBorders>
            <w:gridSpan w:val="18"/>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6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 (Unaudited)</w:t>
              </w:r>
            </w:hyperlink>
          </w:p>
        </w:tc>
        <w:tc>
          <w:tcPr>
            <w:tcW w:w="3160" w:type="dxa"/>
            <w:vAlign w:val="bottom"/>
            <w:gridSpan w:val="7"/>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Disclosures About Market Risk</w:t>
              </w:r>
            </w:hyperlink>
          </w:p>
        </w:tc>
        <w:tc>
          <w:tcPr>
            <w:tcW w:w="1560" w:type="dxa"/>
            <w:vAlign w:val="bottom"/>
            <w:gridSpan w:val="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3"/>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3920" w:type="dxa"/>
            <w:vAlign w:val="bottom"/>
            <w:gridSpan w:val="9"/>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7"/>
              </w:rPr>
            </w:pPr>
            <w:hyperlink w:anchor="page37">
              <w:r>
                <w:rPr>
                  <w:rFonts w:ascii="Arial" w:cs="Arial" w:eastAsia="Arial" w:hAnsi="Arial"/>
                  <w:sz w:val="18"/>
                  <w:szCs w:val="18"/>
                  <w:color w:val="0000FF"/>
                  <w:w w:val="97"/>
                </w:rPr>
                <w:t>OTHER INFORMATION</w:t>
              </w:r>
            </w:hyperlink>
          </w:p>
        </w:tc>
        <w:tc>
          <w:tcPr>
            <w:tcW w:w="60" w:type="dxa"/>
            <w:vAlign w:val="bottom"/>
            <w:tcBorders>
              <w:top w:val="single" w:sz="8" w:color="0000FF"/>
            </w:tcBorders>
          </w:tcPr>
          <w:p>
            <w:pPr>
              <w:spacing w:after="0"/>
              <w:rPr>
                <w:sz w:val="18"/>
                <w:szCs w:val="18"/>
                <w:color w:val="auto"/>
              </w:rPr>
            </w:pPr>
          </w:p>
        </w:tc>
        <w:tc>
          <w:tcPr>
            <w:tcW w:w="6640" w:type="dxa"/>
            <w:vAlign w:val="bottom"/>
            <w:gridSpan w:val="12"/>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2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Legal Proceedings</w:t>
              </w:r>
            </w:hyperlink>
          </w:p>
        </w:tc>
        <w:tc>
          <w:tcPr>
            <w:tcW w:w="10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Risk Factors</w:t>
              </w:r>
            </w:hyperlink>
          </w:p>
        </w:tc>
        <w:tc>
          <w:tcPr>
            <w:tcW w:w="480" w:type="dxa"/>
            <w:vAlign w:val="bottom"/>
            <w:tcBorders>
              <w:top w:val="single" w:sz="8" w:color="0000FF"/>
            </w:tcBorders>
            <w:gridSpan w:val="2"/>
          </w:tcPr>
          <w:p>
            <w:pPr>
              <w:spacing w:after="0"/>
              <w:rPr>
                <w:sz w:val="18"/>
                <w:szCs w:val="18"/>
                <w:color w:val="auto"/>
              </w:rPr>
            </w:pPr>
          </w:p>
        </w:tc>
        <w:tc>
          <w:tcPr>
            <w:tcW w:w="7140" w:type="dxa"/>
            <w:vAlign w:val="bottom"/>
            <w:gridSpan w:val="1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4"/>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Defaults Upon Senior Securities</w:t>
              </w:r>
            </w:hyperlink>
          </w:p>
        </w:tc>
        <w:tc>
          <w:tcPr>
            <w:tcW w:w="3780" w:type="dxa"/>
            <w:vAlign w:val="bottom"/>
            <w:gridSpan w:val="8"/>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Mine Safety Disclosures</w:t>
              </w:r>
            </w:hyperlink>
          </w:p>
        </w:tc>
        <w:tc>
          <w:tcPr>
            <w:tcW w:w="6080" w:type="dxa"/>
            <w:vAlign w:val="bottom"/>
            <w:gridSpan w:val="10"/>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8"/>
              </w:rPr>
            </w:pPr>
            <w:hyperlink w:anchor="page76">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4"/>
          </w:tcPr>
          <w:p>
            <w:pPr>
              <w:spacing w:after="0"/>
              <w:rPr>
                <w:sz w:val="18"/>
                <w:szCs w:val="18"/>
                <w:color w:val="auto"/>
              </w:rPr>
            </w:pPr>
          </w:p>
        </w:tc>
        <w:tc>
          <w:tcPr>
            <w:tcW w:w="6700" w:type="dxa"/>
            <w:vAlign w:val="bottom"/>
            <w:gridSpan w:val="13"/>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74</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2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Exhibits</w:t>
              </w:r>
            </w:hyperlink>
          </w:p>
        </w:tc>
        <w:tc>
          <w:tcPr>
            <w:tcW w:w="10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75</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Signatures</w:t>
              </w:r>
            </w:hyperlink>
          </w:p>
        </w:tc>
        <w:tc>
          <w:tcPr>
            <w:tcW w:w="62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76</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886"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147,017</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148,139</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receivable from collaboration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Related party contract asset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6,100</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r>
      <w:tr>
        <w:trPr>
          <w:trHeight w:val="223"/>
        </w:trPr>
        <w:tc>
          <w:tcPr>
            <w:tcW w:w="77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425,849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308,426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29,763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29,945</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current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r>
      <w:tr>
        <w:trPr>
          <w:trHeight w:val="223"/>
        </w:trPr>
        <w:tc>
          <w:tcPr>
            <w:tcW w:w="77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42,583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non-current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r>
      <w:tr>
        <w:trPr>
          <w:trHeight w:val="223"/>
        </w:trPr>
        <w:tc>
          <w:tcPr>
            <w:tcW w:w="7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2"/>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$0.001 par value; 10,000,000 shares authorized; no shares issued or</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4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March 31, 2021 and December 31, 2020, respectively</w:t>
            </w:r>
          </w:p>
        </w:tc>
        <w:tc>
          <w:tcPr>
            <w:tcW w:w="2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tcPr>
          <w:p>
            <w:pPr>
              <w:ind w:left="220"/>
              <w:spacing w:after="0"/>
              <w:rPr>
                <w:sz w:val="20"/>
                <w:szCs w:val="20"/>
                <w:color w:val="auto"/>
              </w:rPr>
            </w:pPr>
            <w:r>
              <w:rPr>
                <w:rFonts w:ascii="Arial" w:cs="Arial" w:eastAsia="Arial" w:hAnsi="Arial"/>
                <w:sz w:val="18"/>
                <w:szCs w:val="18"/>
                <w:color w:val="auto"/>
              </w:rPr>
              <w:t>Common stock, $0.001 par value; 400,000,000 shares authorized; 76,913,578 and 70,585,364</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4"/>
        </w:trPr>
        <w:tc>
          <w:tcPr>
            <w:tcW w:w="7780" w:type="dxa"/>
            <w:vAlign w:val="bottom"/>
          </w:tcPr>
          <w:p>
            <w:pPr>
              <w:ind w:left="220"/>
              <w:spacing w:after="0"/>
              <w:rPr>
                <w:sz w:val="20"/>
                <w:szCs w:val="20"/>
                <w:color w:val="auto"/>
              </w:rPr>
            </w:pPr>
            <w:r>
              <w:rPr>
                <w:rFonts w:ascii="Arial" w:cs="Arial" w:eastAsia="Arial" w:hAnsi="Arial"/>
                <w:sz w:val="18"/>
                <w:szCs w:val="18"/>
                <w:color w:val="auto"/>
              </w:rPr>
              <w:t>shares issued and outstanding as of March 31, 2021 and December 31, 2020, respectively</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578,599</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(298,631)</w:t>
            </w:r>
          </w:p>
        </w:tc>
      </w:tr>
      <w:tr>
        <w:trPr>
          <w:trHeight w:val="22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399,577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280,043</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4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condensed consolidated balance sheet as of December 31, 2020 has been derived from the audited financial statements as of that date.</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8"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0" w:type="dxa"/>
            <w:vAlign w:val="bottom"/>
          </w:tcPr>
          <w:p>
            <w:pPr>
              <w:spacing w:after="0"/>
              <w:rPr>
                <w:sz w:val="1"/>
                <w:szCs w:val="1"/>
                <w:color w:val="auto"/>
              </w:rPr>
            </w:pPr>
          </w:p>
        </w:tc>
      </w:tr>
      <w:tr>
        <w:trPr>
          <w:trHeight w:val="223"/>
        </w:trPr>
        <w:tc>
          <w:tcPr>
            <w:tcW w:w="8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49,420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45,034</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(20,670)</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used to compute net loss per share, basic and diluted</w:t>
            </w: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76,034,145</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67,396,229</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25"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8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loss on available-for-sale marketable securities</w:t>
            </w:r>
          </w:p>
        </w:tc>
        <w:tc>
          <w:tcPr>
            <w:tcW w:w="340" w:type="dxa"/>
            <w:vAlign w:val="bottom"/>
            <w:tcBorders>
              <w:bottom w:val="single" w:sz="8" w:color="auto"/>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(19,195)</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3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420" w:type="dxa"/>
            <w:vAlign w:val="bottom"/>
            <w:gridSpan w:val="3"/>
            <w:vMerge w:val="continue"/>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70,583</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578,599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(298,631)</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280,043</w:t>
            </w:r>
          </w:p>
        </w:tc>
        <w:tc>
          <w:tcPr>
            <w:tcW w:w="0" w:type="dxa"/>
            <w:vAlign w:val="bottom"/>
          </w:tcPr>
          <w:p>
            <w:pPr>
              <w:spacing w:after="0"/>
              <w:rPr>
                <w:sz w:val="1"/>
                <w:szCs w:val="1"/>
                <w:color w:val="auto"/>
              </w:rPr>
            </w:pPr>
          </w:p>
        </w:tc>
      </w:tr>
      <w:tr>
        <w:trPr>
          <w:trHeight w:val="129"/>
        </w:trPr>
        <w:tc>
          <w:tcPr>
            <w:tcW w:w="2820" w:type="dxa"/>
            <w:vAlign w:val="bottom"/>
          </w:tcPr>
          <w:p>
            <w:pPr>
              <w:ind w:left="140"/>
              <w:spacing w:after="0" w:line="129" w:lineRule="exact"/>
              <w:rPr>
                <w:sz w:val="20"/>
                <w:szCs w:val="20"/>
                <w:color w:val="auto"/>
              </w:rPr>
            </w:pPr>
            <w:r>
              <w:rPr>
                <w:rFonts w:ascii="Arial" w:cs="Arial" w:eastAsia="Arial" w:hAnsi="Arial"/>
                <w:sz w:val="13"/>
                <w:szCs w:val="13"/>
                <w:color w:val="auto"/>
              </w:rPr>
              <w:t>Issuance of common stock under offering, net</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5,324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134,565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134,570</w:t>
            </w:r>
          </w:p>
        </w:tc>
        <w:tc>
          <w:tcPr>
            <w:tcW w:w="0" w:type="dxa"/>
            <w:vAlign w:val="bottom"/>
          </w:tcPr>
          <w:p>
            <w:pPr>
              <w:spacing w:after="0"/>
              <w:rPr>
                <w:sz w:val="1"/>
                <w:szCs w:val="1"/>
                <w:color w:val="auto"/>
              </w:rPr>
            </w:pPr>
          </w:p>
        </w:tc>
      </w:tr>
      <w:tr>
        <w:trPr>
          <w:trHeight w:val="160"/>
        </w:trPr>
        <w:tc>
          <w:tcPr>
            <w:tcW w:w="2820" w:type="dxa"/>
            <w:vAlign w:val="bottom"/>
          </w:tcPr>
          <w:p>
            <w:pPr>
              <w:ind w:left="140"/>
              <w:spacing w:after="0"/>
              <w:rPr>
                <w:sz w:val="20"/>
                <w:szCs w:val="20"/>
                <w:color w:val="auto"/>
              </w:rPr>
            </w:pPr>
            <w:r>
              <w:rPr>
                <w:rFonts w:ascii="Arial" w:cs="Arial" w:eastAsia="Arial" w:hAnsi="Arial"/>
                <w:sz w:val="13"/>
                <w:szCs w:val="13"/>
                <w:color w:val="auto"/>
              </w:rPr>
              <w:t>of issuance costs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Issuance of common stock upon exercise of</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5,907</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0" w:type="dxa"/>
            <w:vAlign w:val="bottom"/>
          </w:tcPr>
          <w:p>
            <w:pPr>
              <w:spacing w:after="0"/>
              <w:rPr>
                <w:sz w:val="1"/>
                <w:szCs w:val="1"/>
                <w:color w:val="auto"/>
              </w:rPr>
            </w:pPr>
          </w:p>
        </w:tc>
      </w:tr>
      <w:tr>
        <w:trPr>
          <w:trHeight w:val="129"/>
        </w:trPr>
        <w:tc>
          <w:tcPr>
            <w:tcW w:w="2820" w:type="dxa"/>
            <w:vAlign w:val="bottom"/>
          </w:tcPr>
          <w:p>
            <w:pPr>
              <w:ind w:left="140"/>
              <w:spacing w:after="0" w:line="129" w:lineRule="exact"/>
              <w:rPr>
                <w:sz w:val="20"/>
                <w:szCs w:val="20"/>
                <w:color w:val="auto"/>
              </w:rPr>
            </w:pPr>
            <w:r>
              <w:rPr>
                <w:rFonts w:ascii="Arial" w:cs="Arial" w:eastAsia="Arial" w:hAnsi="Arial"/>
                <w:sz w:val="13"/>
                <w:szCs w:val="13"/>
                <w:color w:val="auto"/>
              </w:rPr>
              <w:t>Changes in unrealized loss on available-for-</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1"/>
                <w:szCs w:val="11"/>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0"/>
        </w:trPr>
        <w:tc>
          <w:tcPr>
            <w:tcW w:w="2820" w:type="dxa"/>
            <w:vAlign w:val="bottom"/>
          </w:tcPr>
          <w:p>
            <w:pPr>
              <w:ind w:left="140"/>
              <w:spacing w:after="0"/>
              <w:rPr>
                <w:sz w:val="20"/>
                <w:szCs w:val="20"/>
                <w:color w:val="auto"/>
              </w:rPr>
            </w:pPr>
            <w:r>
              <w:rPr>
                <w:rFonts w:ascii="Arial" w:cs="Arial" w:eastAsia="Arial" w:hAnsi="Arial"/>
                <w:sz w:val="13"/>
                <w:szCs w:val="13"/>
                <w:color w:val="auto"/>
              </w:rPr>
              <w:t>sale securities</w:t>
            </w:r>
          </w:p>
        </w:tc>
        <w:tc>
          <w:tcPr>
            <w:tcW w:w="14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rPr>
                <w:sz w:val="20"/>
                <w:szCs w:val="20"/>
                <w:color w:val="auto"/>
              </w:rPr>
            </w:pPr>
            <w:r>
              <w:rPr>
                <w:rFonts w:ascii="Arial" w:cs="Arial" w:eastAsia="Arial" w:hAnsi="Arial"/>
                <w:sz w:val="13"/>
                <w:szCs w:val="13"/>
                <w:color w:val="auto"/>
              </w:rPr>
              <w:t>Balance at March 31,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76,913</w:t>
            </w:r>
          </w:p>
        </w:tc>
        <w:tc>
          <w:tcPr>
            <w:tcW w:w="1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725,693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(326,175)</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399,577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ind w:left="20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3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Shares</w:t>
            </w:r>
          </w:p>
        </w:tc>
        <w:tc>
          <w:tcPr>
            <w:tcW w:w="120" w:type="dxa"/>
            <w:vAlign w:val="bottom"/>
            <w:vMerge w:val="restart"/>
          </w:tcPr>
          <w:p>
            <w:pPr>
              <w:spacing w:after="0" w:line="20" w:lineRule="exact"/>
              <w:rPr>
                <w:sz w:val="1"/>
                <w:szCs w:val="1"/>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9"/>
              </w:rPr>
              <w:t>Accumulated Deficit</w:t>
            </w:r>
          </w:p>
        </w:tc>
        <w:tc>
          <w:tcPr>
            <w:tcW w:w="1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Balance at 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66,886</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526,771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330,719</w:t>
            </w:r>
          </w:p>
        </w:tc>
        <w:tc>
          <w:tcPr>
            <w:tcW w:w="0" w:type="dxa"/>
            <w:vAlign w:val="bottom"/>
          </w:tcPr>
          <w:p>
            <w:pPr>
              <w:spacing w:after="0"/>
              <w:rPr>
                <w:sz w:val="1"/>
                <w:szCs w:val="1"/>
                <w:color w:val="auto"/>
              </w:rPr>
            </w:pPr>
          </w:p>
        </w:tc>
      </w:tr>
      <w:tr>
        <w:trPr>
          <w:trHeight w:val="129"/>
        </w:trPr>
        <w:tc>
          <w:tcPr>
            <w:tcW w:w="2820" w:type="dxa"/>
            <w:vAlign w:val="bottom"/>
          </w:tcPr>
          <w:p>
            <w:pPr>
              <w:ind w:left="140"/>
              <w:spacing w:after="0" w:line="129" w:lineRule="exact"/>
              <w:rPr>
                <w:sz w:val="20"/>
                <w:szCs w:val="20"/>
                <w:color w:val="auto"/>
              </w:rPr>
            </w:pPr>
            <w:r>
              <w:rPr>
                <w:rFonts w:ascii="Arial" w:cs="Arial" w:eastAsia="Arial" w:hAnsi="Arial"/>
                <w:sz w:val="13"/>
                <w:szCs w:val="13"/>
                <w:color w:val="auto"/>
              </w:rPr>
              <w:t>Issuance of common stock upon exercise of</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984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3,590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3,591</w:t>
            </w:r>
          </w:p>
        </w:tc>
        <w:tc>
          <w:tcPr>
            <w:tcW w:w="0" w:type="dxa"/>
            <w:vAlign w:val="bottom"/>
          </w:tcPr>
          <w:p>
            <w:pPr>
              <w:spacing w:after="0"/>
              <w:rPr>
                <w:sz w:val="1"/>
                <w:szCs w:val="1"/>
                <w:color w:val="auto"/>
              </w:rPr>
            </w:pPr>
          </w:p>
        </w:tc>
      </w:tr>
      <w:tr>
        <w:trPr>
          <w:trHeight w:val="160"/>
        </w:trPr>
        <w:tc>
          <w:tcPr>
            <w:tcW w:w="2820" w:type="dxa"/>
            <w:vAlign w:val="bottom"/>
          </w:tcPr>
          <w:p>
            <w:pPr>
              <w:ind w:left="140"/>
              <w:spacing w:after="0"/>
              <w:rPr>
                <w:sz w:val="20"/>
                <w:szCs w:val="20"/>
                <w:color w:val="auto"/>
              </w:rPr>
            </w:pPr>
            <w:r>
              <w:rPr>
                <w:rFonts w:ascii="Arial" w:cs="Arial" w:eastAsia="Arial" w:hAnsi="Arial"/>
                <w:sz w:val="13"/>
                <w:szCs w:val="13"/>
                <w:color w:val="auto"/>
              </w:rPr>
              <w:t>stock 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68"/>
        </w:trPr>
        <w:tc>
          <w:tcPr>
            <w:tcW w:w="2820" w:type="dxa"/>
            <w:vAlign w:val="bottom"/>
          </w:tcPr>
          <w:p>
            <w:pPr>
              <w:ind w:left="14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3,695</w:t>
            </w: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Changes in unrealized loss on available-for-</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 securities</w:t>
            </w:r>
          </w:p>
        </w:tc>
        <w:tc>
          <w:tcPr>
            <w:tcW w:w="1420" w:type="dxa"/>
            <w:vAlign w:val="bottom"/>
            <w:gridSpan w:val="2"/>
            <w:vMerge w:val="continue"/>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loss</w:t>
            </w:r>
          </w:p>
        </w:tc>
        <w:tc>
          <w:tcPr>
            <w:tcW w:w="1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(19,115)</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(19,115)</w:t>
            </w:r>
          </w:p>
        </w:tc>
        <w:tc>
          <w:tcPr>
            <w:tcW w:w="0" w:type="dxa"/>
            <w:vAlign w:val="bottom"/>
          </w:tcPr>
          <w:p>
            <w:pPr>
              <w:spacing w:after="0"/>
              <w:rPr>
                <w:sz w:val="1"/>
                <w:szCs w:val="1"/>
                <w:color w:val="auto"/>
              </w:rPr>
            </w:pPr>
          </w:p>
        </w:tc>
      </w:tr>
      <w:tr>
        <w:trPr>
          <w:trHeight w:val="19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67,891</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534,218</w:t>
            </w: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(215,259)</w:t>
            </w:r>
          </w:p>
        </w:tc>
        <w:tc>
          <w:tcPr>
            <w:tcW w:w="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318,972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w:t>
      </w:r>
    </w:p>
    <w:p>
      <w:pPr>
        <w:jc w:val="center"/>
        <w:ind w:left="816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(19,115)</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1,731</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premium (discount) on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3,695</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non-cash (income) expenses,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Related party receivable from collaboration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r>
      <w:tr>
        <w:trPr>
          <w:trHeight w:val="229"/>
        </w:trPr>
        <w:tc>
          <w:tcPr>
            <w:tcW w:w="8220" w:type="dxa"/>
            <w:vAlign w:val="bottom"/>
          </w:tcPr>
          <w:p>
            <w:pPr>
              <w:ind w:left="480"/>
              <w:spacing w:after="0"/>
              <w:rPr>
                <w:sz w:val="20"/>
                <w:szCs w:val="20"/>
                <w:color w:val="auto"/>
              </w:rPr>
            </w:pPr>
            <w:r>
              <w:rPr>
                <w:rFonts w:ascii="Arial" w:cs="Arial" w:eastAsia="Arial" w:hAnsi="Arial"/>
                <w:sz w:val="18"/>
                <w:szCs w:val="18"/>
                <w:color w:val="auto"/>
              </w:rPr>
              <w:t>Related party contract asset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r>
      <w:tr>
        <w:trPr>
          <w:trHeight w:val="230"/>
        </w:trPr>
        <w:tc>
          <w:tcPr>
            <w:tcW w:w="82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(5,343)</w:t>
            </w:r>
          </w:p>
        </w:tc>
      </w:tr>
      <w:tr>
        <w:trPr>
          <w:trHeight w:val="229"/>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r>
      <w:tr>
        <w:trPr>
          <w:trHeight w:val="230"/>
        </w:trPr>
        <w:tc>
          <w:tcPr>
            <w:tcW w:w="8220" w:type="dxa"/>
            <w:vAlign w:val="bottom"/>
          </w:tcPr>
          <w:p>
            <w:pPr>
              <w:ind w:left="48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29"/>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w:t>
            </w: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(29,399)</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and maturities of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26,873</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follow on offering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r>
      <w:tr>
        <w:trPr>
          <w:trHeight w:val="223"/>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11,354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247,472</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258,826</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Vesting of common stock from early exercises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purchases accrued and not yet paid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focused on discovering and developing novel therapeutics based on scientific understanding of key biological pathways underlying liver and metabolic diseases, retinal diseases and cancer. The Company’s robust portfolio of product candidates range from early discovery to late-stage development and include aldafermin, MK-3655, NGM621, NGM120, NGM707 and NGM438. The Company has additional undisclosed programs that are in various stages of development ranging from functional validation to preclinical development.</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was incorporated in Delaware in December 2007 and commenced operations in 2008. Its headquarters are located at 333 Oyster Point Blvd., South San Francisco, California 94080.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or U.S. GAAP, and Regulation S-X for interim consolidated financial information. These unaudited condensed consolidated financial statements should be read in conjunction with the audited consolidated financial statements and notes for the year ended December 31, 2020 included in the Company’s Annual Report on Form 10-K for the year ended December 31, 2020 filed with the United States Securities and Exchange Commission, or SEC, on March 15, 2021.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or for any subsequent interim period.</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unaudited condensed consolidated financial statements include the consolidated accounts of NGM Biopharmaceuticals,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its wholly-owned foreign subsidiary in Australia. All intercompany balances and transactions have been eliminated upon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Codification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and Sources of Liquidity</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three months ended March 31, 2021, the Company incurred a net loss of $27.5 million compared to $ 19.1 million for the three months ended March 31, 2020. As of March 31, 2021, the Company had an accumulated deficit of $326.2 million. The Company expects its accumulated deficit will increase significantly over time and does not expect to experience positive cash flows from operations in the near future.</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As of March 31, 2021, the Company had $412.7 million of cash, cash equivalents and short-term marketable securities. In January 2021, the Company sold 5,324,074 shares of its common stock through an underwritten public offering at a price to the public of $27.00 per share for aggregate net proceeds to the Company of $134.6 million after deducting underwriting discounts and commissions and other offering expenses paid by the Company. In June 2020, the Company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with Jefferies LLC. During the three months ended March 31, 2021, no shares of the Company's common stock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8" w:name="page9"/>
    <w:bookmarkEnd w:id="8"/>
    <w:p>
      <w:pPr>
        <w:jc w:val="both"/>
        <w:spacing w:after="0" w:line="261" w:lineRule="auto"/>
        <w:rPr>
          <w:sz w:val="20"/>
          <w:szCs w:val="20"/>
          <w:color w:val="auto"/>
        </w:rPr>
      </w:pPr>
      <w:r>
        <w:rPr>
          <w:rFonts w:ascii="Arial" w:cs="Arial" w:eastAsia="Arial" w:hAnsi="Arial"/>
          <w:sz w:val="18"/>
          <w:szCs w:val="18"/>
          <w:color w:val="auto"/>
        </w:rPr>
        <w:t>were sold pursuant to the Sales Agreement. As of March 31, 2021, $127.4 million of the Company's common stock remained available to be sold under the Sales Agreement, subject to conditions specified in the Sales Agreement.</w:t>
      </w:r>
    </w:p>
    <w:p>
      <w:pPr>
        <w:spacing w:after="0" w:line="19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believes its existing cash, cash equivalents and short-term marketable securities will be sufficient to fund its operations for a period of at least one year from the date of these unaudited condensed consolidated financial statements.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additional capital through public or private equity offerings (which may include potential net proceeds from future sales, if any, under the Sales Agreement), debt financings, government or other third-party funding, collaborations, strategic alliances and licensing arrangements or a combination of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March 31, 2021 and December 31, 2020, cash and cash equivalents consisted of bank deposits and investments in money market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gain as a separate component of stockholders’ equity.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March 31, 2021, the Company did not record any impairment related to other-than-temporary declines in the fair value of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condensed consolidated balance sheets, as the collateral will not be returned to the Company within 12 months from the date of these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 w:name="page10"/>
    <w:bookmarkEnd w:id="9"/>
    <w:p>
      <w:pPr>
        <w:jc w:val="both"/>
        <w:ind w:firstLine="648"/>
        <w:spacing w:after="0" w:line="256" w:lineRule="auto"/>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collaboration agreement with Merck Sharp &amp; Dohme Corp., or Merck, and any future collaboration agreements with other collaboration partners. To date, the Company has not experienced any losses related to these receivables.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accounted for 100% of the Company’s revenue for the three months ended March 31, 2021 and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5820" w:type="dxa"/>
            <w:vAlign w:val="bottom"/>
            <w:tcBorders>
              <w:bottom w:val="single" w:sz="8" w:color="CFF0FC"/>
            </w:tcBorders>
            <w:shd w:val="clear" w:color="auto" w:fill="CFF0FC"/>
          </w:tcPr>
          <w:p>
            <w:pPr>
              <w:ind w:left="2100"/>
              <w:spacing w:after="0"/>
              <w:rPr>
                <w:sz w:val="20"/>
                <w:szCs w:val="20"/>
                <w:color w:val="auto"/>
              </w:rPr>
            </w:pPr>
            <w:r>
              <w:rPr>
                <w:rFonts w:ascii="Arial" w:cs="Arial" w:eastAsia="Arial" w:hAnsi="Arial"/>
                <w:sz w:val="18"/>
                <w:szCs w:val="18"/>
                <w:color w:val="auto"/>
              </w:rPr>
              <w:t>3 years</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5820" w:type="dxa"/>
            <w:vAlign w:val="bottom"/>
          </w:tcPr>
          <w:p>
            <w:pPr>
              <w:ind w:left="2100"/>
              <w:spacing w:after="0"/>
              <w:rPr>
                <w:sz w:val="20"/>
                <w:szCs w:val="20"/>
                <w:color w:val="auto"/>
              </w:rPr>
            </w:pPr>
            <w:r>
              <w:rPr>
                <w:rFonts w:ascii="Arial" w:cs="Arial" w:eastAsia="Arial" w:hAnsi="Arial"/>
                <w:sz w:val="18"/>
                <w:szCs w:val="18"/>
                <w:color w:val="auto"/>
              </w:rPr>
              <w:t>3 years</w:t>
            </w:r>
          </w:p>
        </w:tc>
      </w:tr>
      <w:tr>
        <w:trPr>
          <w:trHeight w:val="27"/>
        </w:trPr>
        <w:tc>
          <w:tcPr>
            <w:tcW w:w="54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5820" w:type="dxa"/>
            <w:vAlign w:val="bottom"/>
            <w:shd w:val="clear" w:color="auto" w:fill="CFF0FC"/>
          </w:tcPr>
          <w:p>
            <w:pPr>
              <w:ind w:left="2100"/>
              <w:spacing w:after="0"/>
              <w:rPr>
                <w:sz w:val="20"/>
                <w:szCs w:val="20"/>
                <w:color w:val="auto"/>
              </w:rPr>
            </w:pPr>
            <w:r>
              <w:rPr>
                <w:rFonts w:ascii="Arial" w:cs="Arial" w:eastAsia="Arial" w:hAnsi="Arial"/>
                <w:sz w:val="18"/>
                <w:szCs w:val="18"/>
                <w:color w:val="auto"/>
              </w:rPr>
              <w:t>Shorter of life of asset or lease term</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March 31, 2021 and December 31, 2020, no revision to the remaining useful lives or write-down of long-lived assets was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Accounting Standards Update, or ASU, 2014-09, Revenue from Contracts with Customers (Topic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 w:name="page11"/>
    <w:bookmarkEnd w:id="10"/>
    <w:p>
      <w:pPr>
        <w:jc w:val="both"/>
        <w:ind w:right="20"/>
        <w:spacing w:after="0" w:line="256" w:lineRule="auto"/>
        <w:rPr>
          <w:sz w:val="20"/>
          <w:szCs w:val="20"/>
          <w:color w:val="auto"/>
        </w:rPr>
      </w:pPr>
      <w:r>
        <w:rPr>
          <w:rFonts w:ascii="Arial" w:cs="Arial" w:eastAsia="Arial" w:hAnsi="Arial"/>
          <w:sz w:val="18"/>
          <w:szCs w:val="18"/>
          <w:color w:val="auto"/>
        </w:rPr>
        <w:t>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or CROs, and other service providers, as they are incurred, based upon estimates of the work completed over the life of the individual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8"/>
          <w:szCs w:val="18"/>
          <w:color w:val="auto"/>
        </w:rPr>
        <w:t>study in accordance with associated agreements. The Company uses assessments by internal personnel and information it receives from outside service providers to estimate the clinical trial costs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Comprehensive loss is composed of net loss and certain changes in stockholders’ equity that are excluded from net loss, primarily unrealized gains or losses, net of taxes, on the Company’s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options and awards. Diluted net income per ordinary share is computed by giving effect to all potentially dilutive shares, including common stock issuable upon exercise of stock options. However, where there is a diluted net loss per ordinary share, no adjustment is made for potentially issuable shares since their effect would be anti-dilutive. In this case, diluted net loss per share is equal to basic net loss per share.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loss per share was computed as follows (in thousands, except share and per share amounts):</w:t>
      </w:r>
    </w:p>
    <w:p>
      <w:pPr>
        <w:spacing w:after="0" w:line="154"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19050</wp:posOffset>
            </wp:positionV>
            <wp:extent cx="19030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(27,544)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Weighted average number of shares used in calculating net loss per share—basic and diluted</w:t>
            </w: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76,034,145</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67,396,229</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552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18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28"/>
        </w:trPr>
        <w:tc>
          <w:tcPr>
            <w:tcW w:w="806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1015"/>
              <w:spacing w:after="0"/>
              <w:rPr>
                <w:sz w:val="20"/>
                <w:szCs w:val="20"/>
                <w:color w:val="auto"/>
              </w:rPr>
            </w:pPr>
            <w:r>
              <w:rPr>
                <w:rFonts w:ascii="Arial" w:cs="Arial" w:eastAsia="Arial" w:hAnsi="Arial"/>
                <w:sz w:val="16"/>
                <w:szCs w:val="16"/>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37"/>
        </w:trPr>
        <w:tc>
          <w:tcPr>
            <w:tcW w:w="806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11,300,905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10,824,034</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Shares committed under ESPP</w:t>
            </w:r>
          </w:p>
        </w:tc>
        <w:tc>
          <w:tcPr>
            <w:tcW w:w="1640" w:type="dxa"/>
            <w:vAlign w:val="bottom"/>
          </w:tcPr>
          <w:p>
            <w:pPr>
              <w:jc w:val="right"/>
              <w:spacing w:after="0"/>
              <w:rPr>
                <w:sz w:val="20"/>
                <w:szCs w:val="20"/>
                <w:color w:val="auto"/>
              </w:rPr>
            </w:pPr>
            <w:r>
              <w:rPr>
                <w:rFonts w:ascii="Arial" w:cs="Arial" w:eastAsia="Arial" w:hAnsi="Arial"/>
                <w:sz w:val="18"/>
                <w:szCs w:val="18"/>
                <w:color w:val="auto"/>
              </w:rPr>
              <w:t>291,992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396,360</w:t>
            </w:r>
          </w:p>
        </w:tc>
      </w:tr>
      <w:tr>
        <w:trPr>
          <w:trHeight w:val="27"/>
        </w:trPr>
        <w:tc>
          <w:tcPr>
            <w:tcW w:w="8060" w:type="dxa"/>
            <w:vAlign w:val="bottom"/>
            <w:tcBorders>
              <w:bottom w:val="single" w:sz="8" w:color="CFF0F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11,592,897</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11,220,394</w:t>
            </w:r>
          </w:p>
        </w:tc>
      </w:tr>
      <w:tr>
        <w:trPr>
          <w:trHeight w:val="20"/>
        </w:trPr>
        <w:tc>
          <w:tcPr>
            <w:tcW w:w="806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operates in one business segment. Substantially all of the Company’s long-lived assets, comprised of property and equipment, are based in the United States. For the three months ended March 31, 2021 and 2020, the Company’s revenues were entirely within the United States based upon the location of the Company and Merck.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 Under the Jumpstart Our Business Startups Act of 2012, as amended, the JOBS Act, the Company meets the definition of an emerging growth company and has elected the extended transition period for complying with new or revised accounting standards pursuant to Section 107(b) of the JOBS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addition, ASC 808 precludes an entity from presenting consideration from a transaction in a collaborative arrangement as revenue from contracts with customers if the participant is not a customer for that transaction. The Company adopted ASU 2018-18 effective January 1, 2021, noting no material impact on the Company’s results of operations and financial position.</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The Company adopted ASU 2019-12 effective January 1, 2021, noting no material impact on the Company’s results of operations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2016, the FASB issued ASU 2016-02, Leases (Topic 842), which increases lease transparency and comparability among organizations. Under the new standard, lessees will be required to recognize right-of-use, or ROU, assets and lease liabilities arising from lease arrangements on the balance sheet, with the exception of leases with a term of twelve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financial statements and allows the cumulative effect of the retrospective allocation to be recorded as an adjustment to the opening balance of retained earnings at the date of adoption. In November 2019, the FASB issued ASU 2019-10, which deferred the effective date for certain ASUs including ASU 2016-02. In June 2020, due to the evolving impacts of the COVID-19 pandemic, the FASB issued ASU 2020-05, which further defers the effective date of ASU 2016-02, which is now effective for the Company’s fiscal year beginning after December 15, 2021, and interim periods within fiscal years beginning after December 15, 2022.</w:t>
      </w:r>
    </w:p>
    <w:p>
      <w:pPr>
        <w:spacing w:after="0" w:line="1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plans to adopt the new lease standard in the fiscal year beginning January 1, 2022, using the optional transition method, which allows the Company to recognize a cumulative-effect adjustment to the opening balance of accumulated deficit at the date of adoption and apply the new disclosure requirements beginning in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18"/>
          <w:szCs w:val="18"/>
          <w:color w:val="auto"/>
        </w:rPr>
        <w:t>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The Company continues to evaluate the impact of this new lease standard to its results of operations and financial position.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equivalents and marketable securities are classified as available-for-sale securities and consisted of the following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9"/>
              </w:rPr>
              <w:t>Amortized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Gain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Loss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124,089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center"/>
              <w:ind w:left="693"/>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agencies securities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center"/>
              <w:ind w:left="693"/>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left="733"/>
              <w:spacing w:after="0"/>
              <w:rPr>
                <w:sz w:val="20"/>
                <w:szCs w:val="20"/>
                <w:color w:val="auto"/>
              </w:rPr>
            </w:pPr>
            <w:r>
              <w:rPr>
                <w:rFonts w:ascii="Arial" w:cs="Arial" w:eastAsia="Arial" w:hAnsi="Arial"/>
                <w:sz w:val="18"/>
                <w:szCs w:val="18"/>
                <w:color w:val="auto"/>
                <w:w w:val="99"/>
              </w:rPr>
              <w:t>(45)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center"/>
              <w:ind w:left="693"/>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733"/>
              <w:spacing w:after="0"/>
              <w:rPr>
                <w:sz w:val="20"/>
                <w:szCs w:val="20"/>
                <w:color w:val="auto"/>
              </w:rPr>
            </w:pPr>
            <w:r>
              <w:rPr>
                <w:rFonts w:ascii="Arial" w:cs="Arial" w:eastAsia="Arial" w:hAnsi="Arial"/>
                <w:sz w:val="18"/>
                <w:szCs w:val="18"/>
                <w:color w:val="auto"/>
                <w:w w:val="99"/>
              </w:rPr>
              <w:t>(45)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Classified as: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$264,561)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3"/>
            <w:vMerge w:val="restart"/>
          </w:tcPr>
          <w:p>
            <w:pPr>
              <w:jc w:val="center"/>
              <w:ind w:right="300"/>
              <w:spacing w:after="0"/>
              <w:rPr>
                <w:sz w:val="20"/>
                <w:szCs w:val="20"/>
                <w:color w:val="auto"/>
              </w:rPr>
            </w:pPr>
            <w:r>
              <w:rPr>
                <w:rFonts w:ascii="Arial" w:cs="Arial" w:eastAsia="Arial" w:hAnsi="Arial"/>
                <w:sz w:val="16"/>
                <w:szCs w:val="16"/>
                <w:b w:val="1"/>
                <w:bCs w:val="1"/>
                <w:color w:val="auto"/>
              </w:rPr>
              <w:t>Amortized</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rPr>
              <w:t>Unrealized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Gain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Loss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137,658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agencies securities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98,647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9"/>
              </w:rPr>
              <w:t>(3)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and agency bonds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w:t>
            </w: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gridSpan w:val="2"/>
            <w:shd w:val="clear" w:color="auto" w:fill="CFF0FC"/>
          </w:tcPr>
          <w:p>
            <w:pPr>
              <w:ind w:left="100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2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285,793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000"/>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Classified as:</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FF0FC"/>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$148,135)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148,139</w:t>
            </w:r>
          </w:p>
        </w:tc>
        <w:tc>
          <w:tcPr>
            <w:tcW w:w="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and cash equivalents in the table above excludes cash on deposit with banks of $24.0 million and $9.4 million as of March 31, 2021 and December 31, 2020, respectively.</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2021 and December 31, 2020, the Company’s marketable securities had remaining contractual maturities less than one year. As of March 31, 2021, there were eleven marketable securities in an unrealized loss position compared to one marketable security in an unrealized loss position as of December 31, 2020. Marketable securities that had been in unrealized loss positions as of March 31, 2021 and December 31, 2020 had been in an unrealized loss position for less than 12 months. The Company does not intend to sell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spacing w:after="0" w:line="261" w:lineRule="auto"/>
        <w:rPr>
          <w:sz w:val="20"/>
          <w:szCs w:val="20"/>
          <w:color w:val="auto"/>
        </w:rPr>
      </w:pPr>
      <w:r>
        <w:rPr>
          <w:rFonts w:ascii="Arial" w:cs="Arial" w:eastAsia="Arial" w:hAnsi="Arial"/>
          <w:sz w:val="18"/>
          <w:szCs w:val="18"/>
          <w:color w:val="auto"/>
        </w:rPr>
        <w:t>marketable securities that are in an unrealized loss position and it is highly unlikely that the Company will be required to sell the investments before recovery of their amortized cost basis, which may be maturity.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124,089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124,089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agencies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113,179</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74,934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74,934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agency bonds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76,430</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124,089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264,543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388,632</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137,658</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U.S. government agencies securities</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98,653</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41,945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41,945</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Corporate and agency bonds</w:t>
            </w: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137,658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148,139</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285,797</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and contract asset from collaboration and other current assets and liabilities approximate their respective fair values due to their short-term nature.</w:t>
      </w:r>
    </w:p>
    <w:p>
      <w:pPr>
        <w:spacing w:after="0" w:line="9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w:t>
      </w:r>
    </w:p>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three months ended March 31, 2021 and year ended December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4780" w:type="dxa"/>
            <w:vAlign w:val="bottom"/>
            <w:tcBorders>
              <w:bottom w:val="single" w:sz="8" w:color="CFF0FC"/>
            </w:tcBorders>
          </w:tcPr>
          <w:p>
            <w:pPr>
              <w:spacing w:after="0"/>
              <w:rPr>
                <w:sz w:val="18"/>
                <w:szCs w:val="18"/>
                <w:color w:val="auto"/>
              </w:rPr>
            </w:pPr>
          </w:p>
        </w:tc>
        <w:tc>
          <w:tcPr>
            <w:tcW w:w="30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148,113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Restricted cash</w:t>
            </w:r>
          </w:p>
        </w:tc>
        <w:tc>
          <w:tcPr>
            <w:tcW w:w="30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3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149,612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3000" w:type="dxa"/>
            <w:vAlign w:val="bottom"/>
            <w:tcBorders>
              <w:top w:val="single" w:sz="8" w:color="CFF0FC"/>
              <w:bottom w:val="single" w:sz="8" w:color="CFF0FC"/>
            </w:tcBorders>
            <w:vMerge w:val="restart"/>
          </w:tcPr>
          <w:p>
            <w:pPr>
              <w:jc w:val="right"/>
              <w:ind w:right="197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7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23,638</w:t>
            </w:r>
          </w:p>
        </w:tc>
      </w:tr>
      <w:tr>
        <w:trPr>
          <w:trHeight w:val="22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 in process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7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 gross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51,257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50,837</w:t>
            </w: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(36,311)</w:t>
            </w: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14,526</w:t>
            </w: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$1.6 million and $1.7 million for the three months ended March 31, 2021 and 2020,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2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2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2020</w:t>
            </w:r>
          </w:p>
        </w:tc>
      </w:tr>
      <w:tr>
        <w:trPr>
          <w:trHeight w:val="224"/>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Clinical trials and research and development costs</w:t>
            </w:r>
          </w:p>
        </w:tc>
        <w:tc>
          <w:tcPr>
            <w:tcW w:w="280" w:type="dxa"/>
            <w:vAlign w:val="bottom"/>
            <w:shd w:val="clear" w:color="auto" w:fill="CFF2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9,758</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9,316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Manufacturing costs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8,297</w:t>
            </w:r>
          </w:p>
        </w:tc>
      </w:tr>
      <w:tr>
        <w:trPr>
          <w:trHeight w:val="229"/>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Personnel-related costs</w:t>
            </w:r>
          </w:p>
        </w:tc>
        <w:tc>
          <w:tcPr>
            <w:tcW w:w="280" w:type="dxa"/>
            <w:vAlign w:val="bottom"/>
            <w:shd w:val="clear" w:color="auto" w:fill="CFF2FC"/>
          </w:tcPr>
          <w:p>
            <w:pPr>
              <w:spacing w:after="0"/>
              <w:rPr>
                <w:sz w:val="19"/>
                <w:szCs w:val="19"/>
                <w:color w:val="auto"/>
              </w:rPr>
            </w:pPr>
          </w:p>
        </w:tc>
        <w:tc>
          <w:tcPr>
            <w:tcW w:w="13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8,921</w:t>
            </w:r>
          </w:p>
        </w:tc>
      </w:tr>
      <w:tr>
        <w:trPr>
          <w:trHeight w:val="230"/>
        </w:trPr>
        <w:tc>
          <w:tcPr>
            <w:tcW w:w="7780" w:type="dxa"/>
            <w:vAlign w:val="bottom"/>
            <w:tcBorders>
              <w:bottom w:val="single" w:sz="8" w:color="CFF2FC"/>
            </w:tcBorders>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FF2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w:t>
            </w:r>
          </w:p>
        </w:tc>
      </w:tr>
      <w:tr>
        <w:trPr>
          <w:trHeight w:val="248"/>
        </w:trPr>
        <w:tc>
          <w:tcPr>
            <w:tcW w:w="7780" w:type="dxa"/>
            <w:vAlign w:val="bottom"/>
            <w:tcBorders>
              <w:bottom w:val="single" w:sz="8" w:color="CFF2FC"/>
            </w:tcBorders>
            <w:shd w:val="clear" w:color="auto" w:fill="CFF2FC"/>
          </w:tcPr>
          <w:p>
            <w:pPr>
              <w:ind w:left="22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FF2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29,763</w:t>
            </w:r>
          </w:p>
        </w:tc>
        <w:tc>
          <w:tcPr>
            <w:tcW w:w="100" w:type="dxa"/>
            <w:vAlign w:val="bottom"/>
            <w:tcBorders>
              <w:bottom w:val="single" w:sz="8" w:color="CFF2FC"/>
            </w:tcBorders>
            <w:shd w:val="clear" w:color="auto" w:fill="CFF2FC"/>
          </w:tcPr>
          <w:p>
            <w:pPr>
              <w:spacing w:after="0"/>
              <w:rPr>
                <w:sz w:val="21"/>
                <w:szCs w:val="21"/>
                <w:color w:val="auto"/>
              </w:rPr>
            </w:pPr>
          </w:p>
        </w:tc>
        <w:tc>
          <w:tcPr>
            <w:tcW w:w="2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29,945</w:t>
            </w:r>
          </w:p>
        </w:tc>
      </w:tr>
      <w:tr>
        <w:trPr>
          <w:trHeight w:val="20"/>
        </w:trPr>
        <w:tc>
          <w:tcPr>
            <w:tcW w:w="7780" w:type="dxa"/>
            <w:vAlign w:val="bottom"/>
            <w:tcBorders>
              <w:top w:val="single" w:sz="8" w:color="CFF2FC"/>
            </w:tcBorders>
          </w:tcPr>
          <w:p>
            <w:pPr>
              <w:spacing w:after="0" w:line="20" w:lineRule="exact"/>
              <w:rPr>
                <w:sz w:val="1"/>
                <w:szCs w:val="1"/>
                <w:color w:val="auto"/>
              </w:rPr>
            </w:pPr>
          </w:p>
        </w:tc>
        <w:tc>
          <w:tcPr>
            <w:tcW w:w="280" w:type="dxa"/>
            <w:vAlign w:val="bottom"/>
            <w:tcBorders>
              <w:top w:val="single" w:sz="8" w:color="CFF2FC"/>
              <w:bottom w:val="single" w:sz="8" w:color="auto"/>
            </w:tcBorders>
          </w:tcPr>
          <w:p>
            <w:pPr>
              <w:spacing w:after="0" w:line="20" w:lineRule="exact"/>
              <w:rPr>
                <w:sz w:val="1"/>
                <w:szCs w:val="1"/>
                <w:color w:val="auto"/>
              </w:rPr>
            </w:pPr>
          </w:p>
        </w:tc>
        <w:tc>
          <w:tcPr>
            <w:tcW w:w="1380" w:type="dxa"/>
            <w:vAlign w:val="bottom"/>
            <w:tcBorders>
              <w:top w:val="single" w:sz="8" w:color="CFF2FC"/>
              <w:bottom w:val="single" w:sz="8" w:color="auto"/>
            </w:tcBorders>
          </w:tcPr>
          <w:p>
            <w:pPr>
              <w:spacing w:after="0" w:line="20" w:lineRule="exact"/>
              <w:rPr>
                <w:sz w:val="1"/>
                <w:szCs w:val="1"/>
                <w:color w:val="auto"/>
              </w:rPr>
            </w:pPr>
          </w:p>
        </w:tc>
        <w:tc>
          <w:tcPr>
            <w:tcW w:w="100" w:type="dxa"/>
            <w:vAlign w:val="bottom"/>
            <w:tcBorders>
              <w:top w:val="single" w:sz="8" w:color="CFF2FC"/>
            </w:tcBorders>
          </w:tcPr>
          <w:p>
            <w:pPr>
              <w:spacing w:after="0" w:line="20" w:lineRule="exact"/>
              <w:rPr>
                <w:sz w:val="1"/>
                <w:szCs w:val="1"/>
                <w:color w:val="auto"/>
              </w:rPr>
            </w:pPr>
          </w:p>
        </w:tc>
        <w:tc>
          <w:tcPr>
            <w:tcW w:w="200" w:type="dxa"/>
            <w:vAlign w:val="bottom"/>
            <w:tcBorders>
              <w:top w:val="single" w:sz="8" w:color="CFF2FC"/>
              <w:bottom w:val="single" w:sz="8" w:color="auto"/>
            </w:tcBorders>
          </w:tcPr>
          <w:p>
            <w:pPr>
              <w:spacing w:after="0" w:line="20" w:lineRule="exact"/>
              <w:rPr>
                <w:sz w:val="1"/>
                <w:szCs w:val="1"/>
                <w:color w:val="auto"/>
              </w:rPr>
            </w:pPr>
          </w:p>
        </w:tc>
        <w:tc>
          <w:tcPr>
            <w:tcW w:w="1460" w:type="dxa"/>
            <w:vAlign w:val="bottom"/>
            <w:tcBorders>
              <w:top w:val="single" w:sz="8" w:color="CFF2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the Company entered into a collaboration agreement with Merck, or the Collaboration Agreement, covering the discovery, development and commercialization of novel therapies across a range of therapeutic areas, including a broad, multi-year drug discovery and early development program financially supported by Merck, but scientifically directed by the Company with input from Merck. In exchange for certain rights and access to the Company’s drug discovery approach, in April 2015, Merck paid the Company an upfront cash licensing fee of $94.0 million and purchased approximately $106.0 million of the Company’s Series E convertible preferred stock. The Company considered the ASC 606 criteria for combining contracts and determined that the Collaboration Agreement and stock purchase agreement should be combined into a single contract. The Company accounted for the combined agreement based on the fair values of the assets and services exchanged, resulting in $106.0 million allocated to the equity component and $94.0 million allocated to the revenue components.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Collaboration Agreement contemplated an initial five-year research term, and Merck was granted the unilateral right to extend the research phase of the collaboration for two additional two-year terms. Each extension is considered to be and is accounted for as a separate arrangement, if and when the option is exercised by Merck. Under the current terms of the Collaboration Agreement, Merck is required to pay a $20.0 million extension fee each time it elects to exercise its unilateral right to extend the research phase of the collaboration for an additional two-year term. In March 2019, Merck exercised its first option to extend the research phase of the collaboration for two additional years through March 16, 2022.</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current terms of the Collaboration Agreement, if and when Merck elects to extend the research phase for an additional two years, the level of funding that Merck will provide to the Company during such extension will be negotiated at the time of the extension, subject to certain minimum and maximum funding limits based on a percentage of the then-existing funding. As part of the two-year extension through March 16, 2022, Merck agreed to continue to fund the Company’s research and development efforts up to $75.0 million each year consistent with the</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6" w:name="page17"/>
    <w:bookmarkEnd w:id="16"/>
    <w:p>
      <w:pPr>
        <w:jc w:val="both"/>
        <w:spacing w:after="0" w:line="256" w:lineRule="auto"/>
        <w:rPr>
          <w:sz w:val="20"/>
          <w:szCs w:val="20"/>
          <w:color w:val="auto"/>
        </w:rPr>
      </w:pPr>
      <w:r>
        <w:rPr>
          <w:rFonts w:ascii="Arial" w:cs="Arial" w:eastAsia="Arial" w:hAnsi="Arial"/>
          <w:sz w:val="18"/>
          <w:szCs w:val="18"/>
          <w:color w:val="auto"/>
        </w:rPr>
        <w:t>initial five-year term and, in lieu of a $20.0 million extension fee that would have otherwise been payable to the Company, Merck agreed to make additional payments totaling up to $20.0 million in support of the Company’s research and development program activities during 2021 and in the first quarter of 2022.</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current terms of the Collaboration Agreement, Merck was required to notify the Company no later than March 17, 2021 of its unilateral decision whether to exercise its option to extend the research phase of the collaboration for an additional two-year term through March 16, 2024. In March 2021, Merck initiated discussions with the Company with respect to elements of the ongoing collaboration that might be optimized to better address the evolving interests and priorities of both the Company and Merck during the remainder of the current research phase through March 16, 2022 and during any extension of the current research phase and any tail period after the end of the research phase (which tail period is discussed below). In this regard, the parties continue to negotiate potential modifications to the terms of the collaboration. In order to allow negotiations to proceed, the parties agreed to extend the March 17, 2021 deadline for Merck to deliver its extension notification decision until June 30, 2021.</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determined the scientific direction and areas of therapeutic interest, with input from Merck, and is primarily responsible for the conduct of all research, preclinical and early clinical development activities, through human proof-of-concept trials. The Company has made the final determinations as to which compounds to advance into and through initial clinical trials and which to progress into a human proof-of-concept trial and the design of any such trials, with input from Merck through various governance committees.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current terms of the Collaboration Agreement, upon completion of a human proof-of-concept study for a particular product candidate, regardless of the results of such study, Merck has the one-time option to obtain an exclusive, worldwide license, on specified terms, to that product candidate, as well as to all other molecules that are directed against the same target and that result in the same effect on such target, collectively referred to as a Merck Licensed Program. For each program that Merck licenses, Merck must pay the Company a one-time fee of $20.0 million. If Merck exercises its license option, Merck is responsible, at its own cost, for any further development and any commercialization activities for compounds within the applicable Merck Licensed Program, subject to the Company’s options to cost and profit share worldwide, and to co-detail those compounds in the United States. Where the Company exercises such an option, the compound is referred to as an NGM Optioned Product. If the Company elects to enter into a cost and profit share on an NGM Optioned Product, Merck has agreed to advance to the Company and/or assume up to 25% of the Company’s share of the global development costs, subject to an aggregate cap over the course of the collaboration. All amounts advanced or assumed accrue interest and would be recouped by Merck in full out of the Company’s share of any profits resulting from sales of the NGM Optioned Product before the Company is entitled to receive any of those profits. If the Company does not elect to enter into a cost and profit-sharing arrangement for a compound it has licensed to Merck, the Company is eligible to receive an aggregate of up to $449.0 million in pre-commercial milestone payments upon the achievement of specific clinical development and regulatory events with respect to the licensed compound for the first three indications in the United States, European Union, or EU, and Japan. The Company is also eligible to receive commercial milestone payments of up to $125.0 million and to receive royalties at ascending low-double digit to mid-teen percentage rates, depending on the level of net sales Merck achieves worldwide for each licensed compound.</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current terms of the Collaboration Agreement, the Company also granted Merck a worldwide, exclusive right to conduct research and development on, and to manufacture, use and commercialize, small molecule compounds identified or developed by Merck that have specified activity against any target that the Company is researching or developing under the research phase of the collaboration and that, but for use of the Company’s confidential and proprietary information, Merck would not have discovered. If Merck ultimately does not exercise its license option to a collaboration compound the Company has taken through a human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The Company is eligible to receive milestone and royalty payments on small molecule compounds that are developed by Merck under such a license from the Company, in some cases at the same rates as those the Company is eligible to receive from Merck for a Merck Licensed Program originating from the Company’s own research and development efforts, provided that, but for use of the Company’s confidential and proprietary information, Merck would not have discovered such small molecule compounds. However, the Company will not have the option to cost and profit share or the option to co-detail those small molecule products.</w:t>
      </w:r>
    </w:p>
    <w:p>
      <w:pPr>
        <w:spacing w:after="0" w:line="1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current terms of the Collaboration Agreement, during the three-month period before the end of the research phase, Merck has the right to review the Company’s then-existing programs and to elect to designate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18"/>
          <w:szCs w:val="18"/>
          <w:color w:val="auto"/>
        </w:rPr>
        <w:t>one or more such programs for which the Company will be required to continue to conduct research and development for up to three years, referred to as the tail period. Merck will pay all of the Company’s internal and external costs for its work on such Merck-designated programs, up to certain funding caps that decrease over the tail period and are each a specified percentage of certain funding actually provided to the Company by Merck during the last 12 months of the research phase. Merck also has the right to take over such Merck-designated programs and conduct such research and development activities itself or in partnership with a third party, at its own cost, or to terminate the tail period after a specified notice period. If Merck terminates the tail period, it has the right to elect to transition to itself or a third-party partner, at its own cost, any clinical trials that are then being conducted in such Merck-designated programs. If the Company completes a human proof-of-concept trial in one of such Merck-designated programs during the tail period or if Merck or its third-party partner completes a human proof-of-concept trial in one of such Merck-designated programs during or after the tail period, then Merck will have a one-time right to exercise its option to an exclusive, worldwide license for the collaboration product candidate tested in the proof-of-concept trial and certain related molecules in that program. Merck will lose its option rights at the end of the tail period with respect to all programs for which no collaboration product candidate has completed a human proof-of-concept trial by such time, except for Merck-designated programs that Merck is continuing to use commercially reasonable efforts to research and develop.</w:t>
      </w:r>
    </w:p>
    <w:p>
      <w:pPr>
        <w:spacing w:after="0" w:line="1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Company evaluated the Collaboration Agreement with Merck under ASC 606. The Company identified the following promised goods or services at the inception of the Collaboration Agreement: (i) license to growth differentiation factor 15, or GDF15, agonist program;</w:t>
      </w:r>
    </w:p>
    <w:p>
      <w:pPr>
        <w:spacing w:after="0" w:line="1" w:lineRule="exact"/>
        <w:rPr>
          <w:sz w:val="20"/>
          <w:szCs w:val="20"/>
          <w:color w:val="auto"/>
        </w:rPr>
      </w:pPr>
    </w:p>
    <w:p>
      <w:pPr>
        <w:jc w:val="both"/>
        <w:ind w:firstLine="8"/>
        <w:spacing w:after="0" w:line="253" w:lineRule="auto"/>
        <w:tabs>
          <w:tab w:leader="none" w:pos="278"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license to pursue research and development and commercialization of small molecule compounds; (iii) performance of research and development services for five years; (iv) two options to extend performance of the research and development services, each for two additional years; and (v) options to obtain licenses to additional compounds after proof-of-concept trials. The Company determined the GDF15 agonist program license and small molecule program license are not distinct from the research and development services, resulting in these items being combined into a single performance obligation.</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 attached to the exercise of such options approximated the SSP of the promised goods or services included in the options. Therefore, the options do not give rise to material rights, are not performance obligations in the Collaboration Agreement and, if and when exercised, will be accounted for as separate arrangements under ASC 606.</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Collaboration Agreement is comprised of the up-front payment and the ongoing research and development reimbursements.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Any fees associated with options, including upfront fees, funding fees and milestones, are not included in the transaction price as they are associated with options that are not material rights and, thus, are not performance obligations within the Collaboration Agreement. For example, in November 2018, Merck exercised its option for a license to further research and develop MK-3655, an agonistic antibody discovered by the Company that selectively activates fibroblast growth factor receptor 1c-beta-klotho, or FGFR1c/KLB, and other FGFR1c/KLB agonists and paid the Company $20.0 million. The $20.0 million license fee for MK-3655 was not included in the transaction price and was instead recognized in the period of exercise in the fourth quarter of 2018 as the Company had no further obligation related to that license. The Phase 3 clinical study for MK-3655 has not begun, and the Company has not made an election as to whether it will participate in the cost and profit share or receive milestone and royalty payments. The amounts do not impact the estimated transaction price associated with the single performance obligation identified in the Collaboration Agreement.</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transaction price associated with the initial five-year term of the Collaboration Agreement consisted of the $94.0 million upfront fee and the funding amounts of up to $75.0 million per year for each of the first five years of the Collaboration Agreement. No milestones or other forms of consideration were included in the transaction price as those amounts are contingent upon Merck exercising an option for licenses on additional compounds and would, therefore, be pursuant to separate arrangements and were not part of the Collaboration Agreement estimated transaction price. As there was only one performance obligation in the Collaboration Agreement, the transaction price was allocated entirely to that performance obligation.</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the end of the initial five-year term of the Collaboration Agreement, the remaining contract liability amount of $4.9 million related to the upfront license fee included within the transaction price as of December 31, 2019 was fully earned and recognized during the three months ended March 31, 2020. The Company has fully recognized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 w:name="page19"/>
    <w:bookmarkEnd w:id="18"/>
    <w:p>
      <w:pPr>
        <w:jc w:val="both"/>
        <w:spacing w:after="0" w:line="261" w:lineRule="auto"/>
        <w:rPr>
          <w:sz w:val="20"/>
          <w:szCs w:val="20"/>
          <w:color w:val="auto"/>
        </w:rPr>
      </w:pPr>
      <w:r>
        <w:rPr>
          <w:rFonts w:ascii="Arial" w:cs="Arial" w:eastAsia="Arial" w:hAnsi="Arial"/>
          <w:sz w:val="18"/>
          <w:szCs w:val="18"/>
          <w:color w:val="auto"/>
        </w:rPr>
        <w:t>revenue of approximately $388.1 million related to the single performance obligation associated with the initial five-year term of the Collaboration Agreement.</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Upon Merck exercising its option to extend the research phase of the collaboration through March 16, 2022, the Company deemed that a separate arrangement containing a distinct two-year performance obligation to provide distinct research and development services was created on March 17, 2020 in accordance with ASC 606. The transaction price of $170.0 million for this two-year performance obligation consists of the potential funding amounts of up to $75.0 million per year plus the additional funding amount of $ 20.0 million to be made during 2021 and in the first quarter of 2022 if the Company exceeds the $75.0 million funding cap. The Company also uses a cost-based input method to calculate the corresponding amount of revenue to recognize. In applying the cost-based input measure of revenue recognition, the Company measures actual costs incurred relative to budgeted costs to fulfill this distinct two-year performance obligation. These costs consist of full-time equivalent hours plus allowable external (third-party) costs incurred. Revenue is recognized based on actual costs incurred as a percentage of total budgeted costs as the Company completes its performance obligation applied to the transaction price. The Company re-evaluates the estimate of expected costs to satisfy the performance obligation each reporting period and makes adjustments for any significant changes. In addition, the Company also considers any necessary adjustments in an effort to ensure that the transaction price is within the range of potential funding amounts as described above. As such, management applies considerable judgment in estimating expected costs as such costs are key inputs when applying the cost-based input method. As the Company’s estimated measure of progress is updated at each reporting period and revenue is recognized on a cumulative catch-up basis, a significant change in the estimate of expected costs for the remainder of the contract term could have a material impact on revenue recognized (including the possible reversal of previously recognized revenue) at each reporting period, as well as the related impact on contract assets and liabilities.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the transaction price includes an additional funding amount of $20.0 million to be made during 2021 and in the first quarter of 2022, the timing of when the revenue is recognized for this additional funding amount for performance of the services and when this additional funding amount can be billed resulted in the recognition of a related party contract asset of $4.6 million at March 31, 2021 and $6.1 million at December 31, 2020.</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Merck’s purchase of approximately $106.0 million of our Series E convertible preferred stock in 2015, the Company and Merck entered into an agreement whereby Merck agreed to purchase 4,121,683 shares of the Company’s common stock in a separate private placement concurrent with the completion of the Company’s IPO at a price per share equal to the public offering price of $16.00, resulting in Merck owning approximately 19.9% of the Company’s outstanding shares of common stock following the completion of the Company's initial public offering.</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rPr>
              <w:t>Third</w:t>
            </w:r>
          </w:p>
        </w:tc>
      </w:tr>
      <w:tr>
        <w:trPr>
          <w:trHeight w:val="230"/>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rPr>
              <w:t>Indication</w:t>
            </w:r>
          </w:p>
        </w:tc>
      </w:tr>
      <w:tr>
        <w:trPr>
          <w:trHeight w:val="168"/>
        </w:trPr>
        <w:tc>
          <w:tcPr>
            <w:tcW w:w="6660" w:type="dxa"/>
            <w:vAlign w:val="bottom"/>
            <w:tcBorders>
              <w:top w:val="single" w:sz="8" w:color="CFF0FC"/>
            </w:tcBorders>
            <w:shd w:val="clear" w:color="auto" w:fill="CFF0FC"/>
          </w:tcPr>
          <w:p>
            <w:pPr>
              <w:ind w:left="20"/>
              <w:spacing w:after="0" w:line="168" w:lineRule="exact"/>
              <w:rPr>
                <w:sz w:val="20"/>
                <w:szCs w:val="20"/>
                <w:color w:val="auto"/>
              </w:rPr>
            </w:pPr>
            <w:r>
              <w:rPr>
                <w:rFonts w:ascii="Arial" w:cs="Arial" w:eastAsia="Arial" w:hAnsi="Arial"/>
                <w:sz w:val="18"/>
                <w:szCs w:val="18"/>
                <w:color w:val="auto"/>
              </w:rPr>
              <w:t>Upon administration of an applicable product to the first patient in the first Phase 3</w:t>
            </w:r>
          </w:p>
        </w:tc>
        <w:tc>
          <w:tcPr>
            <w:tcW w:w="22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r>
      <w:tr>
        <w:trPr>
          <w:trHeight w:val="217"/>
        </w:trPr>
        <w:tc>
          <w:tcPr>
            <w:tcW w:w="6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clinical trial for such product for the given indication</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r>
    </w:tbl>
    <w:p>
      <w:pPr>
        <w:spacing w:after="0" w:line="2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various regulatory events for each of the three indications, for each of the three geographic areas, is as follows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8"/>
                <w:szCs w:val="18"/>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7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113"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Three Months Ended</w:t>
      </w:r>
    </w:p>
    <w:p>
      <w:pPr>
        <w:jc w:val="center"/>
        <w:ind w:left="82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6350</wp:posOffset>
            </wp:positionV>
            <wp:extent cx="1903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8760"/>
        <w:spacing w:after="0"/>
        <w:tabs>
          <w:tab w:leader="none" w:pos="103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8240" w:val="left"/>
          <w:tab w:leader="none" w:pos="9040" w:val="left"/>
          <w:tab w:leader="none" w:pos="9800" w:val="left"/>
          <w:tab w:leader="none" w:pos="10600" w:val="left"/>
        </w:tabs>
        <w:rPr>
          <w:sz w:val="20"/>
          <w:szCs w:val="20"/>
          <w:color w:val="auto"/>
        </w:rPr>
      </w:pPr>
      <w:r>
        <w:rPr>
          <w:rFonts w:ascii="Arial" w:cs="Arial" w:eastAsia="Arial" w:hAnsi="Arial"/>
          <w:sz w:val="18"/>
          <w:szCs w:val="18"/>
          <w:color w:val="auto"/>
        </w:rPr>
        <w:t>Related party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21,575</w:t>
        <w:tab/>
        <w:t>$</w:t>
      </w:r>
      <w:r>
        <w:rPr>
          <w:sz w:val="20"/>
          <w:szCs w:val="20"/>
          <w:color w:val="auto"/>
        </w:rPr>
        <w:tab/>
      </w:r>
      <w:r>
        <w:rPr>
          <w:rFonts w:ascii="Arial" w:cs="Arial" w:eastAsia="Arial" w:hAnsi="Arial"/>
          <w:sz w:val="17"/>
          <w:szCs w:val="17"/>
          <w:color w:val="auto"/>
        </w:rPr>
        <w:t>24,364</w:t>
      </w:r>
    </w:p>
    <w:p>
      <w:pPr>
        <w:spacing w:after="0" w:line="3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ended March 31, 2021, the Company recognized collaboration and license revenue under the Collaboration Agreement of $21.6 million primarily related to reimbursable research and development activities associated with the performance obligation for the two-year extension period. For the three months ended March 31, 2020, the Company recognized collaboration and license revenue under the Collaboration Agreement of $24.4 million of which $4.9 million related to the upfront license fee under the initial five-year term that ended in March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March 31, 2021 and December 31, 2020, the Company recorded related party contract assets of $4.6 million and $6.1 million, respectively. 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As of March 31, 2021 and December 31, 2020, there were no contract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December 2015, the Company entered into an operating lease for its corporate office space and laboratory facility at 333 Oyster Point Blvd, South San Francisco, California for approximately 122,000 square feet that expires in December 2023. The lease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has recorded as non-current restricted cash on the condensed consolidated balance sheets. The Company has the right to reduce the letter of credit amount by $0.4 million on each of the third anniversary and fourth anniversary of the rent commencement date. In 2020, the Company reduced its letter of credit by $0.4 million and reclassified that amount from restricted cash to cash and cash equivalents on the condensed consolidated balance sheets.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for approximately 50,000 square feet, as amended in June 2014. In July 2016, the Company assigned the operating lease of 630 Gateway to Merck, as part of the Company’s relocation to 333 Oyster Point. The operating lease expired in November 2020. Following expiration of the operating lease, the Company retains the obligation to indemnify the landlord and Merck under certain limited circumstances, but has no further payment obligations.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$0.5 million for each of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 w:name="page21"/>
    <w:bookmarkEnd w:id="20"/>
    <w:p>
      <w:pPr>
        <w:jc w:val="both"/>
        <w:ind w:firstLine="648"/>
        <w:spacing w:after="0" w:line="261" w:lineRule="auto"/>
        <w:rPr>
          <w:sz w:val="20"/>
          <w:szCs w:val="20"/>
          <w:color w:val="auto"/>
        </w:rPr>
      </w:pPr>
      <w:r>
        <w:rPr>
          <w:rFonts w:ascii="Arial" w:cs="Arial" w:eastAsia="Arial" w:hAnsi="Arial"/>
          <w:sz w:val="18"/>
          <w:szCs w:val="18"/>
          <w:color w:val="auto"/>
        </w:rPr>
        <w:t>Future minimum payments under the unassigned lease obligations described above are as follows as of March 31,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76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5,294</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r>
      <w:tr>
        <w:trPr>
          <w:trHeight w:val="223"/>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14,623</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fix the number, rights, preferences, privileges and restrictions for such series. These rights, preferences and privileges could include dividend rights, conversion rights, voting rights, terms of redemption, liquidation preferences and sinking fund terms. As of March 31, 2021, the Company did not have any shares of preferred stock issued or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January 2021, the Company sold 5,324,074 shares of its common stock through an underwritten public offering at a price to the public of $27.00 per share for aggregate net proceeds to the Company of $134.6 million, after deducting underwriting discounts and commissions and other offering expenses paid by the Company. The offering closed on January 8, 2021.</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March 31, 2021 and December 31, 2020, the Company had 76,913,578 and 70,585,364 shares of common stock outstanding, respectively, which included shares subject to repurchase of 938 and 6,508, respectively, as a result of early exercise of stock options not yet vested.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As of March 31, 2021 and December 31, 2020, the Company reserved shares of common stock for issuance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76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w:t>
            </w:r>
          </w:p>
        </w:tc>
        <w:tc>
          <w:tcPr>
            <w:tcW w:w="164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balance for Sales Agreement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14,190,300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options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11,300,905</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10,017,918</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 available for grant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6,726,717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6,186,497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ESPP shares available for purchase</w:t>
            </w:r>
          </w:p>
        </w:tc>
        <w:tc>
          <w:tcPr>
            <w:tcW w:w="1640" w:type="dxa"/>
            <w:vAlign w:val="bottom"/>
          </w:tcPr>
          <w:p>
            <w:pPr>
              <w:jc w:val="right"/>
              <w:spacing w:after="0"/>
              <w:rPr>
                <w:sz w:val="20"/>
                <w:szCs w:val="20"/>
                <w:color w:val="auto"/>
              </w:rPr>
            </w:pPr>
            <w:r>
              <w:rPr>
                <w:rFonts w:ascii="Arial" w:cs="Arial" w:eastAsia="Arial" w:hAnsi="Arial"/>
                <w:sz w:val="18"/>
                <w:szCs w:val="18"/>
                <w:color w:val="auto"/>
              </w:rPr>
              <w:t>700,074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700,074</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Matching Plan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21,930</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32,939,926</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31,116,719</w:t>
            </w:r>
          </w:p>
        </w:tc>
      </w:tr>
      <w:tr>
        <w:trPr>
          <w:trHeight w:val="21"/>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March 31, 2021, $127.4 million of the Company’s common stock remained available to be sold under the Sales Agreement, subject to conditions specified in the Sales Agreement.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2018, the Company adopted the 2018 Equity Incentive Plan, or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condensed consolidated balance sheets and will be reclassified into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167" w:lineRule="exact"/>
        <w:rPr>
          <w:sz w:val="20"/>
          <w:szCs w:val="20"/>
          <w:color w:val="auto"/>
        </w:rPr>
      </w:pPr>
    </w:p>
    <w:p>
      <w:pPr>
        <w:ind w:left="5860"/>
        <w:spacing w:after="0"/>
        <w:rPr>
          <w:sz w:val="20"/>
          <w:szCs w:val="20"/>
          <w:color w:val="auto"/>
        </w:rPr>
      </w:pPr>
      <w:r>
        <w:rPr>
          <w:rFonts w:ascii="Arial" w:cs="Arial" w:eastAsia="Arial" w:hAnsi="Arial"/>
          <w:sz w:val="16"/>
          <w:szCs w:val="16"/>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23495</wp:posOffset>
            </wp:positionV>
            <wp:extent cx="18859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Weighted</w:t>
      </w:r>
    </w:p>
    <w:p>
      <w:pPr>
        <w:jc w:val="right"/>
        <w:ind w:right="60"/>
        <w:spacing w:after="0" w:line="211" w:lineRule="auto"/>
        <w:rPr>
          <w:sz w:val="20"/>
          <w:szCs w:val="20"/>
          <w:color w:val="auto"/>
        </w:rPr>
      </w:pPr>
      <w:r>
        <w:rPr>
          <w:rFonts w:ascii="Arial" w:cs="Arial" w:eastAsia="Arial" w:hAnsi="Arial"/>
          <w:sz w:val="16"/>
          <w:szCs w:val="16"/>
          <w:b w:val="1"/>
          <w:bCs w:val="1"/>
          <w:color w:val="auto"/>
        </w:rPr>
        <w:t>Average</w:t>
      </w:r>
    </w:p>
    <w:p>
      <w:pPr>
        <w:jc w:val="right"/>
        <w:ind w:right="40"/>
        <w:spacing w:after="0" w:line="211" w:lineRule="auto"/>
        <w:tabs>
          <w:tab w:leader="none" w:pos="680" w:val="left"/>
        </w:tabs>
        <w:rPr>
          <w:sz w:val="20"/>
          <w:szCs w:val="20"/>
          <w:color w:val="auto"/>
        </w:rPr>
      </w:pPr>
      <w:r>
        <w:rPr>
          <w:rFonts w:ascii="Arial" w:cs="Arial" w:eastAsia="Arial" w:hAnsi="Arial"/>
          <w:sz w:val="16"/>
          <w:szCs w:val="16"/>
          <w:b w:val="1"/>
          <w:bCs w:val="1"/>
          <w:color w:val="auto"/>
        </w:rPr>
        <w:t>Number of</w:t>
      </w:r>
      <w:r>
        <w:rPr>
          <w:sz w:val="20"/>
          <w:szCs w:val="20"/>
          <w:color w:val="auto"/>
        </w:rPr>
        <w:tab/>
      </w:r>
      <w:r>
        <w:rPr>
          <w:rFonts w:ascii="Arial" w:cs="Arial" w:eastAsia="Arial" w:hAnsi="Arial"/>
          <w:sz w:val="16"/>
          <w:szCs w:val="16"/>
          <w:b w:val="1"/>
          <w:bCs w:val="1"/>
          <w:color w:val="auto"/>
        </w:rPr>
        <w:t>Exercise</w:t>
      </w:r>
    </w:p>
    <w:p>
      <w:pPr>
        <w:ind w:left="5580"/>
        <w:spacing w:after="0"/>
        <w:tabs>
          <w:tab w:leader="none" w:pos="7220" w:val="left"/>
        </w:tabs>
        <w:rPr>
          <w:sz w:val="20"/>
          <w:szCs w:val="20"/>
          <w:color w:val="auto"/>
        </w:rPr>
      </w:pPr>
      <w:r>
        <w:rPr>
          <w:rFonts w:ascii="Arial" w:cs="Arial" w:eastAsia="Arial" w:hAnsi="Arial"/>
          <w:sz w:val="16"/>
          <w:szCs w:val="16"/>
          <w:b w:val="1"/>
          <w:bCs w:val="1"/>
          <w:color w:val="auto"/>
        </w:rPr>
        <w:t>Options</w:t>
      </w:r>
      <w:r>
        <w:rPr>
          <w:sz w:val="20"/>
          <w:szCs w:val="20"/>
          <w:color w:val="auto"/>
        </w:rPr>
        <w:tab/>
      </w:r>
      <w:r>
        <w:rPr>
          <w:rFonts w:ascii="Arial" w:cs="Arial" w:eastAsia="Arial" w:hAnsi="Arial"/>
          <w:sz w:val="16"/>
          <w:szCs w:val="16"/>
          <w:b w:val="1"/>
          <w:bCs w:val="1"/>
          <w:color w:val="auto"/>
        </w:rPr>
        <w:t>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Weighted</w:t>
            </w:r>
          </w:p>
        </w:tc>
        <w:tc>
          <w:tcPr>
            <w:tcW w:w="134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8"/>
              </w:rPr>
              <w:t>Average</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Remaining</w:t>
            </w:r>
          </w:p>
        </w:tc>
        <w:tc>
          <w:tcPr>
            <w:tcW w:w="134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Contractual Life</w:t>
            </w:r>
          </w:p>
        </w:tc>
        <w:tc>
          <w:tcPr>
            <w:tcW w:w="1340" w:type="dxa"/>
            <w:vAlign w:val="bottom"/>
          </w:tcPr>
          <w:p>
            <w:pPr>
              <w:jc w:val="center"/>
              <w:ind w:left="79"/>
              <w:spacing w:after="0" w:line="162"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5"/>
        </w:trPr>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(In Years)</w:t>
            </w:r>
          </w:p>
        </w:tc>
        <w:tc>
          <w:tcPr>
            <w:tcW w:w="1340" w:type="dxa"/>
            <w:vAlign w:val="bottom"/>
          </w:tcPr>
          <w:p>
            <w:pPr>
              <w:jc w:val="center"/>
              <w:ind w:lef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800" w:space="560"/>
            <w:col w:w="2880"/>
          </w:cols>
          <w:pgMar w:left="320" w:top="1102" w:right="339" w:bottom="1440" w:gutter="0" w:footer="0" w:header="0"/>
        </w:sectPr>
      </w:pPr>
    </w:p>
    <w:tbl>
      <w:tblPr>
        <w:tblLayout w:type="fixed"/>
        <w:tblInd w:w="0" w:type="dxa"/>
        <w:tblCellMar>
          <w:top w:w="0" w:type="dxa"/>
          <w:left w:w="0" w:type="dxa"/>
          <w:bottom w:w="0" w:type="dxa"/>
          <w:right w:w="0" w:type="dxa"/>
        </w:tblCellMar>
      </w:tblPr>
      <w:tr>
        <w:trPr>
          <w:trHeight w:val="224"/>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10,017,918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198,097</w:t>
            </w:r>
          </w:p>
        </w:tc>
      </w:tr>
      <w:tr>
        <w:trPr>
          <w:trHeight w:val="229"/>
        </w:trPr>
        <w:tc>
          <w:tcPr>
            <w:tcW w:w="518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2,341,750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11,300,905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March 31, 2021</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11,044,810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15.05</w:t>
            </w: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7.28</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160,638</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9,232,405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162,108</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2021 and 2020 was $19.83 and $9.73 per share, respectively. The intrinsic value of stock options exercised was $22.3 million and $12.8 million for the three months ended March 31, 2021 and 2020, respectively. Due to the Company’s net operating losses, the Company did not realize any tax benefits from stock-based payment arrangements for the three months ended March 31,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Employee and director stock-based compensation expense for the three months ended March 31, 2021 and 2020 was calculated based on awards ultimately expected to vest and has been reduced for estimated forfeitures. The following table summarizes stock-based compensation expense related to stock-based payment awards previously granted to employees and directors and the Company’s ESPP for the three months ended March 31, 2021 and 2020, which was allocated as follows (in thousands):</w:t>
      </w:r>
    </w:p>
    <w:p>
      <w:pPr>
        <w:spacing w:after="0" w:line="11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3,504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3,011</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6,515</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Stock-based compensation expense related to stock-based payment awards to non-employees for the three months ended March 31, 2021 and 2020 was $67,000 and $28,000,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March 31, 2021, 299,926 shares of common stock had been purchased under the ESPP.</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8. Income Taxes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2021. Additionally, the Company’s net deferred tax assets have been fully offset by a valuation allowance. Therefore, the Company did not record a tax provision for income taxes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condensed consolidated financial statements and notes to the condensed consolidated financial statements included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“believe,” “continue,” “could,” “estimate,” “expect,” “intend,” “may,” “plan,” “potentially,” “predict,” “should,” “will” or the negative of these terms or other similar expressions.</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biopharmaceutical company focused on discovering and developing novel therapeutics based on scientific understanding of key biological pathways underlying liver and metabolic diseases, retinal diseases and cancer. These diseases represent a significant burden for patients and healthcare systems and, in some cases, are leading causes of morbidity and mortality. Our strategy is to leverage a combination of interrogating human biology and engineering powerful biologics to discover and develop promising product candidates and seek to move them rapidly into proof-of-concept studies and late-stage development, with the goal of delivering impactful first-in-class or best-in-class treatments to underserved patients suffering from grievous diseases. Since the commencement of our operations in 2008, we have generated a robust portfolio of product candidates ranging from early discovery to late-stage development. We aspire to operate one of the most productive research and development engines in the biopharmaceutical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Programs and Operations Updates</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discovery engine supports our ability to advance multiple product candidates across our three key therapeutic areas. We currently have five ongoing Phase 2 and Phase 2b programs. In 2021 to date, we have continued to progress the development of our leading product candidates as described below:</w:t>
      </w:r>
    </w:p>
    <w:p>
      <w:pPr>
        <w:spacing w:after="0" w:line="20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Liver and metabolic diseases.</w:t>
      </w:r>
    </w:p>
    <w:p>
      <w:pPr>
        <w:spacing w:after="0" w:line="31" w:lineRule="exact"/>
        <w:rPr>
          <w:rFonts w:ascii="Arial" w:cs="Arial" w:eastAsia="Arial" w:hAnsi="Arial"/>
          <w:sz w:val="18"/>
          <w:szCs w:val="18"/>
          <w:b w:val="1"/>
          <w:bCs w:val="1"/>
          <w:color w:val="auto"/>
        </w:rPr>
      </w:pPr>
    </w:p>
    <w:p>
      <w:pPr>
        <w:jc w:val="both"/>
        <w:ind w:left="1300" w:hanging="320"/>
        <w:spacing w:after="0" w:line="254" w:lineRule="auto"/>
        <w:tabs>
          <w:tab w:leader="none" w:pos="135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Aldafermin. </w:t>
      </w:r>
      <w:r>
        <w:rPr>
          <w:rFonts w:ascii="Arial" w:cs="Arial" w:eastAsia="Arial" w:hAnsi="Arial"/>
          <w:sz w:val="18"/>
          <w:szCs w:val="18"/>
          <w:color w:val="auto"/>
        </w:rPr>
        <w:t>Aldafermin is an engineered analog of human hormone fibroblast growth factor 19, or FGF19,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through a once-daily subcutaneous injection. Aldafermin is wholly-owned by us and is in Phase 2b development for the treatment of patients with non-alcoholic steatohepatitis, or NASH, with liver fibrosis stage 2, 3 or 4, or F2, F3 or F4. To date in 2021, we:</w:t>
      </w:r>
    </w:p>
    <w:p>
      <w:pPr>
        <w:spacing w:after="0" w:line="95" w:lineRule="exact"/>
        <w:rPr>
          <w:rFonts w:ascii="Arial" w:cs="Arial" w:eastAsia="Arial" w:hAnsi="Arial"/>
          <w:sz w:val="18"/>
          <w:szCs w:val="18"/>
          <w:b w:val="1"/>
          <w:bCs w:val="1"/>
          <w:color w:val="auto"/>
        </w:rPr>
      </w:pPr>
    </w:p>
    <w:p>
      <w:pPr>
        <w:ind w:left="1960" w:hanging="332"/>
        <w:spacing w:after="0" w:line="261" w:lineRule="auto"/>
        <w:tabs>
          <w:tab w:leader="none" w:pos="1956" w:val="left"/>
        </w:tabs>
        <w:numPr>
          <w:ilvl w:val="2"/>
          <w:numId w:val="4"/>
        </w:numPr>
        <w:rPr>
          <w:rFonts w:ascii="Arial" w:cs="Arial" w:eastAsia="Arial" w:hAnsi="Arial"/>
          <w:sz w:val="18"/>
          <w:szCs w:val="18"/>
          <w:color w:val="auto"/>
        </w:rPr>
      </w:pPr>
      <w:r>
        <w:rPr>
          <w:rFonts w:ascii="Arial" w:cs="Arial" w:eastAsia="Arial" w:hAnsi="Arial"/>
          <w:sz w:val="18"/>
          <w:szCs w:val="18"/>
          <w:color w:val="auto"/>
        </w:rPr>
        <w:t>completed treatment of patients in our Phase 2b ALPINE 2/3 clinical trial of aldafermin in patients with NASH with F2 and F3 liver fibrosis and</w:t>
      </w:r>
    </w:p>
    <w:p>
      <w:pPr>
        <w:spacing w:after="0" w:line="89" w:lineRule="exact"/>
        <w:rPr>
          <w:rFonts w:ascii="Arial" w:cs="Arial" w:eastAsia="Arial" w:hAnsi="Arial"/>
          <w:sz w:val="18"/>
          <w:szCs w:val="18"/>
          <w:color w:val="auto"/>
        </w:rPr>
      </w:pPr>
    </w:p>
    <w:p>
      <w:pPr>
        <w:jc w:val="both"/>
        <w:ind w:left="1960" w:hanging="332"/>
        <w:spacing w:after="0" w:line="256" w:lineRule="auto"/>
        <w:tabs>
          <w:tab w:leader="none" w:pos="1956" w:val="left"/>
        </w:tabs>
        <w:numPr>
          <w:ilvl w:val="2"/>
          <w:numId w:val="4"/>
        </w:numPr>
        <w:rPr>
          <w:rFonts w:ascii="Arial" w:cs="Arial" w:eastAsia="Arial" w:hAnsi="Arial"/>
          <w:sz w:val="18"/>
          <w:szCs w:val="18"/>
          <w:color w:val="auto"/>
        </w:rPr>
      </w:pPr>
      <w:r>
        <w:rPr>
          <w:rFonts w:ascii="Arial" w:cs="Arial" w:eastAsia="Arial" w:hAnsi="Arial"/>
          <w:sz w:val="18"/>
          <w:szCs w:val="18"/>
          <w:color w:val="auto"/>
        </w:rPr>
        <w:t>continued enrollment in our Phase 2b ALPINE 4 clinical trial of aldafermin in patients with NASH with F4 liver fibrosis and compensated cirrhosis, with a goal of enrolling approximately 160 patients across 70 sites in the United States, Europe, Hong Kong and Australia.</w:t>
      </w:r>
    </w:p>
    <w:p>
      <w:pPr>
        <w:spacing w:after="0" w:line="71" w:lineRule="exact"/>
        <w:rPr>
          <w:rFonts w:ascii="Arial" w:cs="Arial" w:eastAsia="Arial" w:hAnsi="Arial"/>
          <w:sz w:val="18"/>
          <w:szCs w:val="18"/>
          <w:color w:val="auto"/>
        </w:rPr>
      </w:pPr>
    </w:p>
    <w:p>
      <w:pPr>
        <w:jc w:val="both"/>
        <w:ind w:left="1960" w:hanging="332"/>
        <w:spacing w:after="0" w:line="262" w:lineRule="auto"/>
        <w:tabs>
          <w:tab w:leader="none" w:pos="1956" w:val="left"/>
        </w:tabs>
        <w:numPr>
          <w:ilvl w:val="2"/>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report topline results from the ALPINE 2/3 trial in the second quarter of 2021.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leveraging the results of our completed clinical trials of aldafermin, as well as guidance from the U.S. Food and Drug Administration, or FDA, to support our design of a pivotal clinical trial program to enable a potential biologics license application, or BLA, submission.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5" w:name="page26"/>
    <w:bookmarkEnd w:id="25"/>
    <w:p>
      <w:pPr>
        <w:jc w:val="both"/>
        <w:ind w:left="968" w:hanging="320"/>
        <w:spacing w:after="0" w:line="259"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factor receptor 1c-beta-klotho, or FGFR1c/KLB, which regulates insulin sensitivity, blood glucose and liver fat and is administered every four weeks through a subcutaneous injection. MK-3655 is in Phase 2b development for the treatment of NASH and was optioned by Merck Sharp &amp; Dohme Corp., or Merck, under our collaboration with Merck described below. To date in 2021, Merck:</w:t>
      </w:r>
    </w:p>
    <w:p>
      <w:pPr>
        <w:spacing w:after="0" w:line="93" w:lineRule="exact"/>
        <w:rPr>
          <w:rFonts w:ascii="Arial" w:cs="Arial" w:eastAsia="Arial" w:hAnsi="Arial"/>
          <w:sz w:val="18"/>
          <w:szCs w:val="18"/>
          <w:color w:val="auto"/>
        </w:rPr>
      </w:pPr>
    </w:p>
    <w:p>
      <w:pPr>
        <w:ind w:left="1628" w:right="20" w:hanging="332"/>
        <w:spacing w:after="0" w:line="261" w:lineRule="auto"/>
        <w:tabs>
          <w:tab w:leader="none" w:pos="1624" w:val="left"/>
        </w:tabs>
        <w:numPr>
          <w:ilvl w:val="2"/>
          <w:numId w:val="5"/>
        </w:numPr>
        <w:rPr>
          <w:rFonts w:ascii="Arial" w:cs="Arial" w:eastAsia="Arial" w:hAnsi="Arial"/>
          <w:sz w:val="18"/>
          <w:szCs w:val="18"/>
          <w:color w:val="auto"/>
        </w:rPr>
      </w:pPr>
      <w:r>
        <w:rPr>
          <w:rFonts w:ascii="Arial" w:cs="Arial" w:eastAsia="Arial" w:hAnsi="Arial"/>
          <w:sz w:val="18"/>
          <w:szCs w:val="18"/>
          <w:color w:val="auto"/>
        </w:rPr>
        <w:t>continued the worldwide 52-week randomized, double-blind Phase 2b trial of MK-3655 in patients with NASH with F2 or F3 liver fibrosis that it initiated in the fourth quarter of 2020.</w:t>
      </w:r>
    </w:p>
    <w:p>
      <w:pPr>
        <w:spacing w:after="0" w:line="67"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Retinal diseases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968" w:hanging="320"/>
        <w:spacing w:after="0" w:line="262" w:lineRule="auto"/>
        <w:tabs>
          <w:tab w:leader="none" w:pos="978"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inhibit the activity of complement C3 with the treatment goal of reducing disease progression in patients with geographic atrophy, or GA. Merck has a one-time option to license NGM621 upon completion of a proof-of-concept study in humans. To date in 2021, we:</w:t>
      </w:r>
    </w:p>
    <w:p>
      <w:pPr>
        <w:spacing w:after="0" w:line="90" w:lineRule="exact"/>
        <w:rPr>
          <w:rFonts w:ascii="Arial" w:cs="Arial" w:eastAsia="Arial" w:hAnsi="Arial"/>
          <w:sz w:val="18"/>
          <w:szCs w:val="18"/>
          <w:color w:val="auto"/>
        </w:rPr>
      </w:pPr>
    </w:p>
    <w:p>
      <w:pPr>
        <w:jc w:val="both"/>
        <w:ind w:left="1628" w:hanging="332"/>
        <w:spacing w:after="0" w:line="256" w:lineRule="auto"/>
        <w:tabs>
          <w:tab w:leader="none" w:pos="1624" w:val="left"/>
        </w:tabs>
        <w:numPr>
          <w:ilvl w:val="2"/>
          <w:numId w:val="5"/>
        </w:numPr>
        <w:rPr>
          <w:rFonts w:ascii="Arial" w:cs="Arial" w:eastAsia="Arial" w:hAnsi="Arial"/>
          <w:sz w:val="18"/>
          <w:szCs w:val="18"/>
          <w:color w:val="auto"/>
        </w:rPr>
      </w:pPr>
      <w:r>
        <w:rPr>
          <w:rFonts w:ascii="Arial" w:cs="Arial" w:eastAsia="Arial" w:hAnsi="Arial"/>
          <w:sz w:val="18"/>
          <w:szCs w:val="18"/>
          <w:color w:val="auto"/>
        </w:rPr>
        <w:t>continued enrollment in the Phase 2 CATALINA clinical trial of NGM621 in patients with GA to evaluate NGM621’s effects on disease progression when given every four weeks or every eight weeks. The CATALINA trial was designed to be a Phase 3-supportive or -enabling clinical trial.</w:t>
      </w:r>
    </w:p>
    <w:p>
      <w:pPr>
        <w:spacing w:after="0" w:line="71" w:lineRule="exact"/>
        <w:rPr>
          <w:rFonts w:ascii="Arial" w:cs="Arial" w:eastAsia="Arial" w:hAnsi="Arial"/>
          <w:sz w:val="18"/>
          <w:szCs w:val="18"/>
          <w:color w:val="auto"/>
        </w:rPr>
      </w:pPr>
    </w:p>
    <w:p>
      <w:pPr>
        <w:ind w:left="1628" w:hanging="332"/>
        <w:spacing w:after="0" w:line="287" w:lineRule="auto"/>
        <w:tabs>
          <w:tab w:leader="none" w:pos="1638"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Subject to any future impact of the COVID-19 pandemic on enrollment, we expect to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enrollment in the CATALINA trial in mid-2021.</w:t>
      </w:r>
    </w:p>
    <w:p>
      <w:pPr>
        <w:spacing w:after="0" w:line="44"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968" w:hanging="320"/>
        <w:spacing w:after="0" w:line="259"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is an antagonistic antibody that binds glial cell-derived neurotrophic factor receptor alpha-like, or GFRAL,</w:t>
      </w:r>
      <w:r>
        <w:rPr>
          <w:rFonts w:ascii="Arial" w:cs="Arial" w:eastAsia="Arial" w:hAnsi="Arial"/>
          <w:sz w:val="18"/>
          <w:szCs w:val="18"/>
          <w:b w:val="1"/>
          <w:bCs w:val="1"/>
          <w:color w:val="auto"/>
        </w:rPr>
        <w:t xml:space="preserve"> </w:t>
      </w:r>
      <w:r>
        <w:rPr>
          <w:rFonts w:ascii="Arial" w:cs="Arial" w:eastAsia="Arial" w:hAnsi="Arial"/>
          <w:sz w:val="18"/>
          <w:szCs w:val="18"/>
          <w:color w:val="auto"/>
        </w:rPr>
        <w:t>and inhibits growth differentiation factor 15, or GDF15, signaling, for the potential treatment of cancer and cancer-related cachexia. We are currently conducting clinical trials to assess NGM120’s effect on cancer-related cachexia and on cancer in patients with select advanced solid tumors and metastatic pancreatic cancer. Merck has a one-time option to license NGM120 upon completion of a proof-of-concept study in humans. To date in 2021, we:</w:t>
      </w:r>
    </w:p>
    <w:p>
      <w:pPr>
        <w:spacing w:after="0" w:line="93" w:lineRule="exact"/>
        <w:rPr>
          <w:rFonts w:ascii="Arial" w:cs="Arial" w:eastAsia="Arial" w:hAnsi="Arial"/>
          <w:sz w:val="18"/>
          <w:szCs w:val="18"/>
          <w:color w:val="auto"/>
        </w:rPr>
      </w:pPr>
    </w:p>
    <w:p>
      <w:pPr>
        <w:jc w:val="both"/>
        <w:ind w:left="1628" w:hanging="332"/>
        <w:spacing w:after="0" w:line="254" w:lineRule="auto"/>
        <w:tabs>
          <w:tab w:leader="none" w:pos="1624" w:val="left"/>
        </w:tabs>
        <w:numPr>
          <w:ilvl w:val="2"/>
          <w:numId w:val="5"/>
        </w:numPr>
        <w:rPr>
          <w:rFonts w:ascii="Arial" w:cs="Arial" w:eastAsia="Arial" w:hAnsi="Arial"/>
          <w:sz w:val="18"/>
          <w:szCs w:val="18"/>
          <w:color w:val="auto"/>
        </w:rPr>
      </w:pPr>
      <w:r>
        <w:rPr>
          <w:rFonts w:ascii="Arial" w:cs="Arial" w:eastAsia="Arial" w:hAnsi="Arial"/>
          <w:sz w:val="18"/>
          <w:szCs w:val="18"/>
          <w:color w:val="auto"/>
        </w:rPr>
        <w:t>initiated a Phase 2 placebo-controlled component of the ongoing Phase 1/2 clinical trial of NGM120 described below. This portion of the trial is testing NGM120 in combination with gemcitabine and Abraxane® (paclitaxel protein bound) as first-line treatment in patients with metastatic pancreatic cancer to assess NGM120’s effect on both cancer and cancer-related cachexia.</w:t>
      </w:r>
    </w:p>
    <w:p>
      <w:pPr>
        <w:spacing w:after="0" w:line="73" w:lineRule="exact"/>
        <w:rPr>
          <w:rFonts w:ascii="Arial" w:cs="Arial" w:eastAsia="Arial" w:hAnsi="Arial"/>
          <w:sz w:val="18"/>
          <w:szCs w:val="18"/>
          <w:color w:val="auto"/>
        </w:rPr>
      </w:pPr>
    </w:p>
    <w:p>
      <w:pPr>
        <w:ind w:left="1648" w:hanging="352"/>
        <w:spacing w:after="0"/>
        <w:tabs>
          <w:tab w:leader="none" w:pos="1648"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In the second half of 2021, we expect to report interim data from two Phase 1 dose-finding</w:t>
      </w:r>
    </w:p>
    <w:p>
      <w:pPr>
        <w:spacing w:after="0" w:line="31" w:lineRule="exact"/>
        <w:rPr>
          <w:rFonts w:ascii="Arial" w:cs="Arial" w:eastAsia="Arial" w:hAnsi="Arial"/>
          <w:sz w:val="18"/>
          <w:szCs w:val="18"/>
          <w:color w:val="auto"/>
        </w:rPr>
      </w:pPr>
    </w:p>
    <w:p>
      <w:pPr>
        <w:jc w:val="both"/>
        <w:ind w:left="1628" w:right="20"/>
        <w:spacing w:after="0" w:line="256" w:lineRule="auto"/>
        <w:rPr>
          <w:rFonts w:ascii="Arial" w:cs="Arial" w:eastAsia="Arial" w:hAnsi="Arial"/>
          <w:sz w:val="18"/>
          <w:szCs w:val="18"/>
          <w:color w:val="auto"/>
        </w:rPr>
      </w:pPr>
      <w:r>
        <w:rPr>
          <w:rFonts w:ascii="Arial" w:cs="Arial" w:eastAsia="Arial" w:hAnsi="Arial"/>
          <w:sz w:val="18"/>
          <w:szCs w:val="18"/>
          <w:color w:val="auto"/>
        </w:rPr>
        <w:t>cohorts of the ongoing Phase 1/2 trial of NGM120: a Phase 1a cohort evaluating NGM120 as a monotherapy in patients with select advanced solid tumors and a Phase 1b cohort evaluating NGM120 in combination with gemcitabine and Abraxane in patients with metastatic pancreatic cancer.</w:t>
      </w:r>
    </w:p>
    <w:p>
      <w:pPr>
        <w:spacing w:after="0" w:line="71" w:lineRule="exact"/>
        <w:rPr>
          <w:rFonts w:ascii="Arial" w:cs="Arial" w:eastAsia="Arial" w:hAnsi="Arial"/>
          <w:sz w:val="18"/>
          <w:szCs w:val="18"/>
          <w:color w:val="auto"/>
        </w:rPr>
      </w:pPr>
    </w:p>
    <w:p>
      <w:pPr>
        <w:jc w:val="both"/>
        <w:ind w:left="968" w:hanging="320"/>
        <w:spacing w:after="0" w:line="259" w:lineRule="auto"/>
        <w:tabs>
          <w:tab w:leader="none" w:pos="991"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 is a dual antagonist monoclonal antibody that inhibits Immunoglobulin-like transcript 2, or ILT2 (also</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LILRB1), and Immunoglobulin-like transcript 4, or ILT4 (also known as LILRB2). ILT2 and ILT4 are key myeloid and lymphoid checkpoints that may restrict anti-tumor immunity, enable tumors to evade immune detection and contribute to T-cell checkpoint resistance. Merck has a one-time option to license NGM707 upon completion of a proof-of-concept study in humans.</w:t>
      </w:r>
    </w:p>
    <w:p>
      <w:pPr>
        <w:spacing w:after="0" w:line="71" w:lineRule="exact"/>
        <w:rPr>
          <w:rFonts w:ascii="Arial" w:cs="Arial" w:eastAsia="Arial" w:hAnsi="Arial"/>
          <w:sz w:val="18"/>
          <w:szCs w:val="18"/>
          <w:color w:val="auto"/>
        </w:rPr>
      </w:pPr>
    </w:p>
    <w:p>
      <w:pPr>
        <w:ind w:left="1628" w:hanging="332"/>
        <w:spacing w:after="0" w:line="287" w:lineRule="auto"/>
        <w:tabs>
          <w:tab w:leader="none" w:pos="1651" w:val="left"/>
        </w:tabs>
        <w:numPr>
          <w:ilvl w:val="2"/>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commence a first-in-human Phase 1 clinical trial of NGM707 in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solid tumors in mid-2021.</w:t>
      </w:r>
    </w:p>
    <w:p>
      <w:pPr>
        <w:spacing w:after="0" w:line="44" w:lineRule="exact"/>
        <w:rPr>
          <w:rFonts w:ascii="Arial" w:cs="Arial" w:eastAsia="Arial" w:hAnsi="Arial"/>
          <w:sz w:val="18"/>
          <w:szCs w:val="18"/>
          <w:color w:val="auto"/>
        </w:rPr>
      </w:pPr>
    </w:p>
    <w:p>
      <w:pPr>
        <w:jc w:val="both"/>
        <w:ind w:left="968" w:hanging="320"/>
        <w:spacing w:after="0" w:line="268"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antagonistic antibody that is designed to inhibit leukocyte-associated immunoglobulin-like 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1, or LAIR1, and promote immune detection and activation against advanced solid tumors. Merck has a one-time option to license NGM438 upon completion of a proof-of-concept study in humans. In 2021, we:</w:t>
      </w:r>
    </w:p>
    <w:p>
      <w:pPr>
        <w:spacing w:after="0" w:line="84" w:lineRule="exact"/>
        <w:rPr>
          <w:rFonts w:ascii="Arial" w:cs="Arial" w:eastAsia="Arial" w:hAnsi="Arial"/>
          <w:sz w:val="18"/>
          <w:szCs w:val="18"/>
          <w:color w:val="auto"/>
        </w:rPr>
      </w:pPr>
    </w:p>
    <w:p>
      <w:pPr>
        <w:ind w:left="1628" w:hanging="332"/>
        <w:spacing w:after="0" w:line="261" w:lineRule="auto"/>
        <w:tabs>
          <w:tab w:leader="none" w:pos="1624" w:val="left"/>
        </w:tabs>
        <w:numPr>
          <w:ilvl w:val="2"/>
          <w:numId w:val="5"/>
        </w:numPr>
        <w:rPr>
          <w:rFonts w:ascii="Arial" w:cs="Arial" w:eastAsia="Arial" w:hAnsi="Arial"/>
          <w:sz w:val="18"/>
          <w:szCs w:val="18"/>
          <w:color w:val="auto"/>
        </w:rPr>
      </w:pPr>
      <w:r>
        <w:rPr>
          <w:rFonts w:ascii="Arial" w:cs="Arial" w:eastAsia="Arial" w:hAnsi="Arial"/>
          <w:sz w:val="18"/>
          <w:szCs w:val="18"/>
          <w:color w:val="auto"/>
        </w:rPr>
        <w:t>advanced the preparation of an investigational new drug, or IND, application for a planned submission in the second half of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94" w:right="339" w:bottom="1440" w:gutter="0" w:footer="0" w:header="0"/>
        </w:sectPr>
      </w:pPr>
    </w:p>
    <w:bookmarkStart w:id="26" w:name="page27"/>
    <w:bookmarkEnd w:id="26"/>
    <w:p>
      <w:pPr>
        <w:ind w:left="1960" w:right="20" w:hanging="332"/>
        <w:spacing w:after="0" w:line="287" w:lineRule="auto"/>
        <w:tabs>
          <w:tab w:leader="none" w:pos="1983"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commence a first-in-human Phase 1 clinical trial of NGM438 in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solid tumors in the fourth quarter of 2021.</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have additional undisclosed programs that are in various stages of development ranging from functional validation to preclinical development.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regulatory matters, third-party payor matters and commercial viability. We do not have any products approved for sale and do not anticipate generating revenue from product sales for the foreseeable future, if ever.</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Partnering has been and is expected to continue to be a key component of our strategy as we plan to continue to develop a broad portfolio of product candidates and, if approved, to commercialize the resulting products. Our existing research collaboration, product development and license agreement with Merck, or the Collaboration Agreement, which we entered into in 2015, has to date provided us with substantial financial support from Merck. The collaboration has also afforded us substantial freedom to pursue development efforts for our collaboration programs and product candidates. We are currently in discussions with Merck with respect to modifying certain terms of the collaboration, as described in more detail below. In addition, for any programs wholly-owned by us and not subject to the Merck collaboration, such as aldafermin, we may decide to pursue a strategic partner to progress, in whole or in part, the program or commercialize any resulting approved product.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all of our manufacturing activities are outsourced to third-party contract development and manufacturing organizations or third-party contract manufacturing organizations, which we refer to collectively as CMOs, who are generally single 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resources are focused, and will continue to be focused, on activities required to prepare aldafermin for potential regulatory approval for the treatment of NASH, including manufacturing of clinical trial materials and preparation for potential Phase 3 testing. If our CROs fail to satisfy their contractual duties to us or meet expected deadlines or if our CMOs experience difficulties in scaling production or procuring raw materials or components or experience product loss due to contamination, equipment failure, improper installation or operation of equipment, vendor or operator error, turnover of qualified staff or improper storage conditions, our ongoing and planned aldafermin trials would be delayed, perhaps substantially, which could materially and adversely affect our business.</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the suspension of development activities on multiple viable product candidates for portfolio management reasons in order to concentrate our resources on what we consider our most promising product candidates. For example, in 2020, we suspended development activities related to multiple metabolic disease product candidates in order to concentrate our resources on aldafermin and certain other product candidates subject to our Merck collaboration.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Merck Collaboration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original research phase of our existing research collaboration, product development and license agreement with Merck, or the Collaboration Agreement, was for five years. In March 2019, Merck exercised its option to extend the research phase of the collaboration through March 16, 2022. Under the terms of the collaboration, Merck was required to notify us no later than March 17, 2021 of its unilateral decision whether to exercise its option to extend the research phase of the collaboration for an additional two-year term through March 16, 2024. In March 2021, Merck initiated discussions with us with respect to elements of the ongoing collaboration that might be optimized to better address the evolving interests and priorities of both NGM and Merck during the remainder of the current research phase through March 16, 2022 and during any extension of the current research phase and any tail period after the end of the research phase. In this regard, the parties continue to negotiate potential modifications to the terms of the collaboration. Such modifications may include, among other things, focusing NGM’s research and development under the collaboration on therapeutic areas of particular interest to Merck, while enabling NGM to conduct research and development outside of these therapeutic areas, which would, if mutually agreed to, allow NGM to discover and develop product candidates on its own or with third parties in other areas of interest. In order to allow negotiations to proceed, the parties agreed to extend the March 17, 2021 deadline for Merck to deliver its extension notification decision until June 30, 2021. While we do not know whether or when Merck will elect to extend the research phase of the collaboration or on what terms, or whether or when we will reach agreement with Merck on the terms of a modified collaboration, we expect that any modified collaboration would result in a level of annual research support from Merck during any extension of the current research phase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7" w:name="page28"/>
    <w:bookmarkEnd w:id="27"/>
    <w:p>
      <w:pPr>
        <w:jc w:val="both"/>
        <w:spacing w:after="0" w:line="252" w:lineRule="auto"/>
        <w:rPr>
          <w:sz w:val="20"/>
          <w:szCs w:val="20"/>
          <w:color w:val="auto"/>
        </w:rPr>
      </w:pPr>
      <w:r>
        <w:rPr>
          <w:rFonts w:ascii="Arial" w:cs="Arial" w:eastAsia="Arial" w:hAnsi="Arial"/>
          <w:sz w:val="18"/>
          <w:szCs w:val="18"/>
          <w:color w:val="auto"/>
        </w:rPr>
        <w:t>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research phase. In any event, we expect that following March 16, 2022, the end of the current two-year extension of the research phase, funding from Merck will substantially decrease and our funding for the development of our current and potential future product candidates will substantially increase regardless of whether we are able to reach agreement with Merck on modified terms.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117" w:lineRule="exact"/>
        <w:rPr>
          <w:sz w:val="20"/>
          <w:szCs w:val="20"/>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received from collaboration partners, which since inception through March 31, 2021 includes reimbursement of research and development expenses of $423.7 million and upfront cash licensing fees of $123.0 million, primarily from Merck, and a payment of $20.0 million from Merck to license MK-3655 and related compounds;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proceeds from private placements of convertible preferred stock prior to our initial public offering, or IPO, including approximately $106.0 million of our Series E convertible preferred stock purchased by Merck;</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35"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proceeds of $21.9 million from sales of 809,700 shares of our common stock at an average price of $27.94 per share in December 2020 under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or Jefferies, in June 2020; and</w:t>
      </w:r>
    </w:p>
    <w:p>
      <w:pPr>
        <w:spacing w:after="0" w:line="54"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w:t>
      </w:r>
    </w:p>
    <w:p>
      <w:pPr>
        <w:spacing w:after="0" w:line="9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At March 31, 2021, we had $412.7 million in cash, cash equivalents and short-term marketable securities.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incurred net losses each year since our inception. As of March 31, 2021, we had an accumulated deficit of $326.2 million. Substantially all of our net losses have resulted from costs incurred in connection with our research and development, or R&amp;D, programs and general and administrative costs associated with our operations. Our net losses may fluctuate significantly from quarter to quarter and year to year, depending on the timing of our clinical trials and our expenses on other R&amp;D activities, and the amount of R&amp;D funding we receive from collaboration partners, including Merck. For further discussion of our financial position and future sources of funding, see “Liquidity and Capital Resources”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closely monitor the impact of the global COVID-19 pandemic on our business and have taken and continue to take proactive efforts designed to protect the health and safety of our patients, study investigators, clinical research staff and employees, while maintaining business continuity. Following guidance from federal, state and local authorities, we continue to operate with a substantially remote work model. Employees working on site continue to be primarily those individuals conducting essential in-person laboratory work and other business functions considered essential under COVID-19 regulations and guidance, and we are still encouraging all other individuals to work remotely where feasible. There have been relatively minor impacts on productivity overall, but future developments could more materially and adversely impact our productivity. In addition, in 2020 and early 2021, we experienced higher-than-normal employee turnover and an increased rate of hiring new employees. We cannot predict whether these trends will continue or be exacerbated, when we will be permitted to, and whether we will, return to a fully office-based working model or whether we will be required to adopt a more restrictive work model as the implications of the pandemic evolve.</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patients enrolled in our clinical trials, we continue to work closely with clinical trial investigators and site staff with the goal of continuing treatment in a manner designed to uphold trial integrity, while allowing some flexibility in the manner and timing of patient visits, and to observe government and institutional guidelines designed to safeguard the health and safety of patients, clinical trial investigators and site staff. We have experienced, from time to time, a slower pace of clinical trial site initiation and clinical trial enrollment than originally anticipated in certain of our clinical trials, including the ALPINE 4, CATALINA and NGM120 trials, and we experienced a higher dropout rate in our ALPINE 2/3 trial than we had anticipated based on our previous trials in patients with NASH. We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8"/>
          <w:szCs w:val="18"/>
          <w:color w:val="auto"/>
        </w:rPr>
        <w:t>believe this may be due to factors such as the vulnerability of our studied patient populations, clinical trial site suspensions, reallocation of medical resources and the challenges of working remotely due to shelter-in-place and similar government orders.</w:t>
      </w:r>
    </w:p>
    <w:p>
      <w:pPr>
        <w:spacing w:after="0" w:line="90"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We have been proactively working to mitigate these and other effects of the COVID-19 pandemic by monitoring site initiations, patient enrollment and patient study adherence to provide support to patients and trial staff, often on a case</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case and/or patient-by-patient basis. For example, we have implemented additional study policies and procedures designed to help protect trial participants from exposure to COVID-19 as a result of their trial participation, which include the use of telemedicine visits, remote monitoring of patients and clinical trial sites and other measures, as appropriate, designed to ensure that data from clinical trials that may be disrupted as result of the pandemic are collected pursuant to the study protocol and consistent with current Good Clinical Practices, with any material protocol deviation reviewed and approved by the clinical trial site Institutional Review Board. Most of our clinical trial sites, both within and outside of the United States, continue to screen patients in our clinical trials, and new patients are being enrolled when appropriate. While the COVID-19 pandemic has not yet resulted in a significant impact to our disclosed clinical development timelines and we believe the higher-than-planned enrollment we achieved in our ALPINE 2/3 trial has mitigated the effects of the increased dropout rate, as the pandemic continues, there may be continuing negative impacts on our ability to initiate new clinical trial sites, maintain enrollment of existing patients and enroll new patients, which may result in increased clinical trial costs and negatively impact our timelines and our ability to obtain regulatory approvals of our product candidates in a timely fashion, if at all.</w:t>
      </w:r>
    </w:p>
    <w:p>
      <w:pPr>
        <w:spacing w:after="0" w:line="1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institutional review boards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while we have not experienced any disruption to drug or related component supply for our ongoing clinical trials, we could experience disruptions to our supply chain and operations due to the continuing pandemic, and associated delays in the manufacturing and supply of drug substance and drug product for our clinical trials, which could adversely affect our ability to conduct ongoing and future clinical trials of our product candidates. For example, our aldafermin drug product CMO has advised us that it could be required under orders of the U.S. government to allocate manufacturing capacity to the manufacture or distribution of COVID-19 vaccines. If any of our CMOs become subject to acts or orders of U.S. or foreign government entities to allocate manufacturing capacity to the manufacture or distribution of COVID-19 vaccines or medical supplies needed to treat COVID-19 patients, this could also delay our clinical trials, perhaps substantially, particularly our ongoing and planned aldafermin trials, which could materially and adversely affect our business.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Finally, we cannot predict how the evolving effects of the COVID-19 pandemic may influence the future decisions of Merck to license any programs available to it under the Collaboration Agreement, to exercise its remaining option to extend the research phase of the collaboration beyond March 16, 2022 or to reach agreement with us on the terms of a modified collaboration, if any. For additional information about risks and uncertainties related to the COVID-19 pandemic that may impact our business, financial condition and results of operations, see the section titled “Risk Factors” in Part II, Item 1A of this Quarterly Report on Form 10-Q.</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revenue to date has been generated primarily from recognition of license fees and R&amp;D service funding pursuant to our Collaboration Agreement with Merck. Merck is also a significant stockholder and, as such, collaboration revenue from Merck is referred to as related party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entered into the Collaboration Agreement with Merck, covering the discovery, development and commercialization of novel therapies across a range of therapeutic areas, including a broad, multi-year drug discovery and early development program financially supported by Merck, but scientifically directed by us with input from Merck. Merck generally has a one-time right to exercise its option to an exclusive, worldwide license for any collaboration product candidate and related program when a human proof-of-concept trial is completed. In 2018, Merck exercised its option to license MK-3655, which is a potential treatment for NASH. Under the current terms of the Collaboration Agreement, for a program that Merck licenses, we retain an option, when a product candidate has advanced to Phase 3 clinical trials, to participate in up to 50% of the economic return from that product candidate if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18"/>
          <w:szCs w:val="18"/>
          <w:color w:val="auto"/>
        </w:rPr>
        <w:t>it becomes an approved medicine by agreeing to share up to 50% of the costs of future development. If we do not elect this option, we will instead receive milestone and royalty payments and we will not be required to share in development costs.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aldafermin program is not included in the Collaboration Agreement and it remains wholly-owned and controlled by us.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a more detailed description of the current terms of the Collaboration Agreement and the status of the collaboration, see “Our Collaboration with Merck” in Part I, Item 1A of our Annual Report on Form 10-K for the year ended December 31, 2020 and “Overview of Our Business — Status of Merck Collaboration” above. Since inception through March 31, 2021, Merck had paid us $518.5 million under the Collaboration Agreement. Due to the nature of our agreement with Merck and the timing of related revenue recognition, our revenue has fluctuated from period to period in the past and we expect that it will continue to fluctuate in future periods.</w:t>
      </w:r>
    </w:p>
    <w:p>
      <w:pPr>
        <w:spacing w:after="0" w:line="9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for the remainder of the current two-year extension period could have a material impact on revenue recognized (including the possible reversal of previously recognized revenue) at each reporting period.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related party revenue was as follows (in thousands):</w:t>
      </w:r>
    </w:p>
    <w:p>
      <w:pPr>
        <w:spacing w:after="0" w:line="11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6350</wp:posOffset>
            </wp:positionV>
            <wp:extent cx="19030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8720"/>
        <w:spacing w:after="0"/>
        <w:tabs>
          <w:tab w:leader="none" w:pos="102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8200" w:val="left"/>
          <w:tab w:leader="none" w:pos="9000" w:val="left"/>
          <w:tab w:leader="none" w:pos="9760" w:val="left"/>
          <w:tab w:leader="none" w:pos="10560" w:val="left"/>
        </w:tabs>
        <w:rPr>
          <w:sz w:val="20"/>
          <w:szCs w:val="20"/>
          <w:color w:val="auto"/>
        </w:rPr>
      </w:pPr>
      <w:r>
        <w:rPr>
          <w:rFonts w:ascii="Arial" w:cs="Arial" w:eastAsia="Arial" w:hAnsi="Arial"/>
          <w:sz w:val="18"/>
          <w:szCs w:val="18"/>
          <w:color w:val="auto"/>
        </w:rPr>
        <w:t>Related party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21,575</w:t>
        <w:tab/>
        <w:t>$</w:t>
      </w:r>
      <w:r>
        <w:rPr>
          <w:sz w:val="20"/>
          <w:szCs w:val="20"/>
          <w:color w:val="auto"/>
        </w:rPr>
        <w:tab/>
      </w:r>
      <w:r>
        <w:rPr>
          <w:rFonts w:ascii="Arial" w:cs="Arial" w:eastAsia="Arial" w:hAnsi="Arial"/>
          <w:sz w:val="17"/>
          <w:szCs w:val="17"/>
          <w:color w:val="auto"/>
        </w:rPr>
        <w:t>24,364</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efforts include drug discovery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R&amp;D expenses related to the development of aldafermin, MK-3655, NGM621, NGM120, NGM707 and NGM438 (and prior to suspending these programs, NGM386, NGM395 and NGM217) consist primarily of:</w:t>
      </w:r>
    </w:p>
    <w:p>
      <w:pPr>
        <w:spacing w:after="0" w:line="9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clinical development efforts are spread across multiple programs, most of which are subject to the Merck collaboration. For the foreseeable future, we anticipate the majority of our financial resources, other than those received from Merck and dedicated to Merck collaboration activities, will be dedicated to activities required to prepare aldafermin for potential regulatory approval for the treatment of NASH, including manufacturing of clinical trial materials and preparation for a potential pivotal program.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0" w:name="page31"/>
    <w:bookmarkEnd w:id="30"/>
    <w:p>
      <w:pPr>
        <w:jc w:val="both"/>
        <w:ind w:firstLine="648"/>
        <w:spacing w:after="0" w:line="256" w:lineRule="auto"/>
        <w:rPr>
          <w:sz w:val="20"/>
          <w:szCs w:val="20"/>
          <w:color w:val="auto"/>
        </w:rPr>
      </w:pPr>
      <w:r>
        <w:rPr>
          <w:rFonts w:ascii="Arial" w:cs="Arial" w:eastAsia="Arial" w:hAnsi="Arial"/>
          <w:sz w:val="18"/>
          <w:szCs w:val="18"/>
          <w:color w:val="auto"/>
        </w:rPr>
        <w:t>In the future, we may devote financial resources to other programs in the event Merck does not elect to license these programs upon completion of a proof-of-concept study, in the event Merck elects to terminate its license to any program it licenses or in the event we opt to co-develop any Merck-licensed programs, or if Merck no longer funds such programs under modified terms of the collaboration.</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R&amp;D efforts under the Merck collaboration are extensive and costly and are currently subject to reimbursement under our Merck collaboration during the current two-year extension up to the funding caps provided in our Collaboration Agreement. If our R&amp;D expenses for product candidates subject to the Merck collaboration, including the clinical development of product candidates subject to the Merck collaboration through completion of proof-of-concept studies, exceed the funding caps provided in the Collaboration Agreement, which happened in the fiscal year ended December 31, 2020 and could happen in the future, we will be required to devote our own financial resources toward the development of such product candidates or, if we are unwilling or unable to do so, pause or suspend such development to remain within the funding caps. In addition, while we do not know whether or when Merck will elect to extend the research phase of the collaboration through March 16, 2024 or on what terms, or whether or when we will reach agreement with Merck on the terms of a modified collaboration,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following March 16, 2022, the end of the current two-year extension of the research phase, funding from Merck will substantially decrease and our funding for the development of our current and potential future product candidates will substantially increase, regardless of whether we are able to reach agreement with Merck on modified terms.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9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and the timing of such election or termination;</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exceed the current or any future funding caps provided in our Collaboration Agreement and whether Merck decides not to proceed with certain of our product candidates after the end of the research phase;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and timing associated with the development of that product candidate. For example, if the FDA or another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Merck and Other Third Parties” and “—Risks Related to Regulatory Approvals”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R&amp;D activities. These increases will likely include increased costs related to the hiring of additional personnel, as well as fees paid to outside consultants, lawyers and accountants, among other expenses. Additionally, we anticipate continued increased costs associated with being a public company, including expenses related to services associated with maintaining compliance with Nasdaq listing rules and related Securities and Exchange Commission, or SEC, requirements and costs related to insurance, investor relations and SOX 404 compliance. In addition, we may incur expenses associated with building a commercial organization in connection with, and prior to, potential future regulatory approval of our product candidates.</w:t>
      </w:r>
    </w:p>
    <w:p>
      <w:pPr>
        <w:spacing w:after="0" w:line="18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67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7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r>
      <w:tr>
        <w:trPr>
          <w:trHeight w:val="229"/>
        </w:trPr>
        <w:tc>
          <w:tcPr>
            <w:tcW w:w="670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r>
      <w:tr>
        <w:trPr>
          <w:trHeight w:val="223"/>
        </w:trPr>
        <w:tc>
          <w:tcPr>
            <w:tcW w:w="6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45,034</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(7,175)</w:t>
            </w:r>
          </w:p>
        </w:tc>
      </w:tr>
      <w:tr>
        <w:trPr>
          <w:trHeight w:val="230"/>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29"/>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48"/>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Revenue from Merck</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decreased $ 2.8 million in the three months ended March 31, 2021 compared to the same period in 2020 primarily due to a decrease in the recognition of a portion of the initial upfront payment received from Merck in 2015 that was included within the transaction price and fully recognized over the initial five-year term of our Collaboration Agreement using the cost-based input model. The initial five-year term ended in the first quarter of 2020.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expenses by program were as follows (in thousands):</w:t>
      </w:r>
    </w:p>
    <w:p>
      <w:pPr>
        <w:spacing w:after="0" w:line="24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Aldafermin (FGF19 analog)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9,598</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14,151</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NGM621 (C3 inhibitor)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NGM120 (GFRAL antagonist)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NGM707 (Anti-ILT2/ILT4 dual antagonist)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NGM438 (LAIR1 antagonist)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NGM395 (GDF15 analog)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MK-3655 (FGFR1c/KLB 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external R&amp;D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external R&amp;D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20,156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Internal and unallocated R&amp;D expenses(1)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R&amp;D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00" w:right="20" w:hanging="492"/>
        <w:spacing w:after="0" w:line="258" w:lineRule="auto"/>
        <w:tabs>
          <w:tab w:leader="none" w:pos="48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Internal and unallocated research and development expenses consist primarily of research supplies and consulting fees, which we deploy across multiple research and development programs.</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R&amp;D expenses increased $2.3 million in the three months ended March 31, 2021 compared to the same period in 2020 primarily due to a $3.5 million increase in personnel-related expenses and an increase in external expenses driven by our ongoing clinical and preclinical studies of NGM621, NGM438 and NGM707. These increases were partially offset by decreases of $4.6 million in expenses for our manufacturing activities and our ongoing clinical trials of aldafermin and $1.2 million in external expenses related to our other development programs.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R&amp;D expenses for the remainder of 2021 to increase compared to 2020 due to our ongoing activities, particularly as we advance our clinical development of aldafermin. In addition, we may be required to develop and implement additional clinical study policies and procedures to mitigate the evolving effects of the COVID-19 pandemic, which could significantly increase our R&amp;D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increased $2.1 million in the three months ended March 31, 2021 compared to the same period in 2020 primarily due to an increase in personnel-related expenses due to increased headcount and an increase in stock-based compensation expense primarily related to the increase in our stock price.</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anticipate general and administrative expenses for the remainder of 2021 to increase compared to 2020 due to an increase in compensation-related expenses driven by higher headcount and other expenses related to the expansion and support of our business including expenses related to SOX 404 compliance.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35"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Interest income decreased $1.1 million in the three months ended March 31, 2021 compared to the same period in 2020 primarily due to the decrease in market interest rates.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incurred net losses every year since our inception. We have spent, and expect to continue to spend, significant resources to fund R&amp;D of, and seek regulatory approvals for, our product candidates, particularly aldafermin. These activities require us to incur substantial costs related to research, development, manufacturing,</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33" w:name="page34"/>
    <w:bookmarkEnd w:id="33"/>
    <w:p>
      <w:pPr>
        <w:jc w:val="both"/>
        <w:spacing w:after="0" w:line="251" w:lineRule="auto"/>
        <w:rPr>
          <w:sz w:val="20"/>
          <w:szCs w:val="20"/>
          <w:color w:val="auto"/>
        </w:rPr>
      </w:pPr>
      <w:r>
        <w:rPr>
          <w:rFonts w:ascii="Arial" w:cs="Arial" w:eastAsia="Arial" w:hAnsi="Arial"/>
          <w:sz w:val="18"/>
          <w:szCs w:val="18"/>
          <w:color w:val="auto"/>
        </w:rPr>
        <w:t>preclinical studies, clinical trial and related activities, as well as to cover other expenses related to our ongoing operations. For example, we will require substantial additional capital to achieve our development and commercialization goals for our aldafermin program that is being conducted outside of the Merck collaboration or for any other programs in the event Merck does not elect to license these programs upon completion of a proof-of-concept study, in the event Merck elects to terminate its license to any program it licenses or in the event we opt to co-develop any Merck-licensed programs, or if Merck no longer funds such programs under modified terms of the collaboration. In addition, while we do not know whether or when Merck will elect to extend the research phase of the collaboration through March 16, 2024 or on what terms, or whether or when we will reach agreement with Merck on the terms of a modified collaboration,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See “Overview of Our Business – Status of Merck Collaboration” above. As a result, we expect to incur significant and increasing operating losses. We have no products approved for commercial sale, have not generated any revenue from product sales to date and we are not and may never be profitable. We have incurred losses in each year since commencing operations. As of March 31, 2021, we had an accumulated deficit of $326.2 million and we expect our accumulated deficit will increase significantly over time. The size of our future net losses will depend, in part, on the rate of future growth of our expenses, how much revenue, if any, continues to be generated under the Merck collaboration and our ability to generate revenue outside of the Merck collaboration.</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if our R&amp;D expenses for product candidates subject to the Merck collaboration exceed the funding caps provided in our current Collaboration Agreement, which happened in the fiscal year ended December 31, 2020 and could happen in the future, or if Merck no longer funds such programs under modified terms of the collaboration, we will be required to devote our own financial resources toward the development of such product candidates or, if we are unwilling or unable to do so, pause or suspend such development to remain within the funding caps or to proceed with development of unfunded programs.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revenue we receive under our Collaboration Agreement with Merck is our only source of revenue. The original research phase of the Collaboration Agreement was for five years. As described in greater detail in “Overview of Our Business – Status of Merck Collaboration” above, the parties continue to negotiate potential modifications to the terms of the collaboration. While we do not know whether or when Merck will elect to extend the research phase of the collaboration or on what terms, or whether or when we will reach agreement with Merck on the terms of a modified collaboration,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research phase. In any event, we expect that following March 16, 2022, the end of the current two-year extension of the research phase, funding from Merck will substantially decrease and our funding with respect to the development of our current and potential future product candidates will substantially increase, regardless of whether we are able to reach agreement with Merck on modified terms. Accordingly, we will require significant additional capital in order to proceed with development and commercialization of our current and potential future product candidates, including any product candidate that had been subject to the Merck collaboration but Merck decides not to proceed with under the terms of a modified collaboration or after the end of the research phase, or we will need to enter into additional collaboration or license agreements in order to fund such development and commercialization. Neither may be possible and as a result, we may be required to delay, scale back or discontinue development of such product candidates.</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Sources of Liquidity</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2020, we entered into the Sales Agreement with Jefferies relating to the sale of shares of our common stock. In accordance with the terms of the Sales Agreement, we may offer and sell shares of our common stock having an aggregate offering price of up to $150.0 million from time to time through Jefferies, acting as our sales agent. As of March 31, 2021, $127.4 million of our common stock remained available to be sold under the Sales Agreement, subject to conditions specified in the Sales Agreement.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4" w:name="page35"/>
    <w:bookmarkEnd w:id="34"/>
    <w:p>
      <w:pPr>
        <w:jc w:val="both"/>
        <w:ind w:firstLine="648"/>
        <w:spacing w:after="0" w:line="256" w:lineRule="auto"/>
        <w:rPr>
          <w:sz w:val="20"/>
          <w:szCs w:val="20"/>
          <w:color w:val="auto"/>
        </w:rPr>
      </w:pPr>
      <w:r>
        <w:rPr>
          <w:rFonts w:ascii="Arial" w:cs="Arial" w:eastAsia="Arial" w:hAnsi="Arial"/>
          <w:sz w:val="18"/>
          <w:szCs w:val="18"/>
          <w:color w:val="auto"/>
        </w:rPr>
        <w:t>In January 2021, we sold 5,324,074 shares of common stock (inclusive of shares sold pursuant to the full exercise of the option to purchase additional shares granted to the underwriters in connection with the offering) through an underwritten public offering at a price to the public of $27.00 per share for aggregate net proceeds to the Company of $134.6 million, or the follow-on offering.</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March 31, 2021, we had cash and cash equivalents of $148.1 million, short-term marketable securities of $264.5 million, working capital of $385.5 million and an accumulated deficit of $326.2 million.</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are unable to raise adequate additional capital, we may be prevented from pursuing development and commercialization efforts, which will have a material adverse effect on our business, operating results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activity (in thousands):</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w:t>
      </w:r>
    </w:p>
    <w:p>
      <w:pPr>
        <w:jc w:val="center"/>
        <w:ind w:left="816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(19,110)</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26,873</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March 31, 2021, cash used in operating activities was $22.2 million, which consisted of a net loss of $27.5 million, adjusted for non-cash charges of $8.4 million and net cash used in operating assets and liabilities of $3.1 million. The non-cash charges consisted primarily of stock-based compensation expense of $6.6 million and depreciation expense of $1.6 million. The change in operating assets and liabilities was mainly driven by decreases in accounts payable of $2.1 million, related party contract assets of $1.5 million and deferred rent of $0.7 million, partially offset by an increase in prepaid expenses and other current assets of $1.3 million.</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March 31, 2020, cash used in operating activities was $19.1 million, which consisted of a net loss of $19.1 million, adjusted for non-cash charges of $5.4 million and cash used through changes in operating assets and liabilities of $5.4 million. The non-cash charges consisted primarily of stock-based compensation expense of $3.7 million and depreciation expense of $1.7 million. The change in operating assets and liabilities was mainly driven by an increase in prepaid expenses and other assets of $2.0 million and 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increase in accrued expenses of $3.0 million. These increases were partially offset by a decrease in related party receivable from our Merck collaboration of $ 4.5 million, a decrease in accounts payable of $5.3 million, a decrease in deferred rent of $0.7 million and a decrease in deferred revenue of $4.9 million primarily attributable to the timing of advance payments from Merck related to the reimbursement of costs associated with R&amp;D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March 31, 2021, cash used in investing activities was $117.2 million, which consisted of purchases of marketable securities of $145.0 million with net proceeds from our follow-on offering, partially offset by $28.0 million in net proceeds on maturity of marketable securities. During the three months ended March 31, 2020, cash provided by investing activities was $ 26.9 million, which consisted of $56.8 million in net proceeds on maturity of marketable securities, partially offset by purchases of marketable securities of $29.4 million and purchases of property and equipment of $0.5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March 31, 2021 cash provided by financing activities was $140.5 million and consisted of net proceeds from the follow-on offering of $134.6 million and proceeds from employee equity incentive plans of $5.9 million. During the three months ended March 31, 2020, cash provided by financing activities was $3.6 million and consisted of proceeds from employee equity incentive plans.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March 31, 2021, there were no material changes to our contractual obligations as set forth in Part II, Item 7 “Management’s Discussion and Analysis of Financial Condition and Results of Operations” in our Annual Report on Form 10-K for the year ended December 31,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Annual Report on Form 10-K for the year ended December 31,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as described in Note 2 to the condensed consolidated financial statements under the headings “Recently Adopted Accounting Pronouncements” and “Recent Accounting Pronouncements Not Yet Adopted,” there have been no new accounting pronouncements or changes to accounting pronouncements during the three months ended March 31, 2021, as compared to the recent accounting pronouncements described in our audited consolidated financial statements and notes for the year ended December 31, 2020, included in the Company’s Annual Report on Form 10-K for the year ended December 31, 2020, that are of significance or potential significance to us.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the three months ended March 31, 2021, there were no material changes to our market risk disclosures as set forth in Part II, Item 7A “Quantitative and Qualitative Disclosures About Market Risk” in our Annual Report on Form 10-K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March 31, 2021,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2021, the design and operation of our disclosure controls and procedures were effective at a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13a-15(f) and 15d-15(f) of the Exchange Act that occurred during the quarter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II, Item 1A of this Quarterly Report on Form 10-Q. The below summary is qualified in its entirety by that more complete discussion of such risks and uncertainties. You should carefully consider the risks and uncertainties described under “Risk Factors” in Part II, Item 1A of this Quarterly Report on Form 10-Q as part of your evaluation of an investment in our common stock:</w:t>
      </w:r>
    </w:p>
    <w:p>
      <w:pPr>
        <w:spacing w:after="0" w:line="100" w:lineRule="exact"/>
        <w:rPr>
          <w:sz w:val="20"/>
          <w:szCs w:val="20"/>
          <w:color w:val="auto"/>
        </w:rPr>
      </w:pPr>
    </w:p>
    <w:p>
      <w:pPr>
        <w:jc w:val="both"/>
        <w:ind w:left="660" w:hanging="328"/>
        <w:spacing w:after="0" w:line="252"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most advanced product candidate, aldafermin, an engineered analog of human hormone fibroblast growth factor 19, or FGF19, that is administered through a once-daily subcutaneous injection, is still only in Phase 2 development, may fail to demonstrate safety and efficacy in ongoing and future clinical trials, including ALPINE 2/3, our Phase 2b clinical trial of aldafermin in patients with non-alcoholic steatohepatitis, or NASH, with liver fibrosis stage 2 or 3, or F2 or F3, and ALPINE 4, our Phase 2b clinical trial of aldafermin in patients with NASH with F4 liver fibrosis and compensated cirrhosis, may never achieve regulatory approval and may not be able to be successfully commercialized due to competition or other factors;</w:t>
      </w:r>
    </w:p>
    <w:p>
      <w:pPr>
        <w:spacing w:after="0" w:line="45" w:lineRule="exact"/>
        <w:rPr>
          <w:rFonts w:ascii="Arial" w:cs="Arial" w:eastAsia="Arial" w:hAnsi="Arial"/>
          <w:sz w:val="18"/>
          <w:szCs w:val="18"/>
          <w:b w:val="1"/>
          <w:bCs w:val="1"/>
          <w:color w:val="auto"/>
        </w:rPr>
      </w:pPr>
    </w:p>
    <w:p>
      <w:pPr>
        <w:jc w:val="both"/>
        <w:ind w:left="660" w:hanging="328"/>
        <w:spacing w:after="0" w:line="254"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similarly, clinical trials of our other product candidates, including our ongoing Phase 2 CATALINA trial of NGM621, a humanized Immunoglobulin 1 monoclonal antibody inhibiting complement C3 administered via intravitreal, or IVT, injection in patients with geographic atrophy, or GA, may fail to produce positive results or to demonstrate safety and efficacy to the satisfaction of health authorities;</w:t>
      </w:r>
    </w:p>
    <w:p>
      <w:pPr>
        <w:spacing w:after="0" w:line="41" w:lineRule="exact"/>
        <w:rPr>
          <w:rFonts w:ascii="Arial" w:cs="Arial" w:eastAsia="Arial" w:hAnsi="Arial"/>
          <w:sz w:val="18"/>
          <w:szCs w:val="18"/>
          <w:b w:val="1"/>
          <w:bCs w:val="1"/>
          <w:color w:val="auto"/>
        </w:rPr>
      </w:pPr>
    </w:p>
    <w:p>
      <w:pPr>
        <w:jc w:val="both"/>
        <w:ind w:left="660" w:hanging="328"/>
        <w:spacing w:after="0" w:line="253" w:lineRule="auto"/>
        <w:tabs>
          <w:tab w:leader="none" w:pos="65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aldafermin and MK-3655, an agonistic antibody discovered by us that selectively activates fibroblast growth factor receptor 1c-beta-klotho, or FGFR1c/KLB, which regulates insulin sensitivity, blood glucose and liver fat and is administered every four weeks through a subcutaneous injection, are being developed for the treatment of NASH, an indication for which there are no approved products, which makes it difficult to predict the timing, cost and potential success of their clinical development and regulatory approval for the treatment of NASH;</w:t>
      </w:r>
    </w:p>
    <w:p>
      <w:pPr>
        <w:spacing w:after="0" w:line="43"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3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know whether Merck Sharp &amp; Dohme Corp., or Merck, will elect to extend the research phase of our collaboration and the level of research funding support we may obtain during any such extension or whether we may otherwise be able to reach agreement with Merck on the terms of a modified collaboration, and regardless of whether we and Merck reach agreement on the terms of a modified collaboration, our collaboration with Merck involves numerous risks, any of which could materially and adversely affect our business and financial condition;</w:t>
      </w:r>
    </w:p>
    <w:p>
      <w:pPr>
        <w:spacing w:after="0" w:line="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currently depend on our collaboration with Merck, and in the future may depend on collaborations with additional third parties, for the development and commercialization of our product candidates;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operations, which may not be available to us on acceptable terms, or at all, and as a result, we may not have the resources to complete the development and commercialization of our current and potential future product candidates;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8" w:name="page39"/>
    <w:bookmarkEnd w:id="38"/>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to successfully complete rigorous preclinical and clinical testing of our product candidates before we can seek regulatory approval, which could delay or prevent commercialization of our product candidates;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successfully identify new product candidates to expand our development pipeline;</w:t>
      </w:r>
    </w:p>
    <w:p>
      <w:pPr>
        <w:spacing w:after="0" w:line="6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process of manufacturing aldafermin and our other biologic product candidates is complex, highly regulated and subject to many manufacturing risks, including difficulties in supply chain, including procuring raw materials and components and in production, particularly in scaling up and validating initial production and ensuring the avoidance of contamination, any of which could substantially increase our costs and limit supply of our product candidates and any future products needed for clinical trials and commercialization;</w:t>
      </w:r>
    </w:p>
    <w:p>
      <w:pPr>
        <w:spacing w:after="0" w:line="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or FDA, and comparable foreign health authorities are lengthy, time-consuming and inherently unpredictable;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Dr. Jin-Long Chen;</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could materially and adversely affect our operations, as well as the businesses or operations of our manufacturers, clinical research organizations or other third parties with whom we conduct business;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third parties that are necessary to develop, manufacture and commercialize some or all of our product candidates;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third parties we rely on could experience a cybersecurity incident that could harm our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and we expect to continue to incur significant research and development and other expenses related to our ongoing operations. As a result, we are not profitable and have incurred losses in each year since commencing operations. Our net losses were $102.5 million, $42.8 million and $0.5 million for the years ended December 31, 2020, 2019 and 2018, respectively. As of March 31, 2021, we had an accumulated deficit of $326.2 million.</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expect to incur substantial and increasing operating losses over the next several years as our research, development, manufacturing, preclinical studies, clinical trial and related activities increase. We also expect that following March 16, 2022, the end of the current two-year extension of the research phase, funding from Merck will substantially decrease and our funding with respect to the development of our current and potential future product candidates will substantially increase, regardless of whether we are able to reach agreement with Merck on modified terms. As a result, our expenses and accumulated deficit will also increase significantly in future periods. We may encounter unforeseen expenses, difficulties, complications, delays and other unknown factors that may adversely affect our business, including those resulting from the evolving effects of the COVID-19 pandemic. The size of our future net losses will depend, in part, on the rate of future growth of our expenses, whether Merck will exercise its option to extend the research phase of our collaboration or whether and on what terms we will reach agreement with Merck on a modified collaboration and our ability to otherwise continue to generate revenue, if at all, under the Merck collaboration, and to generate any revenue outside of the Merck collaboration. Our prior losses and expected future losses have had and will continue to have an adverse effect on our stockholders’ equity and working capital.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9" w:name="page40"/>
    <w:bookmarkEnd w:id="39"/>
    <w:p>
      <w:pPr>
        <w:jc w:val="both"/>
        <w:ind w:firstLine="648"/>
        <w:spacing w:after="0" w:line="253"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 Our ability to generate future product revenue from our current or future product candidates also depends on a number of additional factors, including our or our current collaborator’s and potential future collaborators’ ability to:</w:t>
      </w:r>
    </w:p>
    <w:p>
      <w:pPr>
        <w:spacing w:after="0" w:line="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 Even if we successfully complete development and regulatory processes,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In recent years, all of our revenue has been from our collaboration partner, Merck. Other than our agreement with Merck, we currently have no agreements that could provide us with material, ongoing future revenue and we may never enter into any agreements. As described under “Overview of Our Business – Status of Merck Collaboration” in Part I, Item 2 of this Quarterly Report on Form 10-Q, the parties continue to negotiate potential modifications to the terms of their Research Collaboration, Product Development and License Agreement with Merck, or the Collaboration Agreement. Under the current terms of the Collaboration Agreement, Merck agreed to reimburse us for research and development activities up to certain specified funding caps during the current two-year extension of the research phase through March 16, 2022. If our research and development expenses for product candidates subject to the Merck collaboration exceed the funding caps provided in our Collaboration Agreement, which happened in the fiscal year ended December 31, 2020 and could happen in the future, we will be required to devote our own financial resources toward the development of such product candidates or, if we are unwilling or unable to do so, pause or suspend such development to remain within the funding caps. In addition, while we do not know whether or when Merck will elect to extend the research phase of the collaboration through March 16, 2024 or on what terms, or whether or when we will reach agreement with Merck on the terms of a modified collaboration,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following March 16, 2022, the end of the current two-year extension of the research phase, funding from Merck will substantially decrease and our funding with respect to the development of our current and potential future product candidates will substantially increase, regardless of whether we are able to reach agreement with Merck on modified terms. Accordingly, we will require significant additional capital in order to proceed with development and commercialization of our current and potential future product candidates, including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8"/>
          <w:szCs w:val="18"/>
          <w:color w:val="auto"/>
        </w:rPr>
        <w:t>any product candidate that had been subject to the Merck collaboration but Merck decides not to proceed with under the terms of a modified collaboration or after the end of the research phase, or we will need to enter into additional collaboration or license agreements in order to fund such development and commercialization. Neither may be possible and as a result, we may be required to delay, scale back or discontinue development of such product candidates. For more information, see “Risks Related to Our Dependence on Merck and Other Third Parties” below.</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which may not be available to us on acceptable terms, or at all. As a result, we may not have the resources to complete the development and commercialization of our current and potential future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inception and we will require substantial additional capital to finance our operations and pursue our strategy. In this regard, we do not have any committed external source of funds, other than pursuant to the current terms of our collaboration with Merck, which is limited in scope and duration, and may be unilaterally terminated by Merck under certain circumstances. In addition, as described in more detail under “Risks Related to Our Dependence on Merck and Other Third Parties” below, the level of future annual research support or other funding from Merck following the end of the current research phase is uncertain, and even if Merck elects to extend the current research phase, such annual research support from Merck is expected to be meaningfully lower than the annual research support Merck provided during the initial five-year term and is providing during the current two-year extension of the research phase through March 16, 2022. We also expect our research and development expenses to increase substantially in connection with our ongoing activities regardless of whether we are able to reach agreement with Merck on the terms of a modified collaboration, particularly to the extent that product candidates whose costs will not be included in a modified Merck collaboration, such as aldafermin and other product candidates Merck decides not to proceed with under the terms of a modified collaboration or after the end of the research phase, advance in clinical development. In addition, we may be required to develop and implement additional clinical study policies and procedures to mitigate the evolving effects of the COVID-19 pandemic, which could significantly increase our research and development expenses.</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next twelve months.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 Our future funding requirements, both short- and long-term, will depend on many factors, including:</w:t>
      </w:r>
    </w:p>
    <w:p>
      <w:pPr>
        <w:spacing w:after="0" w:line="100" w:lineRule="exact"/>
        <w:rPr>
          <w:sz w:val="20"/>
          <w:szCs w:val="20"/>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on what terms Merck exercises, if at all, its remaining option to extend the research phase of the collaboration, including whether such exercise would trigger an extension payment to us under the terms of a modified collaboration;</w:t>
      </w:r>
    </w:p>
    <w:p>
      <w:pPr>
        <w:spacing w:after="0" w:line="3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on what terms we and Merck agree to a modified collaboration, including the level of annual research support from Merck, if any, under a modified collaboration and, relatedly, the scope and extent of our need to fund the development of our current and potential future product candidates, including with respect to any such product candidates whose costs will not be included in a modified Merck collaboration such as aldafermin and other product candidates Merck decides not to proceed with under the terms of a modified collaboration or after the end of the research phase;</w:t>
      </w:r>
    </w:p>
    <w:p>
      <w:pPr>
        <w:spacing w:after="0" w:line="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completion of proof-of-concept studies for each such candidate in humans;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Collaboration Agreement or terminates a program that it has licensed (such as Merck’s termination of its license for our growth differentiation factor 15, GDF15, agonist program, including the NGM395 and NGM386 product candidates);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exceed the funding caps provided in the Collaboration Agreement;</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2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in June 2020, government or other third-party funding, product collaborations, strategic alliances, licensing arrangements or a combination of these. Additional capital may not be available in sufficient amounts, on reasonable terms or when we need it, if at all, and our ability to raise additional capital may be adversely impacted by worsening global economic conditions and the disruptions to, and volatility in, the credit and financial markets in the United States and worldwide resulting from, among other things, the evolving effects of the COVID-19 pandemic. If we are unable to raise adequate additional capital, we may be prevented from pursuing development and commercialization efforts, which will have a material adverse effect on our business, operating results and prospects.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raise additional funds by issuing equity securities, as we did most recently in January 2021,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adequate funds are not available when we need them, we may need to:</w:t>
      </w:r>
    </w:p>
    <w:p>
      <w:pPr>
        <w:spacing w:after="0" w:line="99" w:lineRule="exact"/>
        <w:rPr>
          <w:sz w:val="20"/>
          <w:szCs w:val="20"/>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all operations;</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at an earlier stage than we would otherwise desire or on terms less favorable than might otherwise be available; or</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product collaborations that would generally require us to relinquish, or license on potentially unfavorable terms, our rights to intellectual property, product candidates or products that we otherwise would seek to develop or commercialize ourselves, and we may not be able to enter into such agreements on acceptable terms, if at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ending on or prior to December 31, 2017 are only permitted to be carried forward for 20 years under applicable U.S. tax law. Under the Tax Cuts and JOBS Act, or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2" w:name="page43"/>
    <w:bookmarkEnd w:id="42"/>
    <w:p>
      <w:pPr>
        <w:jc w:val="both"/>
        <w:spacing w:after="0" w:line="261" w:lineRule="auto"/>
        <w:rPr>
          <w:sz w:val="20"/>
          <w:szCs w:val="20"/>
          <w:color w:val="auto"/>
        </w:rPr>
      </w:pPr>
      <w:r>
        <w:rPr>
          <w:rFonts w:ascii="Arial" w:cs="Arial" w:eastAsia="Arial" w:hAnsi="Arial"/>
          <w:sz w:val="18"/>
          <w:szCs w:val="18"/>
          <w:color w:val="auto"/>
        </w:rPr>
        <w:t>December 31, 2020 is limited to 80% of taxable income. It is uncertain if and to what extent various states will conform to the 2017 Tax Act or the CARES Act.</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or IPO, and other shifts 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recently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Merck collaboration involves a complex allocation of rights, provides for substantial research and development support, currently provides for additional payments upon Merck’s election, if exercised in its unilateral discretion, to further extend the term of the research phase for an additional two years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In addition, as described under “Overview of Our Business – Status of Merck Collaboration” in Part I, Item 2 of this Quarterly Report on Form 10-Q, the parties continue to negotiate potential modifications to the terms of the collaboration. In this regard, we do not know whether or when Merck will elect to extend the research phase of the collaboration or on what terms, or whether or when we will reach agreement with Merck on the terms of a modified collaboration. We also do not know whether Merck will exercise its option to license additional product candidates or whether Merck will terminate its license to a licensed program under the terms of a modified collaboration or otherwise. See also the risk factor titled “Merck may elect not to extend the research phase of our collaboration and we may otherwise be unable to reach agreement with Merck on the terms of a modified collaboration and regardless of whether we and Merck reach agreement on the terms of a modified collaboration, our collaboration with Merck involves numerous risks, any of which could materially and adversely affect our business and financial condition” below.</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or any other product candidate that Merck decides not to proceed with under the terms of a modified collaboration or after the end of the research phase.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jc w:val="both"/>
        <w:ind w:left="660" w:hanging="328"/>
        <w:spacing w:after="0" w:line="252"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current terms of our collaboration with Merck, once proof-of-concept data in humans has been generated and Merck has exercised its option to acquire an exclusive license for a product candidate, our ability to influence the resources Merck devotes to such product candidate are substantially reduced until such time, if any, that we exercise our right to participate in a cost and profit-sharing arrangement. Even after we exercise that right to participate in a cost and profit-sharing arrangement, our ability to influence Merck will be limited.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3" w:name="page44"/>
    <w:bookmarkEnd w:id="43"/>
    <w:p>
      <w:pPr>
        <w:jc w:val="both"/>
        <w:ind w:left="660" w:hanging="328"/>
        <w:spacing w:after="0" w:line="25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we and Merck are continuing to negotiate potential modifications to the terms of our collaboration, that may include, among other things, focusing NGM’s research and development under the collaboration on therapeutic areas of particular interest to Merck, and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addition, under the current terms of the Collaboration Agreement, it is possible for Merck to unilaterally terminate the MK-3655 program and any other program (whether or not we have exercised our cost and profit sharing option) upon prior written notice, such as it did for NGM386 and NGM395, without triggering a termination of the remainder of the Collaboration Agreement. Moreover, regardless of our current negotiations with Merck and the terms of any modified Collaboration Agreement, Merck may elect not to exercise its option to extend the research phase, and Merck might also opt not to designate any of our product candidates for further development during the tail period following the end of the research phase or exercise any of its options to acquire a license to a product candidate that has generated proof-of-concept data.</w:t>
      </w:r>
    </w:p>
    <w:p>
      <w:pPr>
        <w:spacing w:after="0" w:line="46"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35"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Merck may elect not to extend the research phase of our collaboration and we may otherwise be unable to reach agreement with Merck on the terms of a modified collaboration and regardless of whether we and Merck reach agreement on the terms of a modified collaboration, our collaboration with Merck involves numerous risks, any of which could materially and adversely affect our business and financial condition.</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terms of the collaboration, Merck was required to notify us no later than March 17, 2021 of its unilateral decision whether to exercise its option to extend the research phase of the collaboration for an additional two-year term through March 16, 2024. In March 2021, Merck initiated discussions with us with respect to elements of the ongoing collaboration that might be optimized to better address the evolving interests and priorities of both NGM and Merck during the remainder of the current research phase through March 16, 2022 and during any extension of the current research phase and any tail period (which tail period is discussed under “Business—Our Collaboration with Merck” in Part I, Item 1A of our Annual Report on Form 10-K for the year ended December 31, 2020). In this regard, the parties continue to negotiate potential modifications to the terms of the collaboration. Such modifications may include, among other things, focusing our research and development under the collaboration on therapeutic areas of particular interest to Merck, while enabling us to conduct research and development outside of these therapeutic areas, which would, if mutually agreed to, allow us to discover and develop product candidates 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4" w:name="page45"/>
    <w:bookmarkEnd w:id="44"/>
    <w:p>
      <w:pPr>
        <w:jc w:val="both"/>
        <w:spacing w:after="0" w:line="251" w:lineRule="auto"/>
        <w:rPr>
          <w:sz w:val="20"/>
          <w:szCs w:val="20"/>
          <w:color w:val="auto"/>
        </w:rPr>
      </w:pPr>
      <w:r>
        <w:rPr>
          <w:rFonts w:ascii="Arial" w:cs="Arial" w:eastAsia="Arial" w:hAnsi="Arial"/>
          <w:sz w:val="18"/>
          <w:szCs w:val="18"/>
          <w:color w:val="auto"/>
        </w:rPr>
        <w:t>our own or with third parties in other areas of interest. In order to allow negotiations to proceed, the parties agreed to extend the March 17, 2021 deadline for Merck to deliver its extension notification decision until June 30, 2021. While we do not know whether or when Merck will elect to extend the research phase of the collaboration or on what terms, or whether or when we will reach agreement with Merck on the terms of a modified collaboration, we expect that any modified collaboration would result in a level of annual research support from Merck during any extension of the current research phase after March 16, 2022 that is meaningfully lower than the annual research support Merck provided during the initial five-year term and is providing during the current two-year extension of the research phase. In this regard, we expect that under the terms of a modified collaboration, Merck will not provide research funding for certain of our product candidates. We also expect that if we are unable to reach agreement with Merck on modified terms, Merck will not elect to extend the research phase of the collaboration and will decide not to proceed with certain of our product candidates after the end of the current research phase. In any event, we expect that following March 16, 2022, the end of the current two-year extension of the research phase, funding from Merck will substantially decrease and our funding with respect to the development of our current and potential future product candidates will substantially increase, regardless of whether we are able to reach agreement with Merck on modified terms.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the level of future research funding from Merck following the end of the current research phase is uncertain. For example, if Merck does not elect to extend the research phase, we expect that Merck would decide not to designate certain of our product candidates for development during the tail period and could decide not to designate any of our product candidates for development during the tail period, in which case research funding from Merck would be either substantially reduced or eliminated as applicable, following the end of the current research phase. In addition, Merck is not required to designate any of our product candidates for development during the tail period until the three-month period prior to the end of the research phase, which could delay or preclude our ability to move forward with the development of certain of our product candidates, and could otherwise result in uncertainty regarding the future prospects of certain of our product candidates. Moreover, our stock price could decline as a result of such uncertainty and/or Merck’s failure to designate certain of our product candidates for development during the tail period. Even if Merck elects to designate certain product candidates for development during the tail period, there are limits on Merck’s funding obligations and Merck has the ability to terminate the tail period early. In addition, in the event that Merck decides to take over any designated product candidates for development during the tail period, we could be subject to disputes with Merck with respect to their obligation to use commercially reasonable efforts with respect to such development, which could delay or preclude the further development of the affected product candidate, and we could otherwise be subject to disputes with Merck over the scope of the parties’ respective rights under the Collaboration Agreement.</w:t>
      </w:r>
    </w:p>
    <w:p>
      <w:pPr>
        <w:spacing w:after="0" w:line="1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under the Collaboration Agreement, Merck has the unilateral right to terminate all or part of the agreement at certain times and under certain circumstances. Merck also may unilaterally terminate its annual funding of the research program prior to the end of the research phase if we are acquired by a third party or if we are in material uncured breach of our obligations under the research and early development program. After the current research phase of the collaboration or, if Merck again exercises its option to extend the research phase under modified collaboration terms, after such extension period, Merck may unilaterally terminate the overall agreement for convenience upon written notice and subject to certain limitations.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MK-3655 or any future licensed program. For example, Merck terminated its license to our GDF15 agonist program, including NGM395 and NGM386, in May 2019. Merck may also unilaterally terminate the agreement as it relates to its rights to research and develop small molecule compounds. It may also unilaterally terminate the agreement with respect to a specific licensed program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licensed program.</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Merck terminates funding or terminates the Collaboration Agreement, if we are unable to reach agreement with Merck on the terms of a modified collaboration and Merck decides not to extend the research phase of the collaboration or shifts the focus of its research and development funding or if Merck declines to designate our product candidates for development during the tail period, it would delay or preclude our ability to complete our research and development programs, which would materially and adversely affect our business and our stock price would likely decline.</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jc w:val="both"/>
        <w:ind w:firstLine="648"/>
        <w:spacing w:after="0" w:line="252"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contract research organizations, or CROs, clinical data management organizations, clinical investigators, contract manufacturing organizations/contract development and manufacturing organizations, or CMOs, and other third parties to support our discovery efforts, to formulate product candidates, to conduct our clinical trials and certain aspects of our research and preclinical studies,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data management organizations, clinical investigators, CMOs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 If we or our collaborator need to enter into alternative arrangements, it would delay our product development activities and such alternative arrangements may not be available on terms acceptable to us.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agreements we have or may enter into with these third parties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or any other product candidate that Merck decides not to proceed with under the terms of a modified collaboration or after the end of the research phase, we may decide to collaborate with other pharmaceutical and biotechnology companies for their development and potential commercialization.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including the potential market for the subject product candidate.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6" w:name="page47"/>
    <w:bookmarkEnd w:id="46"/>
    <w:p>
      <w:pPr>
        <w:jc w:val="both"/>
        <w:ind w:firstLine="648"/>
        <w:spacing w:after="0" w:line="252" w:lineRule="auto"/>
        <w:rPr>
          <w:sz w:val="20"/>
          <w:szCs w:val="20"/>
          <w:color w:val="auto"/>
        </w:rPr>
      </w:pPr>
      <w:r>
        <w:rPr>
          <w:rFonts w:ascii="Arial" w:cs="Arial" w:eastAsia="Arial" w:hAnsi="Arial"/>
          <w:sz w:val="18"/>
          <w:szCs w:val="18"/>
          <w:color w:val="auto"/>
        </w:rPr>
        <w:t>We also may be restricted under existing collaboration agreements from entering into future agreements on certain terms with potential collaborators. For example, under the current terms of our Collaboration Agreement with Merck, we may not directly or indirectly research, develop, manufacture or commercialize, except pursuant to the Collaboration Agreement, any medicine or product candidate that modulates a target then subject to the collaboration with specified activity. The FGF19 program, including aldafermin, is excluded from this provision, notwithstanding that both aldafermin and MK-3655 signal, in part, through the FGFR1c pathway. During the tail period following the research term of the collaboration, we may not directly or indirectly research, develop or commercialize, outside of the collaboration, any medicine or product candidate with specified activity against any collaboration target that has been designated a tail target.</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not be able to negotiate potential future collaborations on a timely basis, on acceptable terms or at all. If we are unable to do so, we may have to delay, scale back or discontinue the development of any product candidate for which we are seeking a collaboration,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which could delay or prevent commercialization of our product candidates.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product candidates will be subject to rigorous and extensive clinical trials before we can seek regulatory approval from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FDA and comparable foreign health authorities. Clinical trials may be delayed, suspended or terminated at any time for reasons including:</w:t>
      </w:r>
    </w:p>
    <w:p>
      <w:pPr>
        <w:spacing w:after="0" w:line="117" w:lineRule="exact"/>
        <w:rPr>
          <w:sz w:val="20"/>
          <w:szCs w:val="20"/>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health authorities regarding the scope or design of our clinical trials, including discussions with the FDA regarding initiation of our planned Phase 3 trial of aldafermin;</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institutional review boards, or IRBs, or other governing entities at clinical trial sites selected for participation in our clinical trials;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key trial activities and patient enrollment, including as a result of the evolving effects of the COVID-19 pandemic;</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health authorities with respect to approval pathways for product candidates we are pursuing;</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FDA or comparable foreign health authority inspection or review of a clinical trial site or records of any clinical or preclinical investigation;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health authorities.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particular, we or our partners may be unable to enroll the patients we need to complete clinical trials on a timely basis, or at all. For example, there is significant competition for recruiting patients with NASH in clinical trials. In the first quarter of 2020, we announced that enrollment in our ALPINE 2/3 clinical trial of aldafermin had been delayed beyond our initial projections. In addition, clinical trial enrollment generally continues to be negatively affected by the effects of the COVID-19 pandemic as a result of delays in additional clinical trial site initiation, suspension of enrollment at clinical trial sites or patient reluctance to participate in a clinical trial during quarantines or shelter-in-place orders or otherwise, particularly in medically vulnerable patient populations. This has impacted site initiation and enrollment in our ongoing Phase 2b ALPINE 4 clinical trial of aldafermin in patients with NASH with F4 liver fibrosis and compensated cirrhosis, and in our trials of NGM120, an antagonistic antibody that binds glial cell-derived neurotrophic factor receptor alpha-like, or GFRAL, and inhibits GDF15 signaling, for the potential treatment of cancer and cancer-related cachexia. If the evolving effects of the COVID-19 pandemic persist or become more severe, we could experience significant disruptions to our clinical development timelines, which would adversely affect our business, financial condition, results of operations and growth prospects.</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also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produce positive results or to demonstrate safety and efficacy to the satisfaction of health authorities, we may incur additional costs or experience delays in completing, or ultimately be unable to complete, the development and commercialization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are in various stages of development and our most advanced product candidate, aldafermin, is still only in Phase 2 development. Before obtaining marketing approval from health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In addition, there is a high failure rate for drugs and biologic products proceeding through clinical trials and failure can occur at any stage of testing. Moreover, additional clinical trials may be required if clinical trial results are negative or inconclusive, which would require us to incur additional costs and significant delays. 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Owing in part to the complexity of biological pathways, our product candidates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8" w:name="page49"/>
    <w:bookmarkEnd w:id="48"/>
    <w:p>
      <w:pPr>
        <w:jc w:val="both"/>
        <w:spacing w:after="0" w:line="252" w:lineRule="auto"/>
        <w:rPr>
          <w:sz w:val="20"/>
          <w:szCs w:val="20"/>
          <w:color w:val="auto"/>
        </w:rPr>
      </w:pPr>
      <w:r>
        <w:rPr>
          <w:rFonts w:ascii="Arial" w:cs="Arial" w:eastAsia="Arial" w:hAnsi="Arial"/>
          <w:sz w:val="18"/>
          <w:szCs w:val="18"/>
          <w:color w:val="auto"/>
        </w:rPr>
        <w:t>trials will fail to comply with our dosing regimens. If participants fail to comply, we may not be able to generate clinical data in our trials acceptable to the FDA or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100"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6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and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developing aldafermin, and our collaborator is developing MK-3655, for the treatment of NASH, an indication for which there are no approved products. Implementation of new, or changes to, guidance or interpretations from the FDA or comparable foreign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In addition, certain of our competitors have recently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Success in preclinical studies and earlier-stage clinical trials does not ensure that later clinical trials will generate the same results or otherwise provide adequate data to demonstrate the effectiveness and safety of our product candidates. In this regard, despite the results reported in our Phase 1 and 2 clinical trials for aldafermin, in Phase 1 clinical trials for MK-3655, NGM621 and NGM120 and in preclinical studies for our other product candidates, including our immuno-oncology product candidates, NGM707 and NGM438,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the results we obtained in our Phase 1 trials of aldafermin and in our completed Phase 2 trial, including the data from the fourth and final 24-week expansion cohort of that trial in patients with NASH with fibrosis stage F2 or F3, may not be indicative of the future results we obtain from our ALPINE 2/3 trial, our ongoing ALPINE 4 trial and any Phase 3 trial. In addition, some of our clinical trials involve small patient populations, sometimes at single sites, and the results of these clinical trials may be subject to substantial variability and may not be indicative of either future interim results or final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and our research methodology may not successfully identify medically-relevant protein or antibody therapeutics or new product candidates. In addition, our drug discovery efforts tend to identify and select novel, untested proteins in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9" w:name="page50"/>
    <w:bookmarkEnd w:id="49"/>
    <w:p>
      <w:pPr>
        <w:jc w:val="both"/>
        <w:spacing w:after="0" w:line="252" w:lineRule="auto"/>
        <w:rPr>
          <w:sz w:val="20"/>
          <w:szCs w:val="20"/>
          <w:color w:val="auto"/>
        </w:rPr>
      </w:pPr>
      <w:r>
        <w:rPr>
          <w:rFonts w:ascii="Arial" w:cs="Arial" w:eastAsia="Arial" w:hAnsi="Arial"/>
          <w:sz w:val="18"/>
          <w:szCs w:val="18"/>
          <w:color w:val="auto"/>
        </w:rPr>
        <w:t>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new product candidates to advance into clinical trials could have a material adverse effect on our business, operating results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Our reliance on third-party manufacturers entails risks to which we would not be subject if we manufactured product candidates or products ourselves, including risks related to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relatively small clinical trials. These manufacturers may not be able to scale production to the larger quantities required for large clinical trials and for commercialization. In this regard, if any of our product candidates are approved by the FDA or other regulatory agencies for commercial sale, we or our collaborator may need to manufacture it in large quantities. We intend to use third-party manufacturers for commercial quantities of aldafermin, NGM120, NGM621, NGM707 and NGM438, to the extent we advance these product candidates, and will rely on Merck to determine whether to utilize a third-party manufacturer or Merck’s internal manufacturing capacity for MK-3655 and other licensed product candidates. The process of manufacturing aldafermin and our other product candidates is complex, highly regulated and subject to several risks, including:</w:t>
      </w:r>
    </w:p>
    <w:p>
      <w:pPr>
        <w:spacing w:after="0" w:line="43" w:lineRule="exact"/>
        <w:rPr>
          <w:sz w:val="20"/>
          <w:szCs w:val="20"/>
          <w:color w:val="auto"/>
        </w:rPr>
      </w:pPr>
    </w:p>
    <w:p>
      <w:pPr>
        <w:jc w:val="both"/>
        <w:ind w:left="660" w:hanging="328"/>
        <w:spacing w:after="0" w:line="25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third-party manufacturer may experience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 or by us;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turnover of qualified staff, financial difficulties of our contract manufacturers, including as a result of the evolving effects of the COVID-19 pandemic, natural disasters, power failures, local political unrest and numerous other factors; and</w:t>
      </w:r>
    </w:p>
    <w:p>
      <w:pPr>
        <w:spacing w:after="0" w:line="3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or the scale up of manufacturing operations for our products may result in shipment delays, inventory shortages, lot failures, product withdrawals or recalls or other interruptions in the supply of our product candidates. We may also have to record inventory write-offs and incur other charges and expenses for product candidates or drug substances that fail to meet specifications or cannot be used before their expiration dates. In addition, for out of specification materials, we may need to undertake costly remediation efforts or seek costlier manufacturing alternatives.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also have a single source of supply for aldafermin and most of our other product candidates, including the drug substances used in manufacturing them. Single sourcing minimizes our leverage with our contract manufacturers, who may take advantage of our reliance on them to increase the pricing of their manufacturing services. Single sourcing also imposes a risk of interruption in supply in the event of manufacturing, quality or compliance difficulties. In addition, we do not currently have arrangements in place for redundant supply for bulk drug substances or drug product. If one of our suppliers fails or refuses to supply us for any reason, it would take a significant amount of time and cost to implement and execute the necessary technology transfer to, and to qualify, a new supplier. The FDA or comparable foreign health authority must approve manufacturers of drug substance and drug product. If there are any delays in qualifying new suppliers or facilities or a new supplier is unable to meet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 w:name="page51"/>
    <w:bookmarkEnd w:id="50"/>
    <w:p>
      <w:pPr>
        <w:jc w:val="both"/>
        <w:ind w:right="20"/>
        <w:spacing w:after="0" w:line="261" w:lineRule="auto"/>
        <w:rPr>
          <w:sz w:val="20"/>
          <w:szCs w:val="20"/>
          <w:color w:val="auto"/>
        </w:rPr>
      </w:pPr>
      <w:r>
        <w:rPr>
          <w:rFonts w:ascii="Arial" w:cs="Arial" w:eastAsia="Arial" w:hAnsi="Arial"/>
          <w:sz w:val="18"/>
          <w:szCs w:val="18"/>
          <w:color w:val="auto"/>
        </w:rPr>
        <w:t>requirements of the FDA or comparable foreign health authority for approval, there could be a shortage of drug substance or drug product for use in clinical trials with respect to the affected product candidates.</w:t>
      </w:r>
    </w:p>
    <w:p>
      <w:pPr>
        <w:spacing w:after="0" w:line="1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the operations of our third-party manufacturers may be requisitioned, diverted or allocated by U.S. or foreign government orders such as under emergency, disaster and civil defense declarations in connection with the COVID-19 pandemic or otherwise. As an example, in 2020, the Defense Production Act was invoked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in a way that delays or interrupts our supply of clinical trial material.</w:t>
      </w: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entered into third-party supply agreements for the production of aldafermin for our clinical trials with Lonza Ltd, or Lonza, for Phase 3 and commercial supplies of the aldafermin drug substance. If our third-party suppliers, including Lonza or our aldafermin drug product manufacturer, are not able to provide us with sufficient quantities of aldafermin for our clinical trials on a timely basis, or at all, whether due to production shortages or other supply delays or interruptions resulting from the ongoing COVID-19 pandemic or otherwise, our clinical trials or regulatory approval may be delayed. In this regard, although significant portions of our research and development resources are focused, and will continue to be focused, on activities required to prepare aldafermin for potential regulatory approval for the treatment of NASH, including manufacturing of clinical trial material and preparation for potential Phase 3 testing, if Lonza and/or our drug product manufacturer experience difficulties in scaling production or experience product loss due to contamination, equipment failure, improper installation or operation of equipment, vendor or operator error, turnover of qualified staff or improper storage conditions, the potential Phase 3 testing of aldafermin would be delayed, perhaps substantially, which could materially and adversely affect our business. Moreover, our aldafermin drug product manufacturer has advised us that it could be required under orders of the U.S. government to allocate manufacturing capacity to the manufacture or distribution of COVID-19 vaccines. If Lonza and/or our aldafermin drug product manufacturer become subject to acts or orders of U.S. or foreign government entities to allocate manufacturing capacity to the manufacture or distribution of COVID-19 vaccines or medical supplies needed to treat COVID-19 patients, this could also delay, perhaps substantially, our ongoing and planned aldafermin trials, which could materially and adversely affect our business.</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purification materials or testing supplies. Some of these materials only have a single supplier and are purchased as necessary without a long-term supply agreement in place. In addition, our drug products require the use of pre-filled syringes or syringe components that have been the subject of shortages amplified by the COVID-19 pandemic due to their use in, among other things, COVID-19 vaccine production. Any significant delay in the acquisition or decrease in the availability of these raw materials, pre-filled syringes or syringe components could considerably delay the manufacture of our product candidates or the conduct of our clinical trials, which could adversely impact the timing or completion of any ongoing and planned trials or the timing of regulatory approvals, if any, of our product candidates.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manufacture of biologic products is complex, highly regulated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ensure that any stability or other issues relating to the manufacture of our product candidates will not occur in the future.</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delay or interruption in the supply of clinical trial material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health authorities to interrupt, delay or halt clinical trials and could result in a more restrictive label or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1" w:name="page52"/>
    <w:bookmarkEnd w:id="51"/>
    <w:p>
      <w:pPr>
        <w:jc w:val="both"/>
        <w:spacing w:after="0" w:line="252" w:lineRule="auto"/>
        <w:rPr>
          <w:sz w:val="20"/>
          <w:szCs w:val="20"/>
          <w:color w:val="auto"/>
        </w:rPr>
      </w:pPr>
      <w:r>
        <w:rPr>
          <w:rFonts w:ascii="Arial" w:cs="Arial" w:eastAsia="Arial" w:hAnsi="Arial"/>
          <w:sz w:val="18"/>
          <w:szCs w:val="18"/>
          <w:color w:val="auto"/>
        </w:rPr>
        <w:t>the delay or denial of regulatory approval by the FDA or other comparable foreign health authorities. Additional clinical trials may be required to evaluate the safety profile of our product candidates. Patients in certain of our ongoing or planned clinical trials, particularly those with NASH with more advanced fibrosis and patients with cancer, also often commonly enter our trials with significant comorbidities or advanced life-threatening illness and/or are treated in the trial with our product candidate in combination with other medications, including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clinical trials of aldafermin to date, a number of serious adverse events, or SAEs, most of which have been classified as mild to moderate, have been reported in the treatment arms of our completed Phase 1 and Phase 2 clinical trials, including one patient in Cohort 1 of our Phase 2 clinical trial who experienced an SAE, acute pancreatitis, that was assessed as possibly related to aldafermin. Patients have also experienced, and we have reported, SAEs in our completed trials of MK-3655, NGM621 and NGM120. Ocular SAEs reported in our ongoing Phase 2 CATALINA trial of NGM621, which remains masked to treatment assignment, include worsening of vision due to GA worsening and retinal detachment in the non-study eye and worsening of vision due to GA worsening in the study eye.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If patients in any of our clinical trials experience a high or unacceptable severity and prevalence of side effects, including particularly SAEs, it could affect patient recruitment or the ability of enrolled patients to complete their treatment in a clinical trial or result in failure to obtain regulatory approval for our product candidates or product liability claims.</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significant increases in serum levels of low-density lipoprotein, or LDL, cholesterol were observed in clinical trials of aldafermin in patients with NASH and type 2 diabetes. Serum levels of LDL cholesterol were brought back to baseline levels with concomitant statin use in patients with NASH; however, the impact of these drug-induced changes in LDL cholesterol are unknown. Generally, sustained and prolonged LDL cholesterol elevations in untreated patients are associated with cardiovascular disease through atherosclerotic plaque development. While in Cohorts 2, 3 and 4 of our completed Phase 2 clinical trial of aldafermin we demonstrated the ability of concomitant statin use to mitigate the serum LDL cholesterol elevations driven by aldafermin activity, aldafermin’s impact on LDL may negatively impact market acceptance of an approved aldafermin product.</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including aldafermin, which is an engineered variant of the FGF19 protein,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 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have developed an assay to measure the presence of ADAs against aldafermin for our ongoing NASH program, which we are using to test patient samples and which will need to be evaluated by regulatory agencies. The presence of 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 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IVT injections, including by most investigators in the Phase 2 CATALINA trial, has issued a notice that such single-use syringes should not be used for ocular medications due to an increased potential for adverse eye conditions. We have not experienced any safety concerns in our ongoing or completed NGM621 clinical trials relating to syringe use; however, we have communicated with the FDA and our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2" w:name="page53"/>
    <w:bookmarkEnd w:id="52"/>
    <w:p>
      <w:pPr>
        <w:jc w:val="both"/>
        <w:spacing w:after="0" w:line="256" w:lineRule="auto"/>
        <w:rPr>
          <w:sz w:val="20"/>
          <w:szCs w:val="20"/>
          <w:color w:val="auto"/>
        </w:rPr>
      </w:pPr>
      <w:r>
        <w:rPr>
          <w:rFonts w:ascii="Arial" w:cs="Arial" w:eastAsia="Arial" w:hAnsi="Arial"/>
          <w:sz w:val="18"/>
          <w:szCs w:val="18"/>
          <w:color w:val="auto"/>
        </w:rPr>
        <w:t>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investigational new drug, or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Aldafermin is a modified version of FGF19 that we believe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safe and superior to alternative treatments. Concerns about the association between FGF19 and liver cancer could have an adverse effect on our ability to develop and commercialize aldafermin.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3" w:name="page54"/>
    <w:bookmarkEnd w:id="53"/>
    <w:p>
      <w:pPr>
        <w:jc w:val="both"/>
        <w:ind w:firstLine="648"/>
        <w:spacing w:after="0" w:line="252"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development activities related to multiple metabolic disease product candidates to concentrate our resources elsewhere, also may be incorrect and could cause us to miss valuable opportunities.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current terms of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profit-sharing program that proves commercially successful.</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or continue to attract and retain qualified scientific, technical and business personnel, our business will suffer.</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research and development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personnel. There is intense competition for qualified personnel, including management, in the technical fields in which we operate,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remote work policies, reporting systems and operational, financial and management controls, particularly in light of the evolving effects of the COVID-19 pandemic.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strategies or respond to competitive pressures, which in turn may slow our growth or give rise to inefficiencies that would increase our losses.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target the same diseases that are targeted by our most advanced product candidates. It is probable that the number of companies seeking to develop products and therapies for the treatment of liver and metabolic diseases, retinal diseases and cancer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Although we believe there are no FDA-approved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in Part I, Item 1 of our Annual Report on Form 10-K for the year ended December 31, 2020.</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Demonstrating the safety and efficacy of our product candidates and obtaining regulatory approvals will not guarantee future revenue. The degree of market acceptance of any of our approved product candidates will depend on a number of factors, including:</w:t>
      </w:r>
    </w:p>
    <w:p>
      <w:pPr>
        <w:spacing w:after="0" w:line="4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 and the viewpoints of influential physicians with respect to the product candidate;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 as described below;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In addition, see the risk factor titled “Our product candidates may cause undesirable side effects or adverse events or have other properties or safety risks, which could delay or prevent continued clinical development or their regulatory approval or limit the commercial profile of any approved label” above. If any product candidate is approved but does not achieve an adequate level of acceptance by such parties, we may not generate or derive sufficient revenue from that product candidate and may not become or remain profitable.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Europe, Japan and Canada, the pricing of prescription drugs is controlled by the government. Some countries require approval of the sale price of a drug before it can be marketed. In many countries, the pricing review period begins after marketing or product licensing approval is granted. Regulatory agencies in those countries could determine that the pricing for our products should be based on prices of other commercially available drugs for the same disease, rather than allowing us to market our products at a premium as new drugs.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marketing approval. If coverage and reimbursement are not available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6" w:name="page57"/>
    <w:bookmarkEnd w:id="56"/>
    <w:p>
      <w:pPr>
        <w:jc w:val="both"/>
        <w:ind w:right="20"/>
        <w:spacing w:after="0" w:line="261" w:lineRule="auto"/>
        <w:rPr>
          <w:sz w:val="20"/>
          <w:szCs w:val="20"/>
          <w:color w:val="auto"/>
        </w:rPr>
      </w:pPr>
      <w:r>
        <w:rPr>
          <w:rFonts w:ascii="Arial" w:cs="Arial" w:eastAsia="Arial" w:hAnsi="Arial"/>
          <w:sz w:val="18"/>
          <w:szCs w:val="18"/>
          <w:color w:val="auto"/>
        </w:rPr>
        <w:t>or reimbursement is available only to limited levels, we and our partners may not be able to successfully commercialize any product candidate for which marketing approval is obtained.</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likely will consider other legislation to modify or replace additional elements of the ACA. It is unclear how these efforts to repeal and replace the ACA, or other appeals, will impact the ACA and our business. For example,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The Supreme Court of the United States is currently reviewing this case, although it is unclear when a decision will be made. It is also unclear how the Supreme Court ruling, other such litigation and the healthcare reform measures of the Biden administration will impact the ACA or our business.</w:t>
      </w: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Recently, 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It is also possible that additional governmental action is taken in response to the COVID-19 pandemic. Such reforms could have an adverse effect on anticipated revenue from product candidates that we may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7" w:name="page58"/>
    <w:bookmarkEnd w:id="57"/>
    <w:p>
      <w:pPr>
        <w:jc w:val="both"/>
        <w:ind w:right="20"/>
        <w:spacing w:after="0" w:line="261" w:lineRule="auto"/>
        <w:rPr>
          <w:sz w:val="20"/>
          <w:szCs w:val="20"/>
          <w:color w:val="auto"/>
        </w:rPr>
      </w:pPr>
      <w:r>
        <w:rPr>
          <w:rFonts w:ascii="Arial" w:cs="Arial" w:eastAsia="Arial" w:hAnsi="Arial"/>
          <w:sz w:val="18"/>
          <w:szCs w:val="18"/>
          <w:color w:val="auto"/>
        </w:rPr>
        <w:t>successfully develop and for which we may obtain regulatory approval and may affect our overall financial condition and ability to develop product candidates.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particularly under the Biden administration.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43"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supply or manufacturing capabilities abroad, including those that may result from the ongoing COVID-19 pandemic;</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 and</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 marketing approval. Restrictions under applicable federal and state healthcare laws and regulations, include the following:</w:t>
      </w:r>
    </w:p>
    <w:p>
      <w:pPr>
        <w:spacing w:after="0" w:line="100" w:lineRule="exact"/>
        <w:rPr>
          <w:sz w:val="20"/>
          <w:szCs w:val="20"/>
          <w:color w:val="auto"/>
        </w:rPr>
      </w:pPr>
    </w:p>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4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4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41"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w:t>
      </w:r>
    </w:p>
    <w:p>
      <w:pPr>
        <w:spacing w:after="0" w:line="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9" w:name="page60"/>
    <w:bookmarkEnd w:id="59"/>
    <w:p>
      <w:pPr>
        <w:jc w:val="both"/>
        <w:ind w:left="660"/>
        <w:spacing w:after="0" w:line="252" w:lineRule="auto"/>
        <w:rPr>
          <w:sz w:val="20"/>
          <w:szCs w:val="20"/>
          <w:color w:val="auto"/>
        </w:rPr>
      </w:pPr>
      <w:r>
        <w:rPr>
          <w:rFonts w:ascii="Arial" w:cs="Arial" w:eastAsia="Arial" w:hAnsi="Arial"/>
          <w:sz w:val="18"/>
          <w:szCs w:val="18"/>
          <w:color w:val="auto"/>
        </w:rPr>
        <w:t>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Beginning in 2022, applicable manufacturers also will be required to report such information regarding its payments and transfers of value to physician assistants, nurse practitioners, anesthesiologist assistants, clinical nurse specialists, certified registered nurse anesthetists and certified nurse midwives during the previous year; and</w:t>
      </w:r>
    </w:p>
    <w:p>
      <w:pPr>
        <w:spacing w:after="0" w:line="43" w:lineRule="exact"/>
        <w:rPr>
          <w:sz w:val="20"/>
          <w:szCs w:val="20"/>
          <w:color w:val="auto"/>
        </w:rPr>
      </w:pPr>
    </w:p>
    <w:p>
      <w:pPr>
        <w:jc w:val="both"/>
        <w:ind w:left="660" w:hanging="328"/>
        <w:spacing w:after="0" w:line="25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 for NGM120, NGM621, NGM707 and NGM438 is located in a region that has experienced political unrest. If our operations or the operations of third parties providing services to us experiences are disrupted by any such occurrences, our business and future prospects may be negatively affected.</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effects of disease outbreaks, epidemics and pandemics, including by the evolving effects of the COVID-19 pandemic. The COVID-19 pandemic continues to adversely impact our business and could materially and adversely affect our operations, as well as the businesses or operations of our manufacturers, CROs or other third parties with whom we conduct business.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0" w:name="page61"/>
    <w:bookmarkEnd w:id="60"/>
    <w:p>
      <w:pPr>
        <w:jc w:val="both"/>
        <w:ind w:right="20"/>
        <w:spacing w:after="0" w:line="261" w:lineRule="auto"/>
        <w:rPr>
          <w:sz w:val="20"/>
          <w:szCs w:val="20"/>
          <w:color w:val="auto"/>
        </w:rPr>
      </w:pPr>
      <w:r>
        <w:rPr>
          <w:rFonts w:ascii="Arial" w:cs="Arial" w:eastAsia="Arial" w:hAnsi="Arial"/>
          <w:sz w:val="18"/>
          <w:szCs w:val="18"/>
          <w:color w:val="auto"/>
        </w:rPr>
        <w:t>commerce, as significant reductions in business-related activities have occurred, supply chains have been disrupted and manufacturing and clinical development activities have been curtailed or suspended.</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Following guidance from federal, state and local authorities, we continue to operate with a substantially remote work model. Employees working on site continue to be primarily those individuals conducting essential in-person laboratory work that cannot be conducted remotely, with heightened safety measures designed to minimize occupational exposure and reduce transmission of COVID-19 within our workplace. Although we have re-opened our laboratory facilities under these heightened safety measures, we may be forced to, or determine that we should, resume a more restrictive remote work model. In connection with these measures, we may be subject to claims based upon, arising out of or related to COVID-19 and our actions and responses thereto, including any determinations that we have made and may make in the future with respect to our onsite operations. 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we first transitioned to a remote work model in March 2020, we experienced higher-than-normal employee turnover and an increased rate of hiring new employees. We cannot predict whether this higher turnover rate will continue and what its impact will be on productivity, whether these trends will continue or be exacerbated, when we will be permitted to, and whether we will, return to a fully office-based working model or whether we will be required to adopt a more restrictive work model as the pandemic evolves. Continuation of current or similar, and perhaps more severe, disruptions in our operations could materially and adversely impact our business, financial condition, results of operations and growth prospects.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the pandemic continues, there may be continuing negative impacts on our ability to initiate new clinical trial sites, maintain enrollment of existing patients and enroll new patients, which may affect timelines in the future.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we have experienced, from time to time, a slower pace of clinical site initiation and clinical trial enrollment than originally anticipated in certain of our clinical trials, including the ALPINE 4, CATALINA and NGM120 trials, and we experienced a higher dropout rate in our ALPINE 2/3 trial than we had anticipated based on our previous trials in patients with NASH. We believe this may be due to factors such as the vulnerability of our studied patient populations, clinical trial site suspensions, reallocation of medical resources and the challenges of working remotely due to shelter-in-place and similar government orders, among other factors.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patients from COVID-19 exposure as a result of their trial participation, which include the use of telemedicine visits, remote monitoring of patients and clinical trial sites and other measures designed to ensure that data from clinical trials that may be disrupted as result of the pandemic are collected pursuant to the study protocol and consistent with current Good Clinical Practices, or cGCPs, with any material protocol deviation reviewed and approved by the clinical trial site IRB. If any of the foregoing efforts to mitigate the impact of the COVID-19 pandemic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1" w:name="page62"/>
    <w:bookmarkEnd w:id="61"/>
    <w:p>
      <w:pPr>
        <w:jc w:val="both"/>
        <w:ind w:firstLine="648"/>
        <w:spacing w:after="0" w:line="251" w:lineRule="auto"/>
        <w:rPr>
          <w:sz w:val="20"/>
          <w:szCs w:val="20"/>
          <w:color w:val="auto"/>
        </w:rPr>
      </w:pPr>
      <w:r>
        <w:rPr>
          <w:rFonts w:ascii="Arial" w:cs="Arial" w:eastAsia="Arial" w:hAnsi="Arial"/>
          <w:sz w:val="18"/>
          <w:szCs w:val="18"/>
          <w:color w:val="auto"/>
        </w:rPr>
        <w:t>Quarantines, shelter-in-place and similar government orders could impact personnel at third-party manufacturing facilities in the United States and other countries, or the availability or cost of materials, which would disrupt our supply chain and delay our clinical development efforts. Likewise, the operations of our third-party manufacturers may be requisitioned, diverted or allocated by U.S. or foreign government orders such as under emergency, disaster and civil defense declarations in connection with the COVID-19 pandemic or otherwise. Refer the risk factor titled “We are subject to many manufacturing risks, any of which could substantially increase our costs and limit supply of our product candidates and any future products.” 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potential economic impact caused by, and the duration of, the COVID-19 pandemic may be difficult to assess or predict, the pandemic could result in significant and prolonged disruption of global financial markets, reducing our ability to access capital, which could in the future negatively affect the financial resources available to us. In addition, the current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Collaboration Agreement, to exercise its remaining option to extend the research phase of the collaboration beyond March 16, 2022 or to reach agreement with us on the terms of a modified collaboration, if any.</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ultimate duration and severity of the pandemic, travel restrictions, quarantines, social distancing and business closure requirements in the United States and in other countries, and the effectiveness of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our CROs, our CMOs and other third parties we rely on could experience a cybersecurity incident that could harm our business.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in the course of our business. The information and data processed and stored in our technology systems, and those of our research collaborators, CROs, CMOs, contractors, consultants and other third parties on which we depend to operate our business, may be vulnerable to security breaches, loss, damage, corruption, unauthorized access, use or disclosure or misappropriation. Such incidents also may result from errors or malfeasance by our personnel or the personnel of the third parties we work with,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While we have developed systems and processes designed to protect the integrity, confidentiality and security of the confidential and personal information under our control, we cannot assure you that any security measures that we or our third-party service providers have implemented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Despite our efforts to strengthen security and authentication measures, we have experienced an overall increase in cybersecurity incidents, none of which have caused material disruption to our business, or to our knowledge, involved a material security breach. In June 2019, a vendor that conducted bioanalytical services for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2" w:name="page63"/>
    <w:bookmarkEnd w:id="62"/>
    <w:p>
      <w:pPr>
        <w:jc w:val="both"/>
        <w:spacing w:after="0" w:line="251" w:lineRule="auto"/>
        <w:rPr>
          <w:sz w:val="20"/>
          <w:szCs w:val="20"/>
          <w:color w:val="auto"/>
        </w:rPr>
      </w:pPr>
      <w:r>
        <w:rPr>
          <w:rFonts w:ascii="Arial" w:cs="Arial" w:eastAsia="Arial" w:hAnsi="Arial"/>
          <w:sz w:val="18"/>
          <w:szCs w:val="18"/>
          <w:color w:val="auto"/>
        </w:rPr>
        <w:t>some of our aldafermin clinical trials experienced a ransomware attack that resulted in a significant disruption to its IT systems but did not affect the integrity of our clinical sample data for aldafermin, as verified by independent vendors. More recently, in December 2020, we detected that an attacker had gained access to a single system on our network and unsuccessfully attempted to use that access to stage a broader attack against us. We or the third parties we rely on could experience a material system failure, security breach or other cybersecurity incident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could also result in substantial remediation costs and expose us to litigation, regulatory enforcement action, fines, penalties and other liabilities.</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our insurance coverage will be adequate for data security liabilities actually incurred,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and data protection. The restrictions imposed by these requirements or our failure to comply with them could harm our business.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collect, use or transfer personal information from clinical trials participants and other individuals located in the EU. Additionally, if any of our product candidates are approved, we may seek to commercialize those products in the EU. The collection and use of personal information, including health data, in the EU and EEA are governed by the General Data Protection Regulation ((EU) 2016/679), or GDPR. Companies that violate the GDPR can face private litigation, prohibitions on data processing and fines of up to the greater of 20 million Euros or 4% of their worldwide annual revenue. The GDPR requires us to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European data protection laws, including the GDPR, generally restrict the transfer of personal information from Europe, including the European Economic Area, United Kingdom and Switzerland, to the United States and most other countries unless the receiving country offers comparable data protection laws. Decisions by the Court of Justice of the European Union, or CJEU, indicate that the United States does not offer adequate data protection that is comparable to the GDPR; however, one of the primary safeguards allowing United States companies to continue to import personal information from the EU has been the European Commission’s Standard Contractual Clauses, or SCCs. SCCs are standard contractual obligations that may be entered between a party exporting personal information from the EU and a party receiving the personal information in a third country. The CJEU adopted a decision in July 2020 validating that the SCCs can lawfully be used for personal information transfers from the EU to the United States, provided that the party exporting personal information from the EU conduct an analysis of the level of data protection available and take additional steps to guarantee adequate data protection, if needed. If adequate data protection cannot be guaranteed, EU citizens may complain to the data protection authorities, which may require data transfer under the contract to be suspended.</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monitor changes in European data protection laws; however, uncertainty remains regarding any future regulations, interpretations or guidance that may be issued by the European authorities. At present, we primarily rely on individuals’ explicit consent to transfer their personal information from Europe to the United States and other countries, but in certain cases we have relied or may rely on the SCCs. If we are unable to rely on explicit consent to transfer individuals’ personal information from Europe, which can be revoked, or implement another valid compliance solution, we will face increased exposure to substantial fines under European data protection laws as well as injunctions against the export and processing of personal information from Europe. Our inability to import personal information from the European Economic Area, United Kingdom or Switzerland may also restrict our clinical trial activities in Europe; limit our ability to collaborate with CROs, service providers, contractors and other companies subject to European data protection laws; and require us to increase our data processing capabilities in Europe at significant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3" w:name="page64"/>
    <w:bookmarkEnd w:id="63"/>
    <w:p>
      <w:pPr>
        <w:jc w:val="both"/>
        <w:ind w:firstLine="648"/>
        <w:spacing w:after="0" w:line="251" w:lineRule="auto"/>
        <w:rPr>
          <w:sz w:val="20"/>
          <w:szCs w:val="20"/>
          <w:color w:val="auto"/>
        </w:rPr>
      </w:pPr>
      <w:r>
        <w:rPr>
          <w:rFonts w:ascii="Arial" w:cs="Arial" w:eastAsia="Arial" w:hAnsi="Arial"/>
          <w:sz w:val="18"/>
          <w:szCs w:val="18"/>
          <w:color w:val="auto"/>
        </w:rPr>
        <w:t>In addition, there is currently a lack of clarity regarding the process for transferring personal information from the EU to the United Kingdom in compliance with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transfers of European personal information to the United Kingdom will require an approved compliance mechanism to render such transfers lawful under the GDPR. As of February 2021, the European Commission has launched a process towards the adoption of an adequacy decision for transfers of personal data from the EU to the United Kingdom, having concluded that the United Kingdom ensures an essentially equivalent level of protection to that guaranteed under the GDPR; however, uncertainty remains regarding how data transfers to and from the United Kingdom ultimately will be regulated after Brexit. The UK has incorporated an amended version of the GDPR into UK law, which is independent from but aligned with the EU’s GDPR. Non-compliance with the UK data protection law may result in monetary penalties of up to £17.5 million or 4% of worldwide revenue, whichever is higher.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Privacy and data security laws in the United States are increasingly complex and changing rapidly. Just over a month after the GDPR took effect, the California legislature passed the California Consumer Privacy Act of 2018, or CCPA, which took effect on January 1, 2020. The CCPA gives California residents certain rights similar to the individual rights given under the GDPR, including the right to access and delete their personal information, opt-out of certain personal information sharing and receive detailed information about how their personal information is used. The CCPA provides for civil penalties for violations. Since the enactment of the CCPA, new privacy and data security laws have been proposed in more than half of the states and in United States Congress, reflecting a trend toward more stringent privacy legislation in the United States. The CCPA itself will expand substantially as a result of California voters approving a November 2020 ballot measure that adopted the California Privacy Rights Act of 2020, which becomes fully effective on January 1, 2023, and will, among other things, create a new administrative agency to implement and enforce California’s privacy laws. While certain clinical trials activities are exempt from the CCPA’s requirements, other personal information that we handle may be subject to the CCPA, which may increase our compliance costs, exposure to regulatory enforcement action and other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health authorities are lengthy, time-consuming and inherently unpredictable. Our inability to obtain regulatory approval for our product candidates would substantially harm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health authority for many reasons, including: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4" w:name="page65"/>
    <w:bookmarkEnd w:id="64"/>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quality review or audit findings;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 Accordingly, although aldafermin has received Fast Track designation from the FDA for NASH, we may not necessarily experience faster development timelines or achieve faster review or approval compared to conventional FDA procedures.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seek accelerated approval for one of our product candidates, including aldafermin for NASH, based on a surrogate endpoint, the FDA may not accept such endpoint, may require additional studies 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health authority approval in international jurisdictions would prevent us from marketing our product candidates outside the United States.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5" w:name="page66"/>
    <w:bookmarkEnd w:id="65"/>
    <w:p>
      <w:pPr>
        <w:jc w:val="both"/>
        <w:ind w:right="20"/>
        <w:spacing w:after="0" w:line="261" w:lineRule="auto"/>
        <w:rPr>
          <w:sz w:val="20"/>
          <w:szCs w:val="20"/>
          <w:color w:val="auto"/>
        </w:rPr>
      </w:pPr>
      <w:r>
        <w:rPr>
          <w:rFonts w:ascii="Arial" w:cs="Arial" w:eastAsia="Arial" w:hAnsi="Arial"/>
          <w:sz w:val="18"/>
          <w:szCs w:val="18"/>
          <w:color w:val="auto"/>
        </w:rPr>
        <w:t>product candidates by health authorities in another country, we will be unable to commercialize our product in that country, and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other health authorities for compliance with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9" w:lineRule="exact"/>
        <w:rPr>
          <w:sz w:val="20"/>
          <w:szCs w:val="20"/>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will heavily scrutinize advertising and promotion of any product candidate that obtains approval outside of the United States.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6" w:name="page67"/>
    <w:bookmarkEnd w:id="66"/>
    <w:p>
      <w:pPr>
        <w:jc w:val="both"/>
        <w:spacing w:after="0" w:line="254" w:lineRule="auto"/>
        <w:rPr>
          <w:sz w:val="20"/>
          <w:szCs w:val="20"/>
          <w:color w:val="auto"/>
        </w:rPr>
      </w:pPr>
      <w:r>
        <w:rPr>
          <w:rFonts w:ascii="Arial" w:cs="Arial" w:eastAsia="Arial" w:hAnsi="Arial"/>
          <w:sz w:val="18"/>
          <w:szCs w:val="18"/>
          <w:color w:val="auto"/>
        </w:rPr>
        <w:t>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7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 licensees or collaborators were the first to make an invention, or the first inventors to file a patent application claiming an invention in our owned or licensed patents or pending patent applications. In addition, even if patents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7" w:name="page68"/>
    <w:bookmarkEnd w:id="67"/>
    <w:p>
      <w:pPr>
        <w:jc w:val="both"/>
        <w:spacing w:after="0" w:line="252" w:lineRule="auto"/>
        <w:rPr>
          <w:sz w:val="20"/>
          <w:szCs w:val="20"/>
          <w:color w:val="auto"/>
        </w:rPr>
      </w:pPr>
      <w:r>
        <w:rPr>
          <w:rFonts w:ascii="Arial" w:cs="Arial" w:eastAsia="Arial" w:hAnsi="Arial"/>
          <w:sz w:val="18"/>
          <w:szCs w:val="18"/>
          <w:color w:val="auto"/>
        </w:rPr>
        <w:t>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currently own or have a license to any issued patents that cover our NGM621 product candidate, although it is disclosed and claimed in our pending U.S. non-provisional and/or national stage applications in particular foreign countries. Likewise, we do not currently own or have a license to any issued patents that cover our NGM707 and NGM438 product candidates, although these product candidates are disclosed and claimed in our pending U.S. provisional applications. The patent landscape surrounding all of our product candidates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NGM621, NGM707 and NGM438 or any of our other product candidates.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Several third parties are actively researching and seeking and obtaining patent protection in the liver and metabolic diseases, retinal diseases and cancer fields,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8" w:name="page69"/>
    <w:bookmarkEnd w:id="68"/>
    <w:p>
      <w:pPr>
        <w:jc w:val="both"/>
        <w:spacing w:after="0" w:line="287"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lengthy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9" w:name="page70"/>
    <w:bookmarkEnd w:id="69"/>
    <w:p>
      <w:pPr>
        <w:jc w:val="both"/>
        <w:ind w:right="20"/>
        <w:spacing w:after="0" w:line="261" w:lineRule="auto"/>
        <w:rPr>
          <w:sz w:val="20"/>
          <w:szCs w:val="20"/>
          <w:color w:val="auto"/>
        </w:rPr>
      </w:pPr>
      <w:r>
        <w:rPr>
          <w:rFonts w:ascii="Arial" w:cs="Arial" w:eastAsia="Arial" w:hAnsi="Arial"/>
          <w:sz w:val="18"/>
          <w:szCs w:val="18"/>
          <w:color w:val="auto"/>
        </w:rPr>
        <w:t>from infringing upon or misappropriating intellectual property rights we own, control or have rights to, particularly in countries where the laws may not protect those rights as fully as in the United States.</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Third-party pre-issuance submission of prior art to the USPTO, opposition, derivation, revocation, reexamination, inter partes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inter partes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lengthy and time-consuming, and many of our adversaries may have the ability to dedicate substantially greater resources to prosecuting these legal actions than us.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 party patent. This is a high burden, requiring us to present clear and convincing evidence as to the invalidity of any such U.S. patent claim.</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0" w:name="page71"/>
    <w:bookmarkEnd w:id="70"/>
    <w:p>
      <w:pPr>
        <w:jc w:val="both"/>
        <w:ind w:firstLine="648"/>
        <w:spacing w:after="0" w:line="254"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$32.12 on March 17, 2021 and a low of $8.81 on October 7, 2019. The trading price of our common stock has been and may continue to be highly volatile and subject to wide fluctuations in response to various factors, some of which we cannot control. In addition to the factors discussed in this “Risk Factors” section, these factors include:</w:t>
      </w:r>
    </w:p>
    <w:p>
      <w:pPr>
        <w:spacing w:after="0" w:line="96" w:lineRule="exact"/>
        <w:rPr>
          <w:sz w:val="20"/>
          <w:szCs w:val="20"/>
          <w:color w:val="auto"/>
        </w:rPr>
      </w:pPr>
    </w:p>
    <w:p>
      <w:pPr>
        <w:jc w:val="both"/>
        <w:ind w:left="660" w:hanging="328"/>
        <w:spacing w:after="0" w:line="25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our failure to reach agreement with Merck on the terms of a modified collaboration, Merck’s decision to not exercise its remaining unilateral option to extend the research phase of the collaboration, investor perceptions as to the terms of a modified Collaboration Agreement, if any, or any termination of the collaboration;</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6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entitled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“Sales of a substantial number of shares of our common stock in the public market could cause our stock price to fall.”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8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For so long as we remain an “emerging growth company” as defined in the Jumpstart Our Business Startups Act of 2012, as amended, the JOBS Act, we may take advantage of certain exemptions from various requirements applicable to public companies that are not “emerging growth companies” including:</w:t>
      </w:r>
    </w:p>
    <w:p>
      <w:pPr>
        <w:spacing w:after="0" w:line="94" w:lineRule="exact"/>
        <w:rPr>
          <w:sz w:val="20"/>
          <w:szCs w:val="20"/>
          <w:color w:val="auto"/>
        </w:rPr>
      </w:pPr>
    </w:p>
    <w:p>
      <w:pPr>
        <w:ind w:left="66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or the Dodd-Frank Act, and some of the disclosure requirements of the Dodd-Frank Act relating to compensation of our chief executive officer; and</w:t>
      </w:r>
    </w:p>
    <w:p>
      <w:pPr>
        <w:spacing w:after="0" w:line="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Because our independent registered public accounting firm is not required to provide an attestation report on the effectiveness of our internal control over financial reporting so long as we qualify as an “emerging growth company,” the risk that material weaknesses or significant deficiencies in our internal control over financial reporting go undetected may be increased. Likewise, our election not to provide certain information, including certain financial information and certain information regarding compensation of our executive officers, that we would otherwise have been required to provide in filings we make with the U.S. Securities and Exchange Commission, or SEC, may make it more difficult for investors and securities analysts to evaluate our company.</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w:t>
      </w:r>
    </w:p>
    <w:p>
      <w:pPr>
        <w:spacing w:after="0" w:line="1" w:lineRule="exact"/>
        <w:rPr>
          <w:sz w:val="20"/>
          <w:szCs w:val="20"/>
          <w:color w:val="auto"/>
        </w:rPr>
      </w:pPr>
    </w:p>
    <w:p>
      <w:pPr>
        <w:jc w:val="both"/>
        <w:ind w:firstLine="8"/>
        <w:spacing w:after="0" w:line="256"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With respect to the JOBS Act, we are also taking advantage of some, but not all, of the reduced regulatory and reporting requirements that are available to us so long as we qualify as an “emerging growth company.” For example, we are not subject to the same new or revised accounting standards as other public companies that 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2" w:name="page73"/>
    <w:bookmarkEnd w:id="72"/>
    <w:p>
      <w:pPr>
        <w:jc w:val="both"/>
        <w:spacing w:after="0" w:line="256" w:lineRule="auto"/>
        <w:rPr>
          <w:sz w:val="20"/>
          <w:szCs w:val="20"/>
          <w:color w:val="auto"/>
        </w:rPr>
      </w:pPr>
      <w:r>
        <w:rPr>
          <w:rFonts w:ascii="Arial" w:cs="Arial" w:eastAsia="Arial" w:hAnsi="Arial"/>
          <w:sz w:val="18"/>
          <w:szCs w:val="18"/>
          <w:color w:val="auto"/>
        </w:rPr>
        <w:t>not “emerging growth companies.” As a result, changes in U.S. generally accepted accounting principles or their interpretation, the adoption of new guidance or the application of existing guidance to changes in our business could significantly affect our financial position and results of operations.</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and reduced requirements.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the trading days during the three months ended December 31, 2020, the average daily trading volume for our common stock on The Nasdaq Global Select Market was only 175,778 shares. As a result, sales of a substantial number of shares of our common stock in the public market, including pursuant to the Sales Agreement or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94" w:lineRule="exact"/>
        <w:rPr>
          <w:sz w:val="20"/>
          <w:szCs w:val="20"/>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3" w:name="page74"/>
    <w:bookmarkEnd w:id="73"/>
    <w:p>
      <w:pPr>
        <w:jc w:val="both"/>
        <w:spacing w:after="0" w:line="253" w:lineRule="auto"/>
        <w:rPr>
          <w:sz w:val="20"/>
          <w:szCs w:val="20"/>
          <w:color w:val="auto"/>
        </w:rPr>
      </w:pPr>
      <w:r>
        <w:rPr>
          <w:rFonts w:ascii="Arial" w:cs="Arial" w:eastAsia="Arial" w:hAnsi="Arial"/>
          <w:sz w:val="18"/>
          <w:szCs w:val="18"/>
          <w:color w:val="auto"/>
        </w:rPr>
        <w:t>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current terms of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4" w:name="page75"/>
    <w:bookmarkEnd w:id="74"/>
    <w:p>
      <w:pPr>
        <w:jc w:val="both"/>
        <w:spacing w:after="0" w:line="256" w:lineRule="auto"/>
        <w:rPr>
          <w:sz w:val="20"/>
          <w:szCs w:val="20"/>
          <w:color w:val="auto"/>
        </w:rPr>
      </w:pPr>
      <w:r>
        <w:rPr>
          <w:rFonts w:ascii="Arial" w:cs="Arial" w:eastAsia="Arial" w:hAnsi="Arial"/>
          <w:sz w:val="18"/>
          <w:szCs w:val="18"/>
          <w:color w:val="auto"/>
        </w:rPr>
        <w:t>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further increase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Accordingly, because of the inherent limitations in our control system, misstatements due to error or fraud may occur and not be detected.</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quarter ended March 31, 2021, we did not issue or sell any unregistered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2019, we completed our IPO pursuant to a Registration Statement on Form S-1 (No. 333-227608), which was declared effective by the SEC on April 3, 2019. We issued and sold an aggregate of 7,521,394 shares of our common stock, including 854,727 shares sold pursuant to the underwriters’ exercise of their option to purchase additional shares, at a public offering price of $16.00 per share. We received net proceeds of $107.8 million, after deducting underwriting discounts, commissions and offering expenses. No payments were made from our net proceeds directly or indirectly to our officers or directors, to persons owning 10% or more of any class of our equity securities or to any of our affiliates, other than payments in the ordinary course of business to officers for salaries and to non-employee directors as compensation for Board or Board committee service. Goldman Sachs &amp; Co. LLC, Citigroup Global Markets Inc. and Cowen and Company, LLC acted as joint book-running managers for the offering. As of March 31, 2021, we have used all of the net proceeds, primarily to advance the development of our product candidates and our clinical trials and research programs, and for working capital and general corporate purposes. There was no material change in the use of proceeds as described in our prospectus filed with the SEC on April 4, 2019 pursuant to Rule 424(b)(4) under the Securities Act of 1933, as amended.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February 3, 2021, we repurchased a total of 230 shares of our common stock for $8.14 per share. All of the shares repurchased were repurchases of unvested shares of our common stock that had been issued upon early exercise of stock options. Upon termination of employment of a person holding unvested shares, we are entitled to repurchase the unvested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9"/>
        </w:trPr>
        <w:tc>
          <w:tcPr>
            <w:tcW w:w="6260" w:type="dxa"/>
            <w:vAlign w:val="bottom"/>
            <w:gridSpan w:val="19"/>
          </w:tcPr>
          <w:p>
            <w:pPr>
              <w:spacing w:after="0"/>
              <w:rPr>
                <w:sz w:val="20"/>
                <w:szCs w:val="20"/>
                <w:color w:val="auto"/>
              </w:rPr>
            </w:pPr>
            <w:r>
              <w:rPr>
                <w:rFonts w:ascii="Arial" w:cs="Arial" w:eastAsia="Arial" w:hAnsi="Arial"/>
                <w:sz w:val="18"/>
                <w:szCs w:val="18"/>
                <w:b w:val="1"/>
                <w:bCs w:val="1"/>
                <w:color w:val="auto"/>
              </w:rPr>
              <w:t>Item 6. Exhibits.</w:t>
            </w: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Incorporated by Reference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20"/>
              <w:spacing w:after="0" w:line="169" w:lineRule="exact"/>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60" w:type="dxa"/>
            <w:vAlign w:val="bottom"/>
            <w:gridSpan w:val="15"/>
            <w:vMerge w:val="restart"/>
          </w:tcPr>
          <w:p>
            <w:pPr>
              <w:ind w:left="6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Schedule</w:t>
            </w: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9"/>
        </w:trPr>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60" w:type="dxa"/>
            <w:vAlign w:val="bottom"/>
            <w:gridSpan w:val="15"/>
            <w:vMerge w:val="continue"/>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5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406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Amended and Restated Certificate of Incorporation</w:t>
              </w:r>
            </w:hyperlink>
          </w:p>
        </w:tc>
        <w:tc>
          <w:tcPr>
            <w:tcW w:w="1020" w:type="dxa"/>
            <w:vAlign w:val="bottom"/>
            <w:gridSpan w:val="12"/>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line="182" w:lineRule="exact"/>
              <w:rPr>
                <w:sz w:val="20"/>
                <w:szCs w:val="20"/>
                <w:color w:val="auto"/>
              </w:rPr>
            </w:pPr>
            <w:r>
              <w:rPr>
                <w:rFonts w:ascii="Arial" w:cs="Arial" w:eastAsia="Arial" w:hAnsi="Arial"/>
                <w:sz w:val="18"/>
                <w:szCs w:val="18"/>
                <w:color w:val="auto"/>
                <w:w w:val="99"/>
              </w:rPr>
              <w:t>001-38853</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4/8/19</w:t>
            </w: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5080" w:type="dxa"/>
            <w:vAlign w:val="bottom"/>
            <w:gridSpan w:val="18"/>
          </w:tcPr>
          <w:p>
            <w:pPr>
              <w:spacing w:after="0"/>
              <w:rPr>
                <w:rFonts w:ascii="Arial" w:cs="Arial" w:eastAsia="Arial" w:hAnsi="Arial"/>
                <w:sz w:val="18"/>
                <w:szCs w:val="18"/>
                <w:color w:val="0000FF"/>
              </w:rPr>
            </w:pPr>
            <w:hyperlink r:id="rId98">
              <w:r>
                <w:rPr>
                  <w:rFonts w:ascii="Arial" w:cs="Arial" w:eastAsia="Arial" w:hAnsi="Arial"/>
                  <w:sz w:val="18"/>
                  <w:szCs w:val="18"/>
                  <w:color w:val="0000FF"/>
                </w:rPr>
                <w:t>Amended and Restated Bylaws</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5080" w:type="dxa"/>
            <w:vAlign w:val="bottom"/>
            <w:gridSpan w:val="18"/>
          </w:tcPr>
          <w:p>
            <w:pPr>
              <w:spacing w:after="0"/>
              <w:rPr>
                <w:rFonts w:ascii="Arial" w:cs="Arial" w:eastAsia="Arial" w:hAnsi="Arial"/>
                <w:sz w:val="18"/>
                <w:szCs w:val="18"/>
                <w:color w:val="0000FF"/>
              </w:rPr>
            </w:pPr>
            <w:hyperlink r:id="rId99">
              <w:r>
                <w:rPr>
                  <w:rFonts w:ascii="Arial" w:cs="Arial" w:eastAsia="Arial" w:hAnsi="Arial"/>
                  <w:sz w:val="18"/>
                  <w:szCs w:val="18"/>
                  <w:color w:val="0000FF"/>
                </w:rPr>
                <w:t>Letter Agreement, dated as of March 12, 2021, by and between</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spacing w:after="0"/>
              <w:rPr>
                <w:sz w:val="20"/>
                <w:szCs w:val="20"/>
                <w:color w:val="auto"/>
              </w:rPr>
            </w:pPr>
            <w:r>
              <w:rPr>
                <w:rFonts w:ascii="Arial" w:cs="Arial" w:eastAsia="Arial" w:hAnsi="Arial"/>
                <w:sz w:val="18"/>
                <w:szCs w:val="18"/>
                <w:color w:val="auto"/>
              </w:rPr>
              <w:t>10.1</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3/15/21</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0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Merck Sharp &amp; Dohme Corp. and NGM Biopharmaceuticals,</w:t>
              </w:r>
            </w:hyperlink>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8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Inc.</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10.2+*</w:t>
            </w:r>
          </w:p>
        </w:tc>
        <w:tc>
          <w:tcPr>
            <w:tcW w:w="5080" w:type="dxa"/>
            <w:vAlign w:val="bottom"/>
            <w:gridSpan w:val="18"/>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Offer Letter Agreement, by and between the Registrant and</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79">
              <w:r>
                <w:rPr>
                  <w:rFonts w:ascii="Arial" w:cs="Arial" w:eastAsia="Arial" w:hAnsi="Arial"/>
                  <w:sz w:val="18"/>
                  <w:szCs w:val="18"/>
                  <w:color w:val="0000FF"/>
                  <w:w w:val="99"/>
                </w:rPr>
                <w:t>Hsiao D. Lieu, M.D., dated as of January 16, 2019.</w:t>
              </w:r>
            </w:hyperlink>
          </w:p>
        </w:tc>
        <w:tc>
          <w:tcPr>
            <w:tcW w:w="7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10.3+*</w:t>
            </w:r>
          </w:p>
        </w:tc>
        <w:tc>
          <w:tcPr>
            <w:tcW w:w="5080" w:type="dxa"/>
            <w:vAlign w:val="bottom"/>
            <w:gridSpan w:val="18"/>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Offer Letter Agreement, by and between the Registrant and</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Valerie L. Pierce, dated as of August 6, 2019, and related</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w:anchor="page81">
              <w:r>
                <w:rPr>
                  <w:rFonts w:ascii="Arial" w:cs="Arial" w:eastAsia="Arial" w:hAnsi="Arial"/>
                  <w:sz w:val="18"/>
                  <w:szCs w:val="18"/>
                  <w:color w:val="0000FF"/>
                  <w:w w:val="97"/>
                </w:rPr>
                <w:t>information.</w:t>
              </w:r>
            </w:hyperlink>
          </w:p>
        </w:tc>
        <w:tc>
          <w:tcPr>
            <w:tcW w:w="362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5080" w:type="dxa"/>
            <w:vAlign w:val="bottom"/>
            <w:gridSpan w:val="18"/>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Certification of Chief Executive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92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w:anchor="page84">
              <w:r>
                <w:rPr>
                  <w:rFonts w:ascii="Arial" w:cs="Arial" w:eastAsia="Arial" w:hAnsi="Arial"/>
                  <w:sz w:val="17"/>
                  <w:szCs w:val="17"/>
                  <w:color w:val="0000FF"/>
                </w:rPr>
                <w:t>14(a) and 15d-14(a) under the Securities Exchange Act of</w:t>
              </w:r>
            </w:hyperlink>
          </w:p>
        </w:tc>
        <w:tc>
          <w:tcPr>
            <w:tcW w:w="16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9"/>
          </w:tcPr>
          <w:p>
            <w:pPr>
              <w:spacing w:after="0" w:line="157" w:lineRule="exact"/>
              <w:rPr>
                <w:rFonts w:ascii="Arial" w:cs="Arial" w:eastAsia="Arial" w:hAnsi="Arial"/>
                <w:sz w:val="18"/>
                <w:szCs w:val="18"/>
                <w:color w:val="0000FF"/>
                <w:w w:val="97"/>
              </w:rPr>
            </w:pPr>
            <w:hyperlink w:anchor="page84">
              <w:r>
                <w:rPr>
                  <w:rFonts w:ascii="Arial" w:cs="Arial" w:eastAsia="Arial" w:hAnsi="Arial"/>
                  <w:sz w:val="18"/>
                  <w:szCs w:val="18"/>
                  <w:color w:val="0000FF"/>
                  <w:w w:val="97"/>
                </w:rPr>
                <w:t>1934, as Adopted Pursuant to Section 302 of the Sarbanes</w:t>
              </w:r>
            </w:hyperlink>
          </w:p>
        </w:tc>
        <w:tc>
          <w:tcPr>
            <w:tcW w:w="260" w:type="dxa"/>
            <w:vAlign w:val="bottom"/>
            <w:gridSpan w:val="6"/>
          </w:tcPr>
          <w:p>
            <w:pPr>
              <w:jc w:val="right"/>
              <w:ind w:right="100"/>
              <w:spacing w:after="0" w:line="157" w:lineRule="exact"/>
              <w:rPr>
                <w:rFonts w:ascii="Arial" w:cs="Arial" w:eastAsia="Arial" w:hAnsi="Arial"/>
                <w:sz w:val="18"/>
                <w:szCs w:val="18"/>
                <w:color w:val="0000FF"/>
              </w:rPr>
            </w:pPr>
            <w:hyperlink w:anchor="page84">
              <w:r>
                <w:rPr>
                  <w:rFonts w:ascii="Arial" w:cs="Arial" w:eastAsia="Arial" w:hAnsi="Arial"/>
                  <w:sz w:val="18"/>
                  <w:szCs w:val="18"/>
                  <w:color w:val="0000FF"/>
                </w:rPr>
                <w:t>-</w:t>
              </w:r>
            </w:hyperlink>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w:anchor="page84">
              <w:r>
                <w:rPr>
                  <w:rFonts w:ascii="Arial" w:cs="Arial" w:eastAsia="Arial" w:hAnsi="Arial"/>
                  <w:sz w:val="18"/>
                  <w:szCs w:val="18"/>
                  <w:color w:val="0000FF"/>
                  <w:w w:val="98"/>
                </w:rPr>
                <w:t>Oxley Act of 2002</w:t>
              </w:r>
            </w:hyperlink>
          </w:p>
        </w:tc>
        <w:tc>
          <w:tcPr>
            <w:tcW w:w="3340" w:type="dxa"/>
            <w:vAlign w:val="bottom"/>
            <w:tcBorders>
              <w:top w:val="single" w:sz="8" w:color="0000FF"/>
            </w:tcBorders>
            <w:gridSpan w:val="10"/>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5080" w:type="dxa"/>
            <w:vAlign w:val="bottom"/>
            <w:gridSpan w:val="1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Certification of Chief Financial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86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w:anchor="page85">
              <w:r>
                <w:rPr>
                  <w:rFonts w:ascii="Arial" w:cs="Arial" w:eastAsia="Arial" w:hAnsi="Arial"/>
                  <w:sz w:val="17"/>
                  <w:szCs w:val="17"/>
                  <w:color w:val="0000FF"/>
                </w:rPr>
                <w:t>14(a) and 15d-14(a) under the Securities Exchange Act of</w:t>
              </w:r>
            </w:hyperlink>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9"/>
          </w:tcPr>
          <w:p>
            <w:pPr>
              <w:spacing w:after="0" w:line="157" w:lineRule="exact"/>
              <w:rPr>
                <w:rFonts w:ascii="Arial" w:cs="Arial" w:eastAsia="Arial" w:hAnsi="Arial"/>
                <w:sz w:val="18"/>
                <w:szCs w:val="18"/>
                <w:color w:val="0000FF"/>
                <w:w w:val="97"/>
              </w:rPr>
            </w:pPr>
            <w:hyperlink w:anchor="page85">
              <w:r>
                <w:rPr>
                  <w:rFonts w:ascii="Arial" w:cs="Arial" w:eastAsia="Arial" w:hAnsi="Arial"/>
                  <w:sz w:val="18"/>
                  <w:szCs w:val="18"/>
                  <w:color w:val="0000FF"/>
                  <w:w w:val="97"/>
                </w:rPr>
                <w:t>1934, as Adopted Pursuant to Section 302 of the Sarbanes</w:t>
              </w:r>
            </w:hyperlink>
          </w:p>
        </w:tc>
        <w:tc>
          <w:tcPr>
            <w:tcW w:w="480" w:type="dxa"/>
            <w:vAlign w:val="bottom"/>
            <w:gridSpan w:val="9"/>
          </w:tcPr>
          <w:p>
            <w:pPr>
              <w:jc w:val="right"/>
              <w:ind w:right="320"/>
              <w:spacing w:after="0" w:line="157" w:lineRule="exact"/>
              <w:rPr>
                <w:rFonts w:ascii="Arial" w:cs="Arial" w:eastAsia="Arial" w:hAnsi="Arial"/>
                <w:sz w:val="18"/>
                <w:szCs w:val="18"/>
                <w:color w:val="0000FF"/>
              </w:rPr>
            </w:pPr>
            <w:hyperlink w:anchor="page85">
              <w:r>
                <w:rPr>
                  <w:rFonts w:ascii="Arial" w:cs="Arial" w:eastAsia="Arial" w:hAnsi="Arial"/>
                  <w:sz w:val="18"/>
                  <w:szCs w:val="18"/>
                  <w:color w:val="0000FF"/>
                </w:rPr>
                <w:t>-</w:t>
              </w:r>
            </w:hyperlink>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w:anchor="page85">
              <w:r>
                <w:rPr>
                  <w:rFonts w:ascii="Arial" w:cs="Arial" w:eastAsia="Arial" w:hAnsi="Arial"/>
                  <w:sz w:val="18"/>
                  <w:szCs w:val="18"/>
                  <w:color w:val="0000FF"/>
                  <w:w w:val="98"/>
                </w:rPr>
                <w:t>Oxley Act of 2002</w:t>
              </w:r>
            </w:hyperlink>
          </w:p>
        </w:tc>
        <w:tc>
          <w:tcPr>
            <w:tcW w:w="3340" w:type="dxa"/>
            <w:vAlign w:val="bottom"/>
            <w:tcBorders>
              <w:top w:val="single" w:sz="8" w:color="0000FF"/>
            </w:tcBorders>
            <w:gridSpan w:val="10"/>
          </w:tcPr>
          <w:p>
            <w:pPr>
              <w:spacing w:after="0"/>
              <w:rPr>
                <w:sz w:val="13"/>
                <w:szCs w:val="13"/>
                <w:color w:val="auto"/>
              </w:rPr>
            </w:pPr>
          </w:p>
        </w:tc>
        <w:tc>
          <w:tcPr>
            <w:tcW w:w="32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5080" w:type="dxa"/>
            <w:vAlign w:val="bottom"/>
            <w:gridSpan w:val="1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Certification of Chief Executive Officer and Chief Financial</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Officer Pursuant to 18 U.S.C. Section 1350, as Adopted</w:t>
              </w:r>
            </w:hyperlink>
          </w:p>
        </w:tc>
        <w:tc>
          <w:tcPr>
            <w:tcW w:w="180" w:type="dxa"/>
            <w:vAlign w:val="bottom"/>
            <w:tcBorders>
              <w:top w:val="single" w:sz="8" w:color="0000FF"/>
            </w:tcBorders>
            <w:gridSpan w:val="3"/>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7"/>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20" w:type="dxa"/>
            <w:vAlign w:val="bottom"/>
            <w:tcBorders>
              <w:bottom w:val="single" w:sz="8" w:color="0000FF"/>
            </w:tcBorders>
            <w:gridSpan w:val="11"/>
          </w:tcPr>
          <w:p>
            <w:pPr>
              <w:spacing w:after="0" w:line="156"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Pursuant to Section 906 of the Sarbanes-Oxley Act of 2002</w:t>
              </w:r>
            </w:hyperlink>
          </w:p>
        </w:tc>
        <w:tc>
          <w:tcPr>
            <w:tcW w:w="360" w:type="dxa"/>
            <w:vAlign w:val="bottom"/>
            <w:gridSpan w:val="7"/>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508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508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508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right="4960" w:hanging="1154"/>
        <w:spacing w:after="0" w:line="227" w:lineRule="auto"/>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37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660" w:right="120" w:hanging="652"/>
        <w:spacing w:after="0" w:line="256" w:lineRule="auto"/>
        <w:tabs>
          <w:tab w:leader="none" w:pos="3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77" w:name="page78"/>
    <w:bookmarkEnd w:id="77"/>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NGM Biopharmaceuticals, Inc.</w:t>
      </w:r>
    </w:p>
    <w:p>
      <w:pPr>
        <w:spacing w:after="0" w:line="31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30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Siobhan Nolan Mangini</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20"/>
          </w:cols>
          <w:pgMar w:left="320" w:top="1102" w:right="75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200150" cy="651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2001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January 16,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Hsiao D. Lieu, M.D.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Hsiao,</w:t>
      </w:r>
    </w:p>
    <w:p>
      <w:pPr>
        <w:spacing w:after="0" w:line="25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behalf of NGM Biopharmaceuticals, Inc. (“NGM” or the “Company”), we are pleased that you will be joining the Company as Senior Vice President, Chief Medical Officer reporting to me. We believe this position represents an extraordinary opportunity, and we look forward to your joining our exceptional team.</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Below are details of the compensation and benefits program we are offering as part of your employment with NGM, as well as other terms of your employment. Should you have questions regarding any part of this offer, or wish to receive additional details, please let us know. Your annual base salary will be $ 420,000.00, less payroll deductions and all required withholdings, paid semi-monthly over 24 pay periods per year. In addition, you will be eligible to participate in the NGM Incentive Bonus Plan. You will also be eligible to receive a one-time sign-on bonus of $225,000.00, payable within the first two pay periods of your employment with NGM. Should you voluntarily resign from NGM within two (2) years from your start date, you will be required to repay the pro-rated portion of the sign-on bonus payment based on the number of months you were employed by the Company following receipt of the sign-on bonus payment.</w:t>
      </w:r>
    </w:p>
    <w:p>
      <w:pPr>
        <w:spacing w:after="0" w:line="23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NGM provides all eligible employees with a comprehensive benefits program. You will have the opportunity to participate in these benefits, which include medical, dental and vision coverage for you and your eligible dependents, if you choose to enroll in them. In addition, we provide life insurance, LTD and AD&amp;D coverage, along with a comprehensive 401(k) program. NGM also provides benefits including Company holidays, vacation, sick leave and Health Care and Dependent Flexible Spending Accounts. The Company may change compensation and benefits from time to time in its discretion. There is a formal performance review period once a year.</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 important component of your compensation includes the opportunity for ownership in the Company. After you commence employment, and subject to the approval of our Board of Directors (the “Board”), NGM will grant you an option to purchase 400,000 shares of the Company’s common stock (subject to adjustment for stock splits, stock dividends, reclassification and the like) at the fair market value determined by the Board as of the date of grant (the “Option”). The Option will be subject to the terms and conditions of the Company’s Equity Incentive Plan (the “Plan”) and your grant agreement. Your grant agreement will reflect a four year vesting schedule, under which 25% of your Option will vest after 12 months and 1/48th of the total will vest at the end of each month thereafter, until either the Option is fully vested or your employment ends, whichever occurs first.</w:t>
      </w:r>
    </w:p>
    <w:p>
      <w:pPr>
        <w:spacing w:after="0" w:line="2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a condition of your employment, you will be required to abide by the Company’s policies and procedures, including those outlined in our employee handbook. You also agree to read, sign and comply with the Company’s Employee Proprietary Information and Inventions Agreement (“Proprietary Information Agreement”).</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 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ectPr>
          <w:pgSz w:w="11900" w:h="16838" w:orient="portrait"/>
          <w:cols w:equalWidth="0" w:num="1">
            <w:col w:w="11240"/>
          </w:cols>
          <w:pgMar w:left="320" w:top="1102" w:right="339" w:bottom="1440" w:gutter="0" w:footer="0" w:header="0"/>
        </w:sectPr>
      </w:pPr>
    </w:p>
    <w:bookmarkStart w:id="79" w:name="page80"/>
    <w:bookmarkEnd w:id="79"/>
    <w:p>
      <w:pPr>
        <w:ind w:right="300"/>
        <w:spacing w:after="0" w:line="261" w:lineRule="auto"/>
        <w:rPr>
          <w:sz w:val="20"/>
          <w:szCs w:val="20"/>
          <w:color w:val="auto"/>
        </w:rPr>
      </w:pPr>
      <w:r>
        <w:rPr>
          <w:rFonts w:ascii="Arial" w:cs="Arial" w:eastAsia="Arial" w:hAnsi="Arial"/>
          <w:sz w:val="18"/>
          <w:szCs w:val="18"/>
          <w:color w:val="auto"/>
        </w:rPr>
        <w:t>This offer is contingent upon our verification of your employment history. Any intentional misrepresentation concerning your employment history may result in actions up to and including revocation of this offer or termination of your employment at NGM.</w:t>
      </w:r>
    </w:p>
    <w:p>
      <w:pPr>
        <w:spacing w:after="0" w:line="22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and signatures transmitted electronically will be deemed equivalent to originals. As required by law, this offer is subject to satisfactory proof of your identity and right to work in the United States.</w:t>
      </w:r>
    </w:p>
    <w:p>
      <w:pPr>
        <w:spacing w:after="0" w:line="2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Hsiao, we are thrilled that you have decided to accept our employment offer. Under the terms described above, please sign and date this letter and the Proprietary Information Agreement, and return them by January 23, 2019. It is our expectation that you will join NGM in March 2019.</w:t>
      </w:r>
    </w:p>
    <w:p>
      <w:pPr>
        <w:spacing w:after="0" w:line="22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NGM is an ambitious undertaking, and we fully expect our company to become a force in the development and commercialization of pharmaceutical therapies. To this end, we are assembling a team of uniquely qualified individuals with extraordinary knowledge, skills and drive. Your leadership of the development area will be a critical part of our success and we look forward to you joining our team.</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85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A — Employee Proprietary Information and Inventions Agreement</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Understood and Accepted</w:t>
      </w:r>
    </w:p>
    <w:p>
      <w:pPr>
        <w:sectPr>
          <w:pgSz w:w="11900" w:h="16838" w:orient="portrait"/>
          <w:cols w:equalWidth="0" w:num="1">
            <w:col w:w="11100"/>
          </w:cols>
          <w:pgMar w:left="320" w:top="908" w:right="47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Hsiao D. Lieu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85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Hsiao D. Lieu, M.D.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1/22/2019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wp:posOffset>
            </wp:positionV>
            <wp:extent cx="10883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7880" w:space="720"/>
            <w:col w:w="2500"/>
          </w:cols>
          <w:pgMar w:left="320" w:top="908" w:right="47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200150" cy="651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12001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Valerie L. Pierce, Esq.</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Dear Valerie,</w:t>
      </w:r>
    </w:p>
    <w:p>
      <w:pPr>
        <w:spacing w:after="0" w:line="25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On behalf of NGM Biopharmaceuticals, Inc. ("NGM" or the "Company"), we are pleased that you will be joining the Company as Senior Vice President, General Counsel and Chief Compliance Officer reporting to me. We believe this position represents an extraordinary opportunity, and we look forward to your joining our exceptional team.</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Below are details of the compensation and benefits program we are offering as part of your employment with NGM, as well as other terms of your employment. Should you have questions regarding any part of this offer, or wish to receive additional details, please let us know. Your annual base salary will be $ 390,000.00, less payroll deductions and all required withholdings, paid semi- monthly over 24 pay periods per year. In addition, you will be eligible to participate in the NGM Incentive Bonus Plan. You will also be eligible to receive a one-time sign-on bonus of $75,000.00, payable within the first two pay periods of your employment with NGM. Should you voluntarily resign from NGM within two (2) years from your start date, you will be required to repay the pro-rated portion of the sign-on bonus payment based on the number of months you were employed by the Company following receipt of the sign-on bonus payment. In addition, you will be eligible to receive a one-time retention bonus of $75,000.00 payable within the first two pay periods following the one-year anniversary of your employment. Should you voluntarily resign from NGM within two (2) years from the receipt of your retention bonus payment, you will be required to repay the pro-rated portion of the retention bonus payment based on the number of months you were employed by the Company following receipt of the retention bonus payment.</w:t>
      </w:r>
    </w:p>
    <w:p>
      <w:pPr>
        <w:spacing w:after="0" w:line="238"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NGM provides all eligible employees with a comprehensive benefits program. You will have the opportunity to participate in these benefits, which include medical, dental and vision coverage for you and your eligible dependents, if you choose to enroll in them. In addition, we provide life insurance, LTD and AD&amp;D coverage, along with a comprehensive 401(k) program. NGM also provides benefits including Company holidays, vacation, sick leave and Health Care and Dependent Flexible Spending Accounts. The Company may change compensation and benefits from time to time in its discretion. There is a formal performance review period once a year.</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An important component of your compensation includes the opportunity for ownership in the Company. After you commence employment, and subject to the approval of our Board of Directors (the "Board"), NGM will grant you an option to purchase 200,000 shares of the Company's common stock (subject to adjustment for stock splits, stock dividends, reclassification and the like) at the fair market value determined by the Board as of the date of grant (the "Option"). The Option will be subject to the terms and conditions of the Company's Equity Incentive Plan (the "Plan") and your grant agreement. Your grant agreement will reflect a four year vesting schedule, under which 25% of your Option will vest after 12 months and 1/48th of the total will vest at the end of each month thereafter, until either the Option is fully vested or your employment ends, whichever occurs first.</w:t>
      </w:r>
    </w:p>
    <w:p>
      <w:pPr>
        <w:spacing w:after="0" w:line="23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a condition of your employment, you will be required to abide by the Company's policies and procedures, including those outlined in our employee handbook. You also agree to read, sign and comply with the Company's Employee Proprietary Information and Inventions Agreement ("Proprietary Information Agreement").</w:t>
      </w:r>
    </w:p>
    <w:p>
      <w:pPr>
        <w:spacing w:after="0" w:line="2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your work for the Company, you will be expected to not make any unauthorized use of, or disclose, the confidential information or materials, including trade secrets, of any former employer or other third party to whom you owe an obligation of confidentiality. Rather, you will be expected to use only that information generally known</w:t>
      </w:r>
    </w:p>
    <w:p>
      <w:pPr>
        <w:sectPr>
          <w:pgSz w:w="11900" w:h="16838" w:orient="portrait"/>
          <w:cols w:equalWidth="0" w:num="1">
            <w:col w:w="11240"/>
          </w:cols>
          <w:pgMar w:left="320" w:top="1102" w:right="339" w:bottom="1440" w:gutter="0" w:footer="0" w:header="0"/>
        </w:sectPr>
      </w:pPr>
    </w:p>
    <w:bookmarkStart w:id="81" w:name="page82"/>
    <w:bookmarkEnd w:id="81"/>
    <w:p>
      <w:pPr>
        <w:spacing w:after="0" w:line="253" w:lineRule="auto"/>
        <w:rPr>
          <w:sz w:val="20"/>
          <w:szCs w:val="20"/>
          <w:color w:val="auto"/>
        </w:rPr>
      </w:pPr>
      <w:r>
        <w:rPr>
          <w:rFonts w:ascii="Arial" w:cs="Arial" w:eastAsia="Arial" w:hAnsi="Arial"/>
          <w:sz w:val="18"/>
          <w:szCs w:val="18"/>
          <w:color w:val="auto"/>
        </w:rPr>
        <w:t>and used by persons with training and experience comparable to your own, which information is common knowledge in the industry or otherwise legally available in the public domain, or which is otherwise provided or developed by the Company. By accepting employment with the Company, you are representing to us that you will be able to perform your duties within the guidelines described in this paragraph. You represent further that you have disclosed to the Company any contract you have signed that may restrict your activities on behalf of the Company in any manner.</w:t>
      </w:r>
    </w:p>
    <w:p>
      <w:pPr>
        <w:spacing w:after="0" w:line="23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This offer is contingent upon our verification of your employment history. Any intentional misrepresentation concerning your employment history may result in actions up to and including revocation of this offer or termination of your employment at NGM.</w:t>
      </w:r>
    </w:p>
    <w:p>
      <w:pPr>
        <w:spacing w:after="0" w:line="22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Your employment relationship is at-will. Accordingly, you may terminate your employment with the Company at any time and for any reason whatsoever simply by notifying the Company. Likewise, the Company may terminate your employment at any time and for any reason, with or without cause or advance notice.</w:t>
      </w:r>
    </w:p>
    <w:p>
      <w:pPr>
        <w:spacing w:after="0" w:line="229"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This letter, together with your Proprietary Information Agreement, forms the complete and exclusive statement of your agreement with the Company concerning this offer. The terms of this letter supersede any other representations or agreements made to you by any party, whether oral or written. The terms of our agreement cannot be changed (except those changes expressly reserved to the Company's discretion in this letter) other than by a written agreement signed by you and a duly authorized officer of the Company. This agreement is to be governed by the laws of the state of California without reference to its conflicts of law principles. In case any provision contained in this agreement shall, for any reason, be held invalid or unenforceable in any respect, such invalidity or unenforceability will not affect the other provisions of this agreement, and such provision will be construed and enforced so as to render it valid and enforceable consistent with the general intent of the parties insofar as possible under applicable law. With respect to the enforcement of this agreement, no waiver of any right hereunder will be effective unless it is in writing. This agreement may be executed in more than one counterpart , and signatures transmitted electronically will be deemed equivalent to originals. As required by law, this offer is subject to satisfactory proof of your identity and right to work in the United States.</w:t>
      </w:r>
    </w:p>
    <w:p>
      <w:pPr>
        <w:spacing w:after="0" w:line="23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Valerie, we are thrilled that you have decided to accept our employment offer. Under the terms described above, please sign and date this letter and the Proprietary Information Agreement, and return them by August 13, 2019. It is our expectation that you will join NGM in September 2019.</w:t>
      </w:r>
    </w:p>
    <w:p>
      <w:pPr>
        <w:spacing w:after="0" w:line="2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NGM is an ambitious undertaking, and we fully expect our company to become a force in the development and commercialization of pharmaceutical therapies. To this end, we are assembling a team of uniquely qualified individuals with extraordinary knowledge, skills and drive. Your leadership of the legal area will be a critical part of our success and we look forward to you joining our team.</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85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A — Employee Proprietary Information and Inventions Agreement</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Understood and Accepted</w:t>
      </w:r>
    </w:p>
    <w:p>
      <w:pPr>
        <w:sectPr>
          <w:pgSz w:w="11900" w:h="16838" w:orient="portrait"/>
          <w:cols w:equalWidth="0" w:num="1">
            <w:col w:w="11220"/>
          </w:cols>
          <w:pgMar w:left="320" w:top="908" w:right="35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Valerie L.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085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Valerie L. Pierce, Esq.</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8/6/19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13335</wp:posOffset>
            </wp:positionV>
            <wp:extent cx="10883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7880" w:space="720"/>
            <w:col w:w="2620"/>
          </w:cols>
          <w:pgMar w:left="320" w:top="908"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ADDITIONAL INFORMATION REGARDING SEVERANCE AND CHANGE IN CONTROL ARRANGEMENTS</w:t>
      </w:r>
    </w:p>
    <w:p>
      <w:pPr>
        <w:spacing w:after="0" w:line="200" w:lineRule="exact"/>
        <w:rPr>
          <w:sz w:val="20"/>
          <w:szCs w:val="20"/>
          <w:color w:val="auto"/>
        </w:rPr>
      </w:pPr>
    </w:p>
    <w:p>
      <w:pPr>
        <w:spacing w:after="0" w:line="31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to the employment offer letter with Ms. Pierce entered into on August 6, 2019, in May 2020 the Compensation Committee of the NGM Biopharmaceuticals, Inc. Board of Directors determined that, in the event of a termination without cause (and other than as a result of death or disability) or resignation for good reason, in either case on or within 18 months after the effective date of a change in control, and contingent on execution of an effective release of claims against us and satisfaction of certain other conditions, Ms. Pierce will be entitled to (i) continued payment of her base salary for 6 months; (ii) payment or reimbursement of COBRA premiums for her and her eligible dependents for up to 6 months; and (iii) full vesting of any unvested equity awards held by Ms. Pierce.</w:t>
      </w:r>
    </w:p>
    <w:p>
      <w:pPr>
        <w:sectPr>
          <w:pgSz w:w="11900" w:h="16838" w:orient="portrait"/>
          <w:cols w:equalWidth="0" w:num="1">
            <w:col w:w="11160"/>
          </w:cols>
          <w:pgMar w:left="320" w:top="886" w:right="4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25" w:lineRule="exact"/>
        <w:rPr>
          <w:sz w:val="20"/>
          <w:szCs w:val="20"/>
          <w:color w:val="auto"/>
        </w:rPr>
      </w:pPr>
    </w:p>
    <w:p>
      <w:pPr>
        <w:ind w:left="880" w:hanging="872"/>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00" w:hanging="892"/>
        <w:spacing w:after="0" w:line="261" w:lineRule="auto"/>
        <w:tabs>
          <w:tab w:leader="none" w:pos="8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800" w:hanging="901"/>
        <w:spacing w:after="0" w:line="254" w:lineRule="auto"/>
        <w:tabs>
          <w:tab w:leader="none" w:pos="17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8"/>
          <w:szCs w:val="18"/>
          <w:color w:val="auto"/>
        </w:rPr>
      </w:pPr>
    </w:p>
    <w:p>
      <w:pPr>
        <w:jc w:val="both"/>
        <w:ind w:left="1800" w:hanging="901"/>
        <w:spacing w:after="0" w:line="256" w:lineRule="auto"/>
        <w:tabs>
          <w:tab w:leader="none" w:pos="17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800" w:hanging="901"/>
        <w:spacing w:after="0" w:line="254" w:lineRule="auto"/>
        <w:tabs>
          <w:tab w:leader="none" w:pos="17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800" w:hanging="901"/>
        <w:spacing w:after="0" w:line="256" w:lineRule="auto"/>
        <w:tabs>
          <w:tab w:leader="none" w:pos="17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800" w:hanging="901"/>
        <w:spacing w:after="0" w:line="261" w:lineRule="auto"/>
        <w:tabs>
          <w:tab w:leader="none" w:pos="17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6, 2021</w:t>
      </w:r>
    </w:p>
    <w:p>
      <w:pPr>
        <w:spacing w:after="0" w:line="293" w:lineRule="exact"/>
        <w:rPr>
          <w:sz w:val="20"/>
          <w:szCs w:val="20"/>
          <w:color w:val="auto"/>
        </w:rPr>
      </w:pPr>
    </w:p>
    <w:p>
      <w:pPr>
        <w:ind w:left="51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6350</wp:posOffset>
            </wp:positionV>
            <wp:extent cx="3531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16"/>
          <w:szCs w:val="16"/>
          <w:b w:val="1"/>
          <w:bCs w:val="1"/>
          <w:color w:val="auto"/>
        </w:rPr>
        <w:t>David J. Woodhouse, Ph.D.</w:t>
      </w:r>
    </w:p>
    <w:p>
      <w:pPr>
        <w:spacing w:after="0" w:line="32"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2"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i w:val="1"/>
          <w:iCs w:val="1"/>
          <w:color w:val="auto"/>
        </w:rPr>
        <w:t>(Principal Executive Officer)</w:t>
      </w:r>
    </w:p>
    <w:p>
      <w:pPr>
        <w:sectPr>
          <w:pgSz w:w="11900" w:h="16838" w:orient="portrait"/>
          <w:cols w:equalWidth="0" w:num="1">
            <w:col w:w="11240"/>
          </w:cols>
          <w:pgMar w:left="320" w:top="110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25" w:lineRule="exact"/>
        <w:rPr>
          <w:sz w:val="20"/>
          <w:szCs w:val="20"/>
          <w:color w:val="auto"/>
        </w:rPr>
      </w:pPr>
    </w:p>
    <w:p>
      <w:pPr>
        <w:ind w:left="880" w:hanging="87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900" w:hanging="892"/>
        <w:spacing w:after="0" w:line="261" w:lineRule="auto"/>
        <w:tabs>
          <w:tab w:leader="none" w:pos="8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1700" w:hanging="801"/>
        <w:spacing w:after="0" w:line="254" w:lineRule="auto"/>
        <w:tabs>
          <w:tab w:leader="none" w:pos="16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8"/>
          <w:szCs w:val="18"/>
          <w:color w:val="auto"/>
        </w:rPr>
      </w:pPr>
    </w:p>
    <w:p>
      <w:pPr>
        <w:jc w:val="both"/>
        <w:ind w:left="1700" w:hanging="801"/>
        <w:spacing w:after="0" w:line="256" w:lineRule="auto"/>
        <w:tabs>
          <w:tab w:leader="none" w:pos="16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700" w:hanging="801"/>
        <w:spacing w:after="0" w:line="254" w:lineRule="auto"/>
        <w:tabs>
          <w:tab w:leader="none" w:pos="169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8"/>
          <w:szCs w:val="18"/>
          <w:color w:val="auto"/>
        </w:rPr>
      </w:pPr>
    </w:p>
    <w:p>
      <w:pPr>
        <w:jc w:val="both"/>
        <w:ind w:left="900" w:hanging="892"/>
        <w:spacing w:after="0" w:line="256" w:lineRule="auto"/>
        <w:tabs>
          <w:tab w:leader="none" w:pos="8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700" w:hanging="801"/>
        <w:spacing w:after="0" w:line="256" w:lineRule="auto"/>
        <w:tabs>
          <w:tab w:leader="none" w:pos="16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700" w:hanging="801"/>
        <w:spacing w:after="0" w:line="261" w:lineRule="auto"/>
        <w:tabs>
          <w:tab w:leader="none" w:pos="169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6, 2021</w:t>
      </w:r>
    </w:p>
    <w:p>
      <w:pPr>
        <w:spacing w:after="0" w:line="293" w:lineRule="exact"/>
        <w:rPr>
          <w:sz w:val="20"/>
          <w:szCs w:val="20"/>
          <w:color w:val="auto"/>
        </w:rPr>
      </w:pPr>
    </w:p>
    <w:p>
      <w:pPr>
        <w:ind w:left="49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6350</wp:posOffset>
            </wp:positionV>
            <wp:extent cx="36772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jc w:val="center"/>
        <w:ind w:left="5380"/>
        <w:spacing w:after="0"/>
        <w:rPr>
          <w:sz w:val="20"/>
          <w:szCs w:val="20"/>
          <w:color w:val="auto"/>
        </w:rPr>
      </w:pPr>
      <w:r>
        <w:rPr>
          <w:rFonts w:ascii="Arial" w:cs="Arial" w:eastAsia="Arial" w:hAnsi="Arial"/>
          <w:sz w:val="16"/>
          <w:szCs w:val="16"/>
          <w:b w:val="1"/>
          <w:bCs w:val="1"/>
          <w:color w:val="auto"/>
        </w:rPr>
        <w:t>Siobhan Nolan Mangini</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i w:val="1"/>
          <w:iCs w:val="1"/>
          <w:color w:val="auto"/>
        </w:rPr>
        <w:t>(Principal Financial Officer)</w:t>
      </w:r>
    </w:p>
    <w:p>
      <w:pPr>
        <w:sectPr>
          <w:pgSz w:w="11900" w:h="16838" w:orient="portrait"/>
          <w:cols w:equalWidth="0" w:num="1">
            <w:col w:w="11240"/>
          </w:cols>
          <w:pgMar w:left="320" w:top="1102"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Chief Financial Officer of the Company, each hereby certifies that, to the best of his or her knowledge:</w:t>
      </w:r>
    </w:p>
    <w:p>
      <w:pPr>
        <w:spacing w:after="0" w:line="204" w:lineRule="exact"/>
        <w:rPr>
          <w:sz w:val="20"/>
          <w:szCs w:val="20"/>
          <w:color w:val="auto"/>
        </w:rPr>
      </w:pPr>
    </w:p>
    <w:p>
      <w:pPr>
        <w:ind w:left="500" w:hanging="492"/>
        <w:spacing w:after="0" w:line="261" w:lineRule="auto"/>
        <w:tabs>
          <w:tab w:leader="none" w:pos="4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2021,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500" w:right="20" w:hanging="492"/>
        <w:spacing w:after="0" w:line="261" w:lineRule="auto"/>
        <w:tabs>
          <w:tab w:leader="none" w:pos="4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have set their hands hereto as of the 6th day of May, 2021.</w:t>
      </w:r>
    </w:p>
    <w:p>
      <w:pPr>
        <w:spacing w:after="0" w:line="347" w:lineRule="exact"/>
        <w:rPr>
          <w:sz w:val="20"/>
          <w:szCs w:val="20"/>
          <w:color w:val="auto"/>
        </w:rPr>
      </w:pPr>
    </w:p>
    <w:p>
      <w:pPr>
        <w:jc w:val="center"/>
        <w:ind w:right="508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090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jc w:val="center"/>
        <w:ind w:right="5080"/>
        <w:spacing w:after="0"/>
        <w:rPr>
          <w:sz w:val="20"/>
          <w:szCs w:val="20"/>
          <w:color w:val="auto"/>
        </w:rPr>
      </w:pPr>
      <w:r>
        <w:rPr>
          <w:rFonts w:ascii="Arial" w:cs="Arial" w:eastAsia="Arial" w:hAnsi="Arial"/>
          <w:sz w:val="16"/>
          <w:szCs w:val="16"/>
          <w:b w:val="1"/>
          <w:bCs w:val="1"/>
          <w:color w:val="auto"/>
        </w:rPr>
        <w:t>David J. Woodhouse, Ph.D.</w:t>
      </w:r>
    </w:p>
    <w:p>
      <w:pPr>
        <w:spacing w:after="0" w:line="32" w:lineRule="exact"/>
        <w:rPr>
          <w:sz w:val="20"/>
          <w:szCs w:val="20"/>
          <w:color w:val="auto"/>
        </w:rPr>
      </w:pPr>
    </w:p>
    <w:p>
      <w:pPr>
        <w:jc w:val="center"/>
        <w:ind w:right="5080"/>
        <w:spacing w:after="0"/>
        <w:rPr>
          <w:sz w:val="20"/>
          <w:szCs w:val="20"/>
          <w:color w:val="auto"/>
        </w:rPr>
      </w:pPr>
      <w:r>
        <w:rPr>
          <w:rFonts w:ascii="Arial" w:cs="Arial" w:eastAsia="Arial" w:hAnsi="Arial"/>
          <w:sz w:val="16"/>
          <w:szCs w:val="16"/>
          <w:b w:val="1"/>
          <w:bCs w:val="1"/>
          <w:color w:val="auto"/>
        </w:rPr>
        <w:t>Chief Executive Officer and Director</w:t>
      </w:r>
    </w:p>
    <w:p>
      <w:pPr>
        <w:spacing w:after="0" w:line="32" w:lineRule="exact"/>
        <w:rPr>
          <w:sz w:val="20"/>
          <w:szCs w:val="20"/>
          <w:color w:val="auto"/>
        </w:rPr>
      </w:pPr>
    </w:p>
    <w:p>
      <w:pPr>
        <w:jc w:val="center"/>
        <w:ind w:right="50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387" w:lineRule="exact"/>
        <w:rPr>
          <w:sz w:val="20"/>
          <w:szCs w:val="20"/>
          <w:color w:val="auto"/>
        </w:rPr>
      </w:pPr>
    </w:p>
    <w:p>
      <w:pPr>
        <w:jc w:val="center"/>
        <w:ind w:right="5060"/>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17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jc w:val="center"/>
        <w:ind w:right="5060"/>
        <w:spacing w:after="0"/>
        <w:rPr>
          <w:sz w:val="20"/>
          <w:szCs w:val="20"/>
          <w:color w:val="auto"/>
        </w:rPr>
      </w:pPr>
      <w:r>
        <w:rPr>
          <w:rFonts w:ascii="Arial" w:cs="Arial" w:eastAsia="Arial" w:hAnsi="Arial"/>
          <w:sz w:val="16"/>
          <w:szCs w:val="16"/>
          <w:b w:val="1"/>
          <w:bCs w:val="1"/>
          <w:color w:val="auto"/>
        </w:rPr>
        <w:t>Siobhan Nolan Mangini</w:t>
      </w:r>
    </w:p>
    <w:p>
      <w:pPr>
        <w:spacing w:after="0" w:line="32" w:lineRule="exact"/>
        <w:rPr>
          <w:sz w:val="20"/>
          <w:szCs w:val="20"/>
          <w:color w:val="auto"/>
        </w:rPr>
      </w:pPr>
    </w:p>
    <w:p>
      <w:pPr>
        <w:jc w:val="center"/>
        <w:ind w:right="506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right="506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Roman"/>
      <w:start w:val="2"/>
    </w:lvl>
  </w:abstractNum>
  <w:abstractNum w:abstractNumId="3">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2443A8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lvl w:ilvl="1">
      <w:lvlJc w:val="left"/>
      <w:lvlText w:val="%2"/>
      <w:numFmt w:val="decimal"/>
      <w:start w:val="104"/>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jpe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jpe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97" Type="http://schemas.openxmlformats.org/officeDocument/2006/relationships/hyperlink" Target="https://www.sec.gov/Archives/edgar/data/0001426332/000119312519100757/d731361dex31.htm" TargetMode="External"/><Relationship Id="rId98" Type="http://schemas.openxmlformats.org/officeDocument/2006/relationships/hyperlink" Target="https://www.sec.gov/Archives/edgar/data/0001426332/000119312518287727/d693178dex34.htm" TargetMode="External"/><Relationship Id="rId99" Type="http://schemas.openxmlformats.org/officeDocument/2006/relationships/hyperlink" Target="https://www.sec.gov/Archives/edgar/data/1426332/000156459021013182/ngm-ex101_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2021-05-06T16:01:14Z</dcterms:created>
  <dcterms:modified xsi:type="dcterms:W3CDTF">2021-05-06T16:01:14Z</dcterms:modified>
</cp:coreProperties>
</file>