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SCHEDULE 13E-3</w:t>
      </w:r>
    </w:p>
    <w:p>
      <w:pPr>
        <w:spacing w:after="0" w:line="228" w:lineRule="exact"/>
        <w:rPr>
          <w:sz w:val="24"/>
          <w:szCs w:val="24"/>
          <w:color w:val="auto"/>
        </w:rPr>
      </w:pPr>
    </w:p>
    <w:p>
      <w:pPr>
        <w:jc w:val="center"/>
        <w:ind w:left="520" w:right="1780"/>
        <w:spacing w:after="0" w:line="246" w:lineRule="auto"/>
        <w:rPr>
          <w:sz w:val="20"/>
          <w:szCs w:val="20"/>
          <w:color w:val="auto"/>
        </w:rPr>
      </w:pPr>
      <w:r>
        <w:rPr>
          <w:rFonts w:ascii="Times New Roman" w:cs="Times New Roman" w:eastAsia="Times New Roman" w:hAnsi="Times New Roman"/>
          <w:sz w:val="22"/>
          <w:szCs w:val="22"/>
          <w:b w:val="1"/>
          <w:bCs w:val="1"/>
          <w:color w:val="auto"/>
        </w:rPr>
        <w:t>RULE 13e-3 TRANSACTION STATEMENT PURSUANT TO SECTION 13(e) OF THE SECURITIES EXCHANGE ACT OF 1934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288925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40"/>
          <w:szCs w:val="40"/>
          <w:b w:val="1"/>
          <w:bCs w:val="1"/>
          <w:color w:val="auto"/>
        </w:rPr>
        <w:t>NGM BIOPHARMACEUTICALS, INC.</w:t>
      </w:r>
    </w:p>
    <w:p>
      <w:pPr>
        <w:spacing w:after="0" w:line="4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3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9"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William J. Rieflin</w:t>
      </w:r>
    </w:p>
    <w:p>
      <w:pPr>
        <w:spacing w:after="0" w:line="2"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(Name of Person(s) Filing Statement)</w:t>
      </w:r>
    </w:p>
    <w:p>
      <w:pPr>
        <w:spacing w:after="0" w:line="200" w:lineRule="exact"/>
        <w:rPr>
          <w:sz w:val="24"/>
          <w:szCs w:val="24"/>
          <w:color w:val="auto"/>
        </w:rPr>
      </w:pPr>
    </w:p>
    <w:p>
      <w:pPr>
        <w:spacing w:after="0" w:line="204"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62921N 105</w:t>
      </w:r>
    </w:p>
    <w:p>
      <w:pPr>
        <w:spacing w:after="0" w:line="25"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(CUSIP Number of Common Stock)</w:t>
      </w:r>
    </w:p>
    <w:p>
      <w:pPr>
        <w:spacing w:after="0" w:line="200" w:lineRule="exact"/>
        <w:rPr>
          <w:sz w:val="24"/>
          <w:szCs w:val="24"/>
          <w:color w:val="auto"/>
        </w:rPr>
      </w:pPr>
    </w:p>
    <w:p>
      <w:pPr>
        <w:spacing w:after="0" w:line="204"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David J. Woodhouse</w:t>
      </w:r>
    </w:p>
    <w:p>
      <w:pPr>
        <w:spacing w:after="0" w:line="3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4"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420" w:type="dxa"/>
            <w:vAlign w:val="bottom"/>
          </w:tcPr>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c>
          <w:tcPr>
            <w:tcW w:w="2780" w:type="dxa"/>
            <w:vAlign w:val="bottom"/>
          </w:tcPr>
          <w:p>
            <w:pPr>
              <w:spacing w:after="0"/>
              <w:rPr>
                <w:sz w:val="20"/>
                <w:szCs w:val="20"/>
                <w:color w:val="auto"/>
              </w:rPr>
            </w:pPr>
          </w:p>
        </w:tc>
      </w:tr>
      <w:tr>
        <w:trPr>
          <w:trHeight w:val="437"/>
        </w:trPr>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Valerie Pierce</w:t>
            </w:r>
          </w:p>
        </w:tc>
        <w:tc>
          <w:tcPr>
            <w:tcW w:w="3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Keith Flaum</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Richard Aftanas</w:t>
            </w:r>
          </w:p>
        </w:tc>
      </w:tr>
      <w:tr>
        <w:trPr>
          <w:trHeight w:val="216"/>
        </w:trPr>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Senior Vice President, General Counsel and Chief</w:t>
            </w:r>
          </w:p>
        </w:tc>
        <w:tc>
          <w:tcPr>
            <w:tcW w:w="3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Hogan Lovells US LLP</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Hogan Lovells US LLP</w:t>
            </w:r>
          </w:p>
        </w:tc>
      </w:tr>
      <w:tr>
        <w:trPr>
          <w:trHeight w:val="216"/>
        </w:trPr>
        <w:tc>
          <w:tcPr>
            <w:tcW w:w="41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Compliance Officer</w:t>
            </w:r>
          </w:p>
        </w:tc>
        <w:tc>
          <w:tcPr>
            <w:tcW w:w="3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855 Main Street</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390 Madison Avenue</w:t>
            </w:r>
          </w:p>
        </w:tc>
      </w:tr>
      <w:tr>
        <w:trPr>
          <w:trHeight w:val="216"/>
        </w:trPr>
        <w:tc>
          <w:tcPr>
            <w:tcW w:w="41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NGM Biopharmaceuticals, Inc.</w:t>
            </w:r>
          </w:p>
        </w:tc>
        <w:tc>
          <w:tcPr>
            <w:tcW w:w="3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New York, New York 10017</w:t>
            </w:r>
          </w:p>
        </w:tc>
      </w:tr>
      <w:tr>
        <w:trPr>
          <w:trHeight w:val="216"/>
        </w:trPr>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tc>
        <w:tc>
          <w:tcPr>
            <w:tcW w:w="3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Redwood City, California 94063</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(212) 918-3000</w:t>
            </w:r>
          </w:p>
        </w:tc>
      </w:tr>
      <w:tr>
        <w:trPr>
          <w:trHeight w:val="216"/>
        </w:trPr>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4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(650) 463-4000</w:t>
            </w:r>
          </w:p>
        </w:tc>
        <w:tc>
          <w:tcPr>
            <w:tcW w:w="2780" w:type="dxa"/>
            <w:vAlign w:val="bottom"/>
          </w:tcPr>
          <w:p>
            <w:pPr>
              <w:spacing w:after="0"/>
              <w:rPr>
                <w:sz w:val="18"/>
                <w:szCs w:val="18"/>
                <w:color w:val="auto"/>
              </w:rPr>
            </w:pPr>
          </w:p>
        </w:tc>
      </w:tr>
      <w:tr>
        <w:trPr>
          <w:trHeight w:val="216"/>
        </w:trPr>
        <w:tc>
          <w:tcPr>
            <w:tcW w:w="4100" w:type="dxa"/>
            <w:vAlign w:val="bottom"/>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94080</w:t>
            </w:r>
          </w:p>
        </w:tc>
        <w:tc>
          <w:tcPr>
            <w:tcW w:w="34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38"/>
        </w:trPr>
        <w:tc>
          <w:tcPr>
            <w:tcW w:w="4100" w:type="dxa"/>
            <w:vAlign w:val="bottom"/>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(650) 243-5555</w:t>
            </w:r>
          </w:p>
        </w:tc>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308610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This statement is filed in connection with (check the appropriate box):</w:t>
      </w:r>
    </w:p>
    <w:p>
      <w:pPr>
        <w:spacing w:after="0" w:line="90" w:lineRule="exact"/>
        <w:rPr>
          <w:sz w:val="24"/>
          <w:szCs w:val="24"/>
          <w:color w:val="auto"/>
        </w:rPr>
      </w:pPr>
    </w:p>
    <w:p>
      <w:pPr>
        <w:ind w:left="584" w:hanging="584"/>
        <w:spacing w:after="0" w:line="245" w:lineRule="exact"/>
        <w:tabs>
          <w:tab w:leader="none" w:pos="31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filing of solicitation materials or an information statement subject to Regulation 14A, Regulation 14C or Rule 13e-3(c) under the Securities Exchange Act of 1934.</w:t>
      </w:r>
    </w:p>
    <w:p>
      <w:pPr>
        <w:spacing w:after="0" w:line="50" w:lineRule="exact"/>
        <w:rPr>
          <w:rFonts w:ascii="Times New Roman" w:cs="Times New Roman" w:eastAsia="Times New Roman" w:hAnsi="Times New Roman"/>
          <w:sz w:val="18"/>
          <w:szCs w:val="18"/>
          <w:color w:val="auto"/>
        </w:rPr>
      </w:pPr>
    </w:p>
    <w:p>
      <w:pPr>
        <w:ind w:left="304" w:hanging="304"/>
        <w:spacing w:after="0" w:line="207" w:lineRule="exact"/>
        <w:tabs>
          <w:tab w:leader="none" w:pos="30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filing of a registration statement under the Securities Act of 1933.</w:t>
      </w:r>
    </w:p>
    <w:p>
      <w:pPr>
        <w:spacing w:after="0" w:line="117" w:lineRule="exact"/>
        <w:rPr>
          <w:rFonts w:ascii="Times New Roman" w:cs="Times New Roman" w:eastAsia="Times New Roman" w:hAnsi="Times New Roman"/>
          <w:sz w:val="18"/>
          <w:szCs w:val="18"/>
          <w:color w:val="auto"/>
        </w:rPr>
      </w:pPr>
    </w:p>
    <w:p>
      <w:pPr>
        <w:ind w:left="304" w:hanging="304"/>
        <w:spacing w:after="0" w:line="207" w:lineRule="exact"/>
        <w:tabs>
          <w:tab w:leader="none" w:pos="30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tender offer.</w:t>
      </w:r>
    </w:p>
    <w:p>
      <w:pPr>
        <w:spacing w:after="0" w:line="117" w:lineRule="exact"/>
        <w:rPr>
          <w:rFonts w:ascii="Times New Roman" w:cs="Times New Roman" w:eastAsia="Times New Roman" w:hAnsi="Times New Roman"/>
          <w:sz w:val="18"/>
          <w:szCs w:val="18"/>
          <w:color w:val="auto"/>
        </w:rPr>
      </w:pPr>
    </w:p>
    <w:p>
      <w:pPr>
        <w:ind w:left="304" w:hanging="304"/>
        <w:spacing w:after="0" w:line="207" w:lineRule="exact"/>
        <w:tabs>
          <w:tab w:leader="none" w:pos="30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None of the above.</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soliciting materials or information statement referred to in checking box (a) are preliminary copies: 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transaction:  </w:t>
      </w:r>
      <w:r>
        <w:rPr>
          <w:rFonts w:ascii="MS PGothic" w:cs="MS PGothic" w:eastAsia="MS PGothic" w:hAnsi="MS PGothic"/>
          <w:sz w:val="18"/>
          <w:szCs w:val="18"/>
          <w:color w:val="auto"/>
        </w:rPr>
        <w:t>☒</w:t>
      </w:r>
    </w:p>
    <w:p>
      <w:pPr>
        <w:sectPr>
          <w:pgSz w:w="11900" w:h="16838" w:orient="portrait"/>
          <w:cols w:equalWidth="0" w:num="1">
            <w:col w:w="10944"/>
          </w:cols>
          <w:pgMar w:left="436" w:top="511" w:right="519" w:bottom="0" w:gutter="0" w:footer="0" w:header="0"/>
        </w:sectPr>
      </w:pPr>
    </w:p>
    <w:bookmarkStart w:id="1" w:name="page2"/>
    <w:bookmarkEnd w:id="1"/>
    <w:p>
      <w:pPr>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SCHEDULE 13E-3.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Schedule 13E-3 amends the Schedule 13E-3 previously filed by NGM Biopharmaceuticals, Inc. (“</w:t>
      </w:r>
      <w:r>
        <w:rPr>
          <w:rFonts w:ascii="Times New Roman" w:cs="Times New Roman" w:eastAsia="Times New Roman" w:hAnsi="Times New Roman"/>
          <w:sz w:val="18"/>
          <w:szCs w:val="18"/>
          <w:i w:val="1"/>
          <w:iCs w:val="1"/>
          <w:color w:val="auto"/>
        </w:rPr>
        <w:t>NGM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David J. Woodhouse, Ph.D. and William J. Rieflin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March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amended and supplemented on March 22, 2024, the “</w:t>
      </w:r>
      <w:r>
        <w:rPr>
          <w:rFonts w:ascii="Times New Roman" w:cs="Times New Roman" w:eastAsia="Times New Roman" w:hAnsi="Times New Roman"/>
          <w:sz w:val="18"/>
          <w:szCs w:val="18"/>
          <w:i w:val="1"/>
          <w:iCs w:val="1"/>
          <w:color w:val="auto"/>
        </w:rPr>
        <w:t>Schedule 13E-3</w:t>
      </w:r>
      <w:r>
        <w:rPr>
          <w:rFonts w:ascii="Times New Roman" w:cs="Times New Roman" w:eastAsia="Times New Roman" w:hAnsi="Times New Roman"/>
          <w:sz w:val="18"/>
          <w:szCs w:val="18"/>
          <w:color w:val="auto"/>
        </w:rPr>
        <w:t>”), with respect to the tender offer by Atlas Neon Merger Sub, Inc., a Delaware corporation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and wholly owned subsidiary of Atlas Neon Parent, Inc., a Delaware corporation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to purchase all of the issued and outstanding shares of common stock, par value $0.001 per share of NGM Bio (other than the Rollover Shares (as defined in the Merger Agreement)), for $1.55 per Share in cash. The tender offer is being made subject to all terms and conditions set forth in the Offer to Purchase, dated March 8, 2024 (as amended or supplemented from time to time, the “</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and in the related Letter of Transmittal (the “</w:t>
      </w:r>
      <w:r>
        <w:rPr>
          <w:rFonts w:ascii="Times New Roman" w:cs="Times New Roman" w:eastAsia="Times New Roman" w:hAnsi="Times New Roman"/>
          <w:sz w:val="18"/>
          <w:szCs w:val="18"/>
          <w:i w:val="1"/>
          <w:iCs w:val="1"/>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Transmittal</w:t>
      </w:r>
      <w:r>
        <w:rPr>
          <w:rFonts w:ascii="Times New Roman" w:cs="Times New Roman" w:eastAsia="Times New Roman" w:hAnsi="Times New Roman"/>
          <w:sz w:val="18"/>
          <w:szCs w:val="18"/>
          <w:color w:val="auto"/>
        </w:rPr>
        <w:t>,” which together with the Offer to Purchase constitutes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which are attached as Exhibits (a)(1)(A) and (a)(1)(B), respectively,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Tender Offer Statement on Schedule TO filed by the Purchaser and Parent with the SEC on March 8, 2024 and amended and supplemented on March 22, 2024.</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response to the Offer, the Company filed a Solicitation/Recommendation Statement on Schedule 14D-9 on March 8, 2024 (as amended and supplemented on each of March 22, 2024, March 29, 2024 and April 5, 2024, and together with any exhibits and annexes attached thereto, the “</w:t>
      </w:r>
      <w:r>
        <w:rPr>
          <w:rFonts w:ascii="Times New Roman" w:cs="Times New Roman" w:eastAsia="Times New Roman" w:hAnsi="Times New Roman"/>
          <w:sz w:val="18"/>
          <w:szCs w:val="18"/>
          <w:i w:val="1"/>
          <w:i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14D-9</w:t>
      </w:r>
      <w:r>
        <w:rPr>
          <w:rFonts w:ascii="Times New Roman" w:cs="Times New Roman" w:eastAsia="Times New Roman" w:hAnsi="Times New Roman"/>
          <w:sz w:val="18"/>
          <w:szCs w:val="18"/>
          <w:color w:val="auto"/>
        </w:rPr>
        <w:t>”). The information contained in the Schedule 14D-9 and the Offer to Purchase, including all schedules, annexes and exhibits thereto, is expressly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to the extent such information is required in response to the items of this Amendment and is supplemented by the information specifically provided herein. The responses to each item in this Amendment are qualified in their entirety by the information contained in the Schedule 14D-9 and the Offer to Purchase. All information contained in this Amendment concerning the Company, Dr. Woodhouse, Mr. Rieflin, Parent and Purchaser has been provided by such person and not by any other person.</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Capitalized terms used in this Amendment but not defined herein shall have the respective meaning given to such terms in the Schedule 14D-9. The information set forth in the Schedule 13E-3 remains unchanged and is incorporated herein by reference, except that such information is hereby amended or supplemented to the extent specifically provided herein. This Amendment is being filed to disclose certain updates as reflected below.</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hereby added as a new sentence following the first sentence under Item 15(c) of the Schedule 13E-3:</w:t>
      </w:r>
    </w:p>
    <w:p>
      <w:pPr>
        <w:spacing w:after="0" w:line="115"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“The information set forth in the Schedule 14D-9 under the heading “</w:t>
      </w:r>
      <w:r>
        <w:rPr>
          <w:rFonts w:ascii="Times New Roman" w:cs="Times New Roman" w:eastAsia="Times New Roman" w:hAnsi="Times New Roman"/>
          <w:sz w:val="18"/>
          <w:szCs w:val="18"/>
          <w:i w:val="1"/>
          <w:iCs w:val="1"/>
          <w:color w:val="auto"/>
        </w:rPr>
        <w:t>Special Factors—Purposes, Alternatives, Reasons and Effects—Additional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Information—Final Results of the Offer and Completion of the Merger</w:t>
      </w:r>
      <w:r>
        <w:rPr>
          <w:rFonts w:ascii="Times New Roman" w:cs="Times New Roman" w:eastAsia="Times New Roman" w:hAnsi="Times New Roman"/>
          <w:sz w:val="18"/>
          <w:szCs w:val="18"/>
          <w:color w:val="auto"/>
        </w:rPr>
        <w:t>” is incorporated herein by reference.”</w:t>
      </w:r>
    </w:p>
    <w:p>
      <w:pPr>
        <w:spacing w:after="0" w:line="30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16 is hereby amended and supplemented by adding the following exhibit:</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(a)(1)(H) Press Release issued by NGM Bio on April 5, 2024 (incorporated by reference to Exhibit (a)(1)(J) to the Schedule 14D-9 filed with the SEC by NGM Bio on April 5, 2024).</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April 5, 2024</w:t>
      </w:r>
      <w:r>
        <w:rPr>
          <w:sz w:val="20"/>
          <w:szCs w:val="20"/>
          <w:color w:val="auto"/>
        </w:rPr>
        <w:tab/>
      </w:r>
      <w:r>
        <w:rPr>
          <w:rFonts w:ascii="Times New Roman" w:cs="Times New Roman" w:eastAsia="Times New Roman" w:hAnsi="Times New Roman"/>
          <w:sz w:val="17"/>
          <w:szCs w:val="17"/>
          <w:b w:val="1"/>
          <w:bCs w:val="1"/>
          <w:color w:val="auto"/>
        </w:rPr>
        <w:t>NGM BIOPHARMACEUTICALS,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David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David J. Woodhouse, Ph.D.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David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David J. Woodhouse, Ph.D.</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William J. Rieflin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Bill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William J. Rieflin</w:t>
      </w:r>
    </w:p>
    <w:sectPr>
      <w:pgSz w:w="11900" w:h="16838" w:orient="portrait"/>
      <w:cols w:equalWidth="0" w:num="1">
        <w:col w:w="10560"/>
      </w:cols>
      <w:pgMar w:left="440" w:top="266"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2024-04-05T08:34:06Z</dcterms:created>
  <dcterms:modified xsi:type="dcterms:W3CDTF">2024-04-05T08:34:06Z</dcterms:modified>
</cp:coreProperties>
</file>