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U.S. Securities and Exchange Commission on March 15, 2021</w:t>
      </w:r>
    </w:p>
    <w:p>
      <w:pPr>
        <w:spacing w:after="0" w:line="1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spacing w:after="0" w:line="232"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29"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29" w:lineRule="exact"/>
        <w:rPr>
          <w:sz w:val="24"/>
          <w:szCs w:val="24"/>
          <w:color w:val="auto"/>
        </w:rPr>
      </w:pPr>
    </w:p>
    <w:p>
      <w:pPr>
        <w:sectPr>
          <w:pgSz w:w="11900" w:h="16838" w:orient="portrait"/>
          <w:cols w:equalWidth="0" w:num="2">
            <w:col w:w="7360" w:space="720"/>
            <w:col w:w="3160"/>
          </w:cols>
          <w:pgMar w:left="320" w:top="229" w:right="339" w:bottom="1440" w:gutter="0" w:footer="0" w:header="0"/>
          <w:type w:val="continuous"/>
        </w:sectPr>
      </w:pPr>
    </w:p>
    <w:p>
      <w:pPr>
        <w:ind w:left="1860"/>
        <w:spacing w:after="0"/>
        <w:rPr>
          <w:sz w:val="20"/>
          <w:szCs w:val="20"/>
          <w:color w:val="auto"/>
        </w:rPr>
      </w:pPr>
      <w:r>
        <w:rPr>
          <w:rFonts w:ascii="Arial" w:cs="Arial" w:eastAsia="Arial" w:hAnsi="Arial"/>
          <w:sz w:val="14"/>
          <w:szCs w:val="14"/>
          <w:b w:val="1"/>
          <w:bCs w:val="1"/>
          <w:color w:val="auto"/>
        </w:rPr>
        <w:t>(State or other jurisdiction of</w:t>
      </w: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4"/>
          <w:szCs w:val="14"/>
          <w:b w:val="1"/>
          <w:bCs w:val="1"/>
          <w:color w:val="auto"/>
        </w:rPr>
        <w:t>Identification No.)</w:t>
      </w:r>
    </w:p>
    <w:p>
      <w:pPr>
        <w:spacing w:after="0" w:line="127" w:lineRule="exact"/>
        <w:rPr>
          <w:sz w:val="24"/>
          <w:szCs w:val="24"/>
          <w:color w:val="auto"/>
        </w:rPr>
      </w:pPr>
    </w:p>
    <w:p>
      <w:pPr>
        <w:sectPr>
          <w:pgSz w:w="11900" w:h="16838" w:orient="portrait"/>
          <w:cols w:equalWidth="0" w:num="2">
            <w:col w:w="7180" w:space="720"/>
            <w:col w:w="3340"/>
          </w:cols>
          <w:pgMar w:left="320" w:top="229"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333 Oyster Point Boulevard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(650) 243-5555</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240"/>
          </w:cols>
          <w:pgMar w:left="320" w:top="229" w:right="339" w:bottom="1440" w:gutter="0" w:footer="0" w:header="0"/>
          <w:type w:val="continuous"/>
        </w:sectPr>
      </w:pP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NGM Biopharmaceuticals, Inc. Amended and Restated 2018 Equity Incentive Plan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David J. Woodhouse, Ph.D.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NGM Biopharmaceuticals,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Oyster Point Boulevard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South San Francisco, California 94080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243-5555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Chadwick Mills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 Carlton Fleming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Cooley LLP</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3175 Hanover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Palo Alto, California 94304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40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8"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12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51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right="2"/>
              <w:spacing w:after="0" w:line="129" w:lineRule="exact"/>
              <w:rPr>
                <w:sz w:val="20"/>
                <w:szCs w:val="20"/>
                <w:color w:val="auto"/>
              </w:rPr>
            </w:pPr>
            <w:r>
              <w:rPr>
                <w:rFonts w:ascii="Arial" w:cs="Arial" w:eastAsia="Arial" w:hAnsi="Arial"/>
                <w:sz w:val="14"/>
                <w:szCs w:val="14"/>
                <w:b w:val="1"/>
                <w:bCs w:val="1"/>
                <w:color w:val="auto"/>
              </w:rPr>
              <w:t>Proposed</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Proposed</w:t>
            </w:r>
          </w:p>
        </w:tc>
        <w:tc>
          <w:tcPr>
            <w:tcW w:w="1820" w:type="dxa"/>
            <w:vAlign w:val="bottom"/>
            <w:tcBorders>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Maximum</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Securities</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Amount to be</w:t>
            </w:r>
          </w:p>
        </w:tc>
        <w:tc>
          <w:tcPr>
            <w:tcW w:w="1880" w:type="dxa"/>
            <w:vAlign w:val="bottom"/>
            <w:tcBorders>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Maximum</w:t>
            </w:r>
          </w:p>
        </w:tc>
        <w:tc>
          <w:tcPr>
            <w:tcW w:w="1820" w:type="dxa"/>
            <w:vAlign w:val="bottom"/>
            <w:tcBorders>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Aggregate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1180" w:type="dxa"/>
            <w:vAlign w:val="bottom"/>
            <w:tcBorders>
              <w:bottom w:val="single" w:sz="8" w:color="auto"/>
              <w:right w:val="single" w:sz="8" w:color="auto"/>
            </w:tcBorders>
          </w:tcPr>
          <w:p>
            <w:pPr>
              <w:ind w:left="80"/>
              <w:spacing w:after="0" w:line="189" w:lineRule="exact"/>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21"/>
                <w:szCs w:val="21"/>
                <w:b w:val="1"/>
                <w:bCs w:val="1"/>
                <w:color w:val="auto"/>
                <w:vertAlign w:val="superscript"/>
              </w:rPr>
              <w:t>(1)</w:t>
            </w:r>
          </w:p>
        </w:tc>
        <w:tc>
          <w:tcPr>
            <w:tcW w:w="1880" w:type="dxa"/>
            <w:vAlign w:val="bottom"/>
            <w:tcBorders>
              <w:bottom w:val="single" w:sz="8" w:color="auto"/>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Offering Price per Share</w:t>
            </w:r>
          </w:p>
        </w:tc>
        <w:tc>
          <w:tcPr>
            <w:tcW w:w="182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Offering 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95"/>
        </w:trPr>
        <w:tc>
          <w:tcPr>
            <w:tcW w:w="5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par value $0.001 per share</w:t>
            </w:r>
          </w:p>
        </w:tc>
        <w:tc>
          <w:tcPr>
            <w:tcW w:w="1180" w:type="dxa"/>
            <w:vAlign w:val="bottom"/>
            <w:tcBorders>
              <w:right w:val="single" w:sz="8" w:color="auto"/>
            </w:tcBorders>
            <w:vMerge w:val="restart"/>
          </w:tcPr>
          <w:p>
            <w:pPr>
              <w:jc w:val="center"/>
              <w:ind w:right="39"/>
              <w:spacing w:after="0"/>
              <w:rPr>
                <w:sz w:val="20"/>
                <w:szCs w:val="20"/>
                <w:color w:val="auto"/>
              </w:rPr>
            </w:pPr>
            <w:r>
              <w:rPr>
                <w:rFonts w:ascii="Arial" w:cs="Arial" w:eastAsia="Arial" w:hAnsi="Arial"/>
                <w:sz w:val="18"/>
                <w:szCs w:val="18"/>
                <w:color w:val="auto"/>
                <w:w w:val="95"/>
              </w:rPr>
              <w:t xml:space="preserve">2,823,565 </w:t>
            </w:r>
            <w:r>
              <w:rPr>
                <w:rFonts w:ascii="Arial" w:cs="Arial" w:eastAsia="Arial" w:hAnsi="Arial"/>
                <w:sz w:val="26"/>
                <w:szCs w:val="26"/>
                <w:b w:val="1"/>
                <w:bCs w:val="1"/>
                <w:color w:val="auto"/>
                <w:w w:val="95"/>
                <w:vertAlign w:val="superscript"/>
              </w:rPr>
              <w:t>(2)</w:t>
            </w:r>
          </w:p>
        </w:tc>
        <w:tc>
          <w:tcPr>
            <w:tcW w:w="188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8"/>
                <w:szCs w:val="18"/>
                <w:color w:val="auto"/>
                <w:w w:val="93"/>
              </w:rPr>
              <w:t xml:space="preserve">$28.57 </w:t>
            </w:r>
            <w:r>
              <w:rPr>
                <w:rFonts w:ascii="Arial" w:cs="Arial" w:eastAsia="Arial" w:hAnsi="Arial"/>
                <w:sz w:val="26"/>
                <w:szCs w:val="26"/>
                <w:b w:val="1"/>
                <w:bCs w:val="1"/>
                <w:color w:val="auto"/>
                <w:w w:val="93"/>
                <w:vertAlign w:val="superscript"/>
              </w:rPr>
              <w:t>(3)</w:t>
            </w:r>
          </w:p>
        </w:tc>
        <w:tc>
          <w:tcPr>
            <w:tcW w:w="1820" w:type="dxa"/>
            <w:vAlign w:val="bottom"/>
            <w:tcBorders>
              <w:right w:val="single" w:sz="8" w:color="auto"/>
            </w:tcBorders>
            <w:vMerge w:val="restart"/>
          </w:tcPr>
          <w:p>
            <w:pPr>
              <w:jc w:val="center"/>
              <w:ind w:right="122"/>
              <w:spacing w:after="0"/>
              <w:rPr>
                <w:sz w:val="20"/>
                <w:szCs w:val="20"/>
                <w:color w:val="auto"/>
              </w:rPr>
            </w:pPr>
            <w:r>
              <w:rPr>
                <w:rFonts w:ascii="Arial" w:cs="Arial" w:eastAsia="Arial" w:hAnsi="Arial"/>
                <w:sz w:val="18"/>
                <w:szCs w:val="18"/>
                <w:color w:val="auto"/>
              </w:rPr>
              <w:t xml:space="preserve">$80,669,252.05 </w:t>
            </w:r>
            <w:r>
              <w:rPr>
                <w:rFonts w:ascii="Arial" w:cs="Arial" w:eastAsia="Arial" w:hAnsi="Arial"/>
                <w:sz w:val="26"/>
                <w:szCs w:val="26"/>
                <w:b w:val="1"/>
                <w:bCs w:val="1"/>
                <w:color w:val="auto"/>
                <w:vertAlign w:val="superscript"/>
              </w:rPr>
              <w:t>(3)</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right w:val="single" w:sz="8" w:color="auto"/>
            </w:tcBorders>
          </w:tcPr>
          <w:p>
            <w:pPr>
              <w:jc w:val="center"/>
              <w:ind w:right="17"/>
              <w:spacing w:after="0" w:line="203" w:lineRule="exact"/>
              <w:rPr>
                <w:sz w:val="20"/>
                <w:szCs w:val="20"/>
                <w:color w:val="auto"/>
              </w:rPr>
            </w:pPr>
            <w:r>
              <w:rPr>
                <w:rFonts w:ascii="Arial" w:cs="Arial" w:eastAsia="Arial" w:hAnsi="Arial"/>
                <w:sz w:val="18"/>
                <w:szCs w:val="18"/>
                <w:color w:val="auto"/>
                <w:w w:val="99"/>
              </w:rPr>
              <w:t>– Amended and Restated 2018 Equity Incentive Plan</w:t>
            </w: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1880" w:type="dxa"/>
            <w:vAlign w:val="bottom"/>
            <w:tcBorders>
              <w:bottom w:val="single" w:sz="8" w:color="auto"/>
              <w:right w:val="single" w:sz="8" w:color="auto"/>
            </w:tcBorders>
            <w:vMerge w:val="continue"/>
          </w:tcPr>
          <w:p>
            <w:pPr>
              <w:spacing w:after="0"/>
              <w:rPr>
                <w:sz w:val="17"/>
                <w:szCs w:val="17"/>
                <w:color w:val="auto"/>
              </w:rPr>
            </w:pPr>
          </w:p>
        </w:tc>
        <w:tc>
          <w:tcPr>
            <w:tcW w:w="1820" w:type="dxa"/>
            <w:vAlign w:val="bottom"/>
            <w:tcBorders>
              <w:bottom w:val="single" w:sz="8" w:color="auto"/>
              <w:right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$8,801.02</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8"/>
                <w:szCs w:val="18"/>
                <w:b w:val="1"/>
                <w:bCs w:val="1"/>
                <w:color w:val="auto"/>
              </w:rPr>
              <w:t>2,823,565</w:t>
            </w:r>
          </w:p>
        </w:tc>
        <w:tc>
          <w:tcPr>
            <w:tcW w:w="18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8"/>
                <w:szCs w:val="18"/>
                <w:b w:val="1"/>
                <w:bCs w:val="1"/>
                <w:color w:val="auto"/>
              </w:rPr>
              <w:t>$80,669,252.05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$8,801.02</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460" w:right="80" w:hanging="442"/>
        <w:spacing w:after="0" w:line="24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NGM Biopharmaceuticals,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that become issuable under the plans set forth herein by reason of any stock dividend, stock split, recapitalization, or other similar transaction effected that results in an increase to the number of outstanding shares of Common Stock.</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right="340" w:hanging="442"/>
        <w:spacing w:after="0" w:line="23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that were automatically added to the share reserve under the Registrant’s Amended and Restated 2018 Equity Incentive Plan (the “</w:t>
      </w:r>
      <w:r>
        <w:rPr>
          <w:rFonts w:ascii="Arial" w:cs="Arial" w:eastAsia="Arial" w:hAnsi="Arial"/>
          <w:sz w:val="18"/>
          <w:szCs w:val="18"/>
          <w:b w:val="1"/>
          <w:bCs w:val="1"/>
          <w:i w:val="1"/>
          <w:iCs w:val="1"/>
          <w:color w:val="auto"/>
        </w:rPr>
        <w:t>Restated 2018 Plan</w:t>
      </w:r>
      <w:r>
        <w:rPr>
          <w:rFonts w:ascii="Arial" w:cs="Arial" w:eastAsia="Arial" w:hAnsi="Arial"/>
          <w:sz w:val="18"/>
          <w:szCs w:val="18"/>
          <w:color w:val="auto"/>
        </w:rPr>
        <w:t>”) on January 1, 2021. The Restated 2018 Plan provides that the number of shares of Common Stock reserved for issuance under the Restated 2018 Plan will automatically increase on January 1st each calendar year for ten years, starting on January 1, 2020 and ending on and including January 1, 2029, by the lesser of (a) four percent (4.0%) of the total number of the Registrant’s capital stock outstanding as of December 31st of the immediately preceding calendar year or (b) a number determined by the Registrant’s board of directors.</w:t>
      </w:r>
    </w:p>
    <w:p>
      <w:pPr>
        <w:spacing w:after="0" w:line="204" w:lineRule="exact"/>
        <w:rPr>
          <w:rFonts w:ascii="Arial" w:cs="Arial" w:eastAsia="Arial" w:hAnsi="Arial"/>
          <w:sz w:val="18"/>
          <w:szCs w:val="18"/>
          <w:color w:val="auto"/>
        </w:rPr>
      </w:pPr>
    </w:p>
    <w:p>
      <w:pPr>
        <w:ind w:left="460" w:right="220" w:hanging="44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estimate is made pursuant to Rule 457(c) and Rule 457(h) of the Securities Act solely for purposes of calculating the registration fee. The Proposed Maximum Offering Price Per Share is based upon the average of the high and low prices for the Registrant’s common stock as reported on The Nasdaq Global Select Market on March 10, 2021, which was $28.57.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1115060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165" w:lineRule="exact"/>
        <w:rPr>
          <w:sz w:val="20"/>
          <w:szCs w:val="20"/>
          <w:color w:val="auto"/>
        </w:rPr>
      </w:pPr>
    </w:p>
    <w:p>
      <w:pPr>
        <w:ind w:firstLine="802"/>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The Registrant is filing this Registration Statement on Form S-8 for the purpose of registering an additional 2,823,565 shares of its Common Stock to be issued pursuant to the Restated 2018 Plan. The Registrant previously registered shares of its Common Stock for </w:t>
      </w:r>
      <w:hyperlink r:id="rId16">
        <w:r>
          <w:rPr>
            <w:rFonts w:ascii="Arial" w:cs="Arial" w:eastAsia="Arial" w:hAnsi="Arial"/>
            <w:sz w:val="18"/>
            <w:szCs w:val="18"/>
            <w:color w:val="auto"/>
          </w:rPr>
          <w:t xml:space="preserve">issuance under the Restated 2018 Plan pursuant to the Registrant’s registration statements on Form S-8 filed on April 4, 2019 (File No. </w:t>
        </w:r>
        <w:r>
          <w:rPr>
            <w:rFonts w:ascii="Arial" w:cs="Arial" w:eastAsia="Arial" w:hAnsi="Arial"/>
            <w:sz w:val="18"/>
            <w:szCs w:val="18"/>
            <w:u w:val="single" w:color="auto"/>
            <w:color w:val="auto"/>
          </w:rPr>
          <w:t>333-</w:t>
        </w:r>
      </w:hyperlink>
      <w:hyperlink r:id="rId16">
        <w:r>
          <w:rPr>
            <w:rFonts w:ascii="Arial" w:cs="Arial" w:eastAsia="Arial" w:hAnsi="Arial"/>
            <w:sz w:val="18"/>
            <w:szCs w:val="18"/>
            <w:u w:val="single" w:color="auto"/>
            <w:color w:val="auto"/>
          </w:rPr>
          <w:t>230725</w:t>
        </w:r>
        <w:r>
          <w:rPr>
            <w:rFonts w:ascii="Arial" w:cs="Arial" w:eastAsia="Arial" w:hAnsi="Arial"/>
            <w:sz w:val="18"/>
            <w:szCs w:val="18"/>
            <w:color w:val="auto"/>
          </w:rPr>
          <w:t xml:space="preserve">) and March 17, 2020 (File No. </w:t>
        </w:r>
      </w:hyperlink>
      <w:hyperlink r:id="rId17">
        <w:r>
          <w:rPr>
            <w:rFonts w:ascii="Arial" w:cs="Arial" w:eastAsia="Arial" w:hAnsi="Arial"/>
            <w:sz w:val="18"/>
            <w:szCs w:val="18"/>
            <w:u w:val="single" w:color="auto"/>
            <w:color w:val="auto"/>
          </w:rPr>
          <w:t xml:space="preserve">333-237243) </w:t>
        </w:r>
      </w:hyperlink>
      <w:hyperlink r:id="rId16">
        <w:r>
          <w:rPr>
            <w:rFonts w:ascii="Arial" w:cs="Arial" w:eastAsia="Arial" w:hAnsi="Arial"/>
            <w:sz w:val="18"/>
            <w:szCs w:val="18"/>
            <w:color w:val="auto"/>
          </w:rPr>
          <w:t>(together, the “</w:t>
        </w:r>
        <w:r>
          <w:rPr>
            <w:rFonts w:ascii="Arial" w:cs="Arial" w:eastAsia="Arial" w:hAnsi="Arial"/>
            <w:sz w:val="18"/>
            <w:szCs w:val="18"/>
            <w:b w:val="1"/>
            <w:bCs w:val="1"/>
            <w:i w:val="1"/>
            <w:iCs w:val="1"/>
            <w:color w:val="auto"/>
          </w:rPr>
          <w:t>Prior Registration Statements</w:t>
        </w:r>
        <w:r>
          <w:rPr>
            <w:rFonts w:ascii="Arial" w:cs="Arial" w:eastAsia="Arial" w:hAnsi="Arial"/>
            <w:sz w:val="18"/>
            <w:szCs w:val="18"/>
            <w:color w:val="auto"/>
          </w:rPr>
          <w:t>”).</w:t>
        </w:r>
      </w:hyperlink>
    </w:p>
    <w:p>
      <w:pPr>
        <w:spacing w:after="0" w:line="205" w:lineRule="exact"/>
        <w:rPr>
          <w:rFonts w:ascii="Arial" w:cs="Arial" w:eastAsia="Arial" w:hAnsi="Arial"/>
          <w:sz w:val="18"/>
          <w:szCs w:val="18"/>
          <w:color w:val="auto"/>
        </w:rPr>
      </w:pPr>
    </w:p>
    <w:p>
      <w:pPr>
        <w:ind w:right="40" w:firstLine="802"/>
        <w:spacing w:after="0" w:line="238" w:lineRule="auto"/>
        <w:rPr>
          <w:sz w:val="20"/>
          <w:szCs w:val="20"/>
          <w:color w:val="auto"/>
        </w:rPr>
      </w:pPr>
      <w:r>
        <w:rPr>
          <w:rFonts w:ascii="Arial" w:cs="Arial" w:eastAsia="Arial" w:hAnsi="Arial"/>
          <w:sz w:val="18"/>
          <w:szCs w:val="18"/>
          <w:color w:val="auto"/>
        </w:rPr>
        <w:t>This Registration Statement relates to securities of the same class as that to which the Prior Registration Statements relate and is submitted in accordance with General Instruction E to Form S-8 regarding Registration of Additional Securities. Pursuant to General Instruction E of Form S-8, the contents of the Prior Registration Statements are incorporated herein by reference and made part of this Registration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6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40" w:type="dxa"/>
            <w:vAlign w:val="bottom"/>
          </w:tcPr>
          <w:p>
            <w:pPr>
              <w:spacing w:after="0"/>
              <w:rPr>
                <w:sz w:val="20"/>
                <w:szCs w:val="20"/>
                <w:color w:val="auto"/>
              </w:rPr>
            </w:pPr>
          </w:p>
        </w:tc>
        <w:tc>
          <w:tcPr>
            <w:tcW w:w="5360" w:type="dxa"/>
            <w:vAlign w:val="bottom"/>
            <w:gridSpan w:val="6"/>
          </w:tcPr>
          <w:p>
            <w:pPr>
              <w:ind w:left="200"/>
              <w:spacing w:after="0"/>
              <w:rPr>
                <w:sz w:val="20"/>
                <w:szCs w:val="20"/>
                <w:color w:val="auto"/>
              </w:rPr>
            </w:pPr>
            <w:r>
              <w:rPr>
                <w:rFonts w:ascii="Arial" w:cs="Arial" w:eastAsia="Arial" w:hAnsi="Arial"/>
                <w:sz w:val="18"/>
                <w:szCs w:val="18"/>
                <w:b w:val="1"/>
                <w:bCs w:val="1"/>
                <w:color w:val="auto"/>
              </w:rPr>
              <w:t>EXHIBITS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Schedule</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5"/>
                <w:szCs w:val="15"/>
                <w:color w:val="auto"/>
              </w:rPr>
            </w:pPr>
          </w:p>
        </w:tc>
        <w:tc>
          <w:tcPr>
            <w:tcW w:w="15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Number</w:t>
            </w:r>
          </w:p>
        </w:tc>
        <w:tc>
          <w:tcPr>
            <w:tcW w:w="140" w:type="dxa"/>
            <w:vAlign w:val="bottom"/>
          </w:tcPr>
          <w:p>
            <w:pPr>
              <w:spacing w:after="0"/>
              <w:rPr>
                <w:sz w:val="15"/>
                <w:szCs w:val="15"/>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91"/>
        </w:trPr>
        <w:tc>
          <w:tcPr>
            <w:tcW w:w="660" w:type="dxa"/>
            <w:vAlign w:val="bottom"/>
          </w:tcPr>
          <w:p>
            <w:pPr>
              <w:jc w:val="right"/>
              <w:ind w:right="213"/>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560" w:type="dxa"/>
            <w:vAlign w:val="bottom"/>
            <w:tcBorders>
              <w:bottom w:val="single" w:sz="8" w:color="0000EE"/>
            </w:tcBorders>
            <w:gridSpan w:val="4"/>
          </w:tcPr>
          <w:p>
            <w:pPr>
              <w:spacing w:after="0"/>
              <w:rPr>
                <w:rFonts w:ascii="Arial" w:cs="Arial" w:eastAsia="Arial" w:hAnsi="Arial"/>
                <w:sz w:val="18"/>
                <w:szCs w:val="18"/>
                <w:color w:val="0000EE"/>
                <w:w w:val="99"/>
              </w:rPr>
            </w:pPr>
            <w:hyperlink r:id="rId19">
              <w:r>
                <w:rPr>
                  <w:rFonts w:ascii="Arial" w:cs="Arial" w:eastAsia="Arial" w:hAnsi="Arial"/>
                  <w:sz w:val="18"/>
                  <w:szCs w:val="18"/>
                  <w:color w:val="0000EE"/>
                  <w:w w:val="99"/>
                </w:rPr>
                <w:t>Amended and Restated Certificate of Incorporation of the</w:t>
              </w:r>
            </w:hyperlink>
          </w:p>
        </w:tc>
        <w:tc>
          <w:tcPr>
            <w:tcW w:w="800" w:type="dxa"/>
            <w:vAlign w:val="bottom"/>
            <w:gridSpan w:val="2"/>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4/8/19</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0000EE"/>
            </w:tcBorders>
          </w:tcPr>
          <w:p>
            <w:pPr>
              <w:spacing w:after="0" w:line="182" w:lineRule="exact"/>
              <w:rPr>
                <w:rFonts w:ascii="Arial" w:cs="Arial" w:eastAsia="Arial" w:hAnsi="Arial"/>
                <w:sz w:val="18"/>
                <w:szCs w:val="18"/>
                <w:color w:val="0000EE"/>
                <w:w w:val="98"/>
              </w:rPr>
            </w:pPr>
            <w:hyperlink r:id="rId19">
              <w:r>
                <w:rPr>
                  <w:rFonts w:ascii="Arial" w:cs="Arial" w:eastAsia="Arial" w:hAnsi="Arial"/>
                  <w:sz w:val="18"/>
                  <w:szCs w:val="18"/>
                  <w:color w:val="0000EE"/>
                  <w:w w:val="98"/>
                </w:rPr>
                <w:t>Registrant.</w:t>
              </w:r>
            </w:hyperlink>
          </w:p>
        </w:tc>
        <w:tc>
          <w:tcPr>
            <w:tcW w:w="4480" w:type="dxa"/>
            <w:vAlign w:val="bottom"/>
            <w:gridSpan w:val="5"/>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660" w:type="dxa"/>
            <w:vAlign w:val="bottom"/>
          </w:tcPr>
          <w:p>
            <w:pPr>
              <w:jc w:val="right"/>
              <w:ind w:right="213"/>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Amended and Restated Bylaws of the Registrant.</w:t>
              </w:r>
            </w:hyperlink>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0" w:type="dxa"/>
            <w:vAlign w:val="bottom"/>
          </w:tcPr>
          <w:p>
            <w:pPr>
              <w:spacing w:after="0"/>
              <w:rPr>
                <w:sz w:val="1"/>
                <w:szCs w:val="1"/>
                <w:color w:val="auto"/>
              </w:rPr>
            </w:pPr>
          </w:p>
        </w:tc>
      </w:tr>
      <w:tr>
        <w:trPr>
          <w:trHeight w:val="418"/>
        </w:trPr>
        <w:tc>
          <w:tcPr>
            <w:tcW w:w="660" w:type="dxa"/>
            <w:vAlign w:val="bottom"/>
          </w:tcPr>
          <w:p>
            <w:pPr>
              <w:jc w:val="right"/>
              <w:ind w:right="213"/>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Form of Common Stock Certificate.</w:t>
              </w:r>
            </w:hyperlink>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4/1/19</w:t>
            </w:r>
          </w:p>
        </w:tc>
        <w:tc>
          <w:tcPr>
            <w:tcW w:w="0" w:type="dxa"/>
            <w:vAlign w:val="bottom"/>
          </w:tcPr>
          <w:p>
            <w:pPr>
              <w:spacing w:after="0"/>
              <w:rPr>
                <w:sz w:val="1"/>
                <w:szCs w:val="1"/>
                <w:color w:val="auto"/>
              </w:rPr>
            </w:pPr>
          </w:p>
        </w:tc>
      </w:tr>
      <w:tr>
        <w:trPr>
          <w:trHeight w:val="418"/>
        </w:trPr>
        <w:tc>
          <w:tcPr>
            <w:tcW w:w="660" w:type="dxa"/>
            <w:vAlign w:val="bottom"/>
          </w:tcPr>
          <w:p>
            <w:pPr>
              <w:jc w:val="right"/>
              <w:ind w:right="153"/>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Opinion of Cooley LLP.</w:t>
              </w:r>
            </w:hyperlink>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jc w:val="right"/>
              <w:ind w:right="153"/>
              <w:spacing w:after="0"/>
              <w:rPr>
                <w:sz w:val="20"/>
                <w:szCs w:val="20"/>
                <w:color w:val="auto"/>
              </w:rPr>
            </w:pPr>
            <w:r>
              <w:rPr>
                <w:rFonts w:ascii="Arial" w:cs="Arial" w:eastAsia="Arial" w:hAnsi="Arial"/>
                <w:sz w:val="18"/>
                <w:szCs w:val="18"/>
                <w:color w:val="auto"/>
                <w:w w:val="95"/>
              </w:rPr>
              <w:t>23.1*</w:t>
            </w:r>
          </w:p>
        </w:tc>
        <w:tc>
          <w:tcPr>
            <w:tcW w:w="14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Consent of Cooley LLP (included in Exhibit 5.1).</w:t>
              </w:r>
            </w:hyperlink>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jc w:val="right"/>
              <w:ind w:right="153"/>
              <w:spacing w:after="0"/>
              <w:rPr>
                <w:sz w:val="20"/>
                <w:szCs w:val="20"/>
                <w:color w:val="auto"/>
              </w:rPr>
            </w:pPr>
            <w:r>
              <w:rPr>
                <w:rFonts w:ascii="Arial" w:cs="Arial" w:eastAsia="Arial" w:hAnsi="Arial"/>
                <w:sz w:val="18"/>
                <w:szCs w:val="18"/>
                <w:color w:val="auto"/>
                <w:w w:val="95"/>
              </w:rPr>
              <w:t>23.2*</w:t>
            </w:r>
          </w:p>
        </w:tc>
        <w:tc>
          <w:tcPr>
            <w:tcW w:w="14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Independent Registered Public Accounting Firm.</w:t>
              </w:r>
            </w:hyperlink>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jc w:val="right"/>
              <w:ind w:right="153"/>
              <w:spacing w:after="0"/>
              <w:rPr>
                <w:sz w:val="20"/>
                <w:szCs w:val="20"/>
                <w:color w:val="auto"/>
              </w:rPr>
            </w:pPr>
            <w:r>
              <w:rPr>
                <w:rFonts w:ascii="Arial" w:cs="Arial" w:eastAsia="Arial" w:hAnsi="Arial"/>
                <w:sz w:val="18"/>
                <w:szCs w:val="18"/>
                <w:color w:val="auto"/>
                <w:w w:val="95"/>
              </w:rPr>
              <w:t>24.1*</w:t>
            </w:r>
          </w:p>
        </w:tc>
        <w:tc>
          <w:tcPr>
            <w:tcW w:w="14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the signature page of</w:t>
              </w:r>
            </w:hyperlink>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this Form S-8).</w:t>
              </w:r>
            </w:hyperlink>
          </w:p>
        </w:tc>
        <w:tc>
          <w:tcPr>
            <w:tcW w:w="3000" w:type="dxa"/>
            <w:vAlign w:val="bottom"/>
            <w:tcBorders>
              <w:top w:val="single" w:sz="8" w:color="0000EE"/>
            </w:tcBorders>
          </w:tcPr>
          <w:p>
            <w:pPr>
              <w:spacing w:after="0"/>
              <w:rPr>
                <w:sz w:val="15"/>
                <w:szCs w:val="15"/>
                <w:color w:val="auto"/>
              </w:rPr>
            </w:pPr>
          </w:p>
        </w:tc>
        <w:tc>
          <w:tcPr>
            <w:tcW w:w="116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660" w:type="dxa"/>
            <w:vAlign w:val="bottom"/>
          </w:tcPr>
          <w:p>
            <w:pPr>
              <w:jc w:val="right"/>
              <w:ind w:right="213"/>
              <w:spacing w:after="0"/>
              <w:rPr>
                <w:sz w:val="20"/>
                <w:szCs w:val="20"/>
                <w:color w:val="auto"/>
              </w:rPr>
            </w:pPr>
            <w:r>
              <w:rPr>
                <w:rFonts w:ascii="Arial" w:cs="Arial" w:eastAsia="Arial" w:hAnsi="Arial"/>
                <w:sz w:val="18"/>
                <w:szCs w:val="18"/>
                <w:color w:val="auto"/>
                <w:w w:val="96"/>
              </w:rPr>
              <w:t>99.1</w:t>
            </w:r>
          </w:p>
        </w:tc>
        <w:tc>
          <w:tcPr>
            <w:tcW w:w="14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Amended and Restated 2018 Equity Incentive Plan.</w:t>
              </w:r>
            </w:hyperlink>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this 15th day of March, 2021.</w:t>
      </w:r>
    </w:p>
    <w:p>
      <w:pPr>
        <w:spacing w:after="0" w:line="200" w:lineRule="exact"/>
        <w:rPr>
          <w:sz w:val="20"/>
          <w:szCs w:val="20"/>
          <w:color w:val="auto"/>
        </w:rPr>
      </w:pPr>
    </w:p>
    <w:p>
      <w:pPr>
        <w:spacing w:after="0" w:line="25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NGM BIOPHARMACEUTICALS, INC.</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David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-1905</wp:posOffset>
            </wp:positionV>
            <wp:extent cx="2665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David J. Woodhouse, Ph.D.</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J. Rieflin, David J. Woodhouse, Siobhan Nolan Mangini and Valerie Pierce,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20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280" w:type="dxa"/>
            <w:vAlign w:val="bottom"/>
          </w:tcPr>
          <w:p>
            <w:pPr>
              <w:spacing w:after="0"/>
              <w:rPr>
                <w:sz w:val="19"/>
                <w:szCs w:val="19"/>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0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Woodhouse</w:t>
            </w:r>
          </w:p>
        </w:tc>
        <w:tc>
          <w:tcPr>
            <w:tcW w:w="280" w:type="dxa"/>
            <w:vAlign w:val="bottom"/>
          </w:tcPr>
          <w:p>
            <w:pPr>
              <w:spacing w:after="0"/>
              <w:rPr>
                <w:sz w:val="18"/>
                <w:szCs w:val="18"/>
                <w:color w:val="auto"/>
              </w:rPr>
            </w:pPr>
          </w:p>
        </w:tc>
        <w:tc>
          <w:tcPr>
            <w:tcW w:w="5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Executive Officer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rPr>
              <w:t>David J. Woodhouse, Ph.D.</w:t>
            </w:r>
          </w:p>
        </w:tc>
        <w:tc>
          <w:tcPr>
            <w:tcW w:w="280" w:type="dxa"/>
            <w:vAlign w:val="bottom"/>
          </w:tcPr>
          <w:p>
            <w:pPr>
              <w:spacing w:after="0"/>
              <w:rPr>
                <w:sz w:val="19"/>
                <w:szCs w:val="19"/>
                <w:color w:val="auto"/>
              </w:rPr>
            </w:pPr>
          </w:p>
        </w:tc>
        <w:tc>
          <w:tcPr>
            <w:tcW w:w="55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9"/>
              </w:rPr>
              <w:t>(Principal Executive Officer)</w:t>
            </w: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Siobhan Nolan Mangini</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Financial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15"/>
        </w:trPr>
        <w:tc>
          <w:tcPr>
            <w:tcW w:w="3540" w:type="dxa"/>
            <w:vAlign w:val="bottom"/>
          </w:tcPr>
          <w:p>
            <w:pPr>
              <w:jc w:val="center"/>
              <w:spacing w:after="0"/>
              <w:rPr>
                <w:sz w:val="20"/>
                <w:szCs w:val="20"/>
                <w:color w:val="auto"/>
              </w:rPr>
            </w:pPr>
            <w:r>
              <w:rPr>
                <w:rFonts w:ascii="Arial" w:cs="Arial" w:eastAsia="Arial" w:hAnsi="Arial"/>
                <w:sz w:val="18"/>
                <w:szCs w:val="18"/>
                <w:color w:val="auto"/>
                <w:w w:val="99"/>
              </w:rPr>
              <w:t>Siobhan Nolan Mangini</w:t>
            </w:r>
          </w:p>
        </w:tc>
        <w:tc>
          <w:tcPr>
            <w:tcW w:w="280" w:type="dxa"/>
            <w:vAlign w:val="bottom"/>
          </w:tcPr>
          <w:p>
            <w:pPr>
              <w:spacing w:after="0"/>
              <w:rPr>
                <w:sz w:val="18"/>
                <w:szCs w:val="18"/>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9"/>
              </w:rPr>
              <w:t>(Principal Financial and Accounting Officer)</w:t>
            </w:r>
          </w:p>
        </w:tc>
        <w:tc>
          <w:tcPr>
            <w:tcW w:w="1840" w:type="dxa"/>
            <w:vAlign w:val="bottom"/>
          </w:tcPr>
          <w:p>
            <w:pPr>
              <w:spacing w:after="0"/>
              <w:rPr>
                <w:sz w:val="18"/>
                <w:szCs w:val="18"/>
                <w:color w:val="auto"/>
              </w:rPr>
            </w:pPr>
          </w:p>
        </w:tc>
      </w:tr>
      <w:tr>
        <w:trPr>
          <w:trHeight w:val="427"/>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Bill Rieflin</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Executive Chairman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8"/>
              </w:rPr>
              <w:t>William J. Rieflin</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Jin-Long Chen</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Scientific Officer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Jin-Long Chen, Ph.D.</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V. Goeddel, Ph.D.</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8"/>
              </w:rPr>
              <w:t>David V. Goeddel, Ph.D.</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Shelly D. Guyer</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Shelly D. Guyer</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Carole Ho</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10"/>
        </w:trPr>
        <w:tc>
          <w:tcPr>
            <w:tcW w:w="3540" w:type="dxa"/>
            <w:vAlign w:val="bottom"/>
          </w:tcPr>
          <w:p>
            <w:pPr>
              <w:jc w:val="center"/>
              <w:spacing w:after="0"/>
              <w:rPr>
                <w:sz w:val="20"/>
                <w:szCs w:val="20"/>
                <w:color w:val="auto"/>
              </w:rPr>
            </w:pPr>
            <w:r>
              <w:rPr>
                <w:rFonts w:ascii="Arial" w:cs="Arial" w:eastAsia="Arial" w:hAnsi="Arial"/>
                <w:sz w:val="18"/>
                <w:szCs w:val="18"/>
                <w:color w:val="auto"/>
              </w:rPr>
              <w:t>Carole Ho, M.D.</w:t>
            </w:r>
          </w:p>
        </w:tc>
        <w:tc>
          <w:tcPr>
            <w:tcW w:w="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431"/>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Suzanne Hooper</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Suzanne Sawochka Hooper</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Leschly</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Mark Leschly</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/s/ David Schnell, M.D.</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9"/>
              </w:rPr>
              <w:t>David Schnell, M.D.</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McHenry T. Tichenor</w:t>
            </w:r>
          </w:p>
        </w:tc>
        <w:tc>
          <w:tcPr>
            <w:tcW w:w="28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15, 2021</w:t>
            </w:r>
          </w:p>
        </w:tc>
      </w:tr>
      <w:tr>
        <w:trPr>
          <w:trHeight w:val="223"/>
        </w:trPr>
        <w:tc>
          <w:tcPr>
            <w:tcW w:w="3540" w:type="dxa"/>
            <w:vAlign w:val="bottom"/>
          </w:tcPr>
          <w:p>
            <w:pPr>
              <w:jc w:val="center"/>
              <w:spacing w:after="0"/>
              <w:rPr>
                <w:sz w:val="20"/>
                <w:szCs w:val="20"/>
                <w:color w:val="auto"/>
              </w:rPr>
            </w:pPr>
            <w:r>
              <w:rPr>
                <w:rFonts w:ascii="Arial" w:cs="Arial" w:eastAsia="Arial" w:hAnsi="Arial"/>
                <w:sz w:val="18"/>
                <w:szCs w:val="18"/>
                <w:color w:val="auto"/>
                <w:w w:val="97"/>
              </w:rPr>
              <w:t>McHenry T. Tichenor, Jr.</w:t>
            </w:r>
          </w:p>
        </w:tc>
        <w:tc>
          <w:tcPr>
            <w:tcW w:w="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ectPr>
          <w:pgSz w:w="11900" w:h="16838" w:orient="portrait"/>
          <w:cols w:equalWidth="0" w:num="1">
            <w:col w:w="11240"/>
          </w:cols>
          <w:pgMar w:left="320" w:top="54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5.1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Carlton Fleming</w:t>
      </w:r>
    </w:p>
    <w:p>
      <w:pPr>
        <w:spacing w:after="0" w:line="227" w:lineRule="auto"/>
        <w:rPr>
          <w:sz w:val="20"/>
          <w:szCs w:val="20"/>
          <w:color w:val="auto"/>
        </w:rPr>
      </w:pPr>
      <w:r>
        <w:rPr>
          <w:rFonts w:ascii="Arial" w:cs="Arial" w:eastAsia="Arial" w:hAnsi="Arial"/>
          <w:sz w:val="20"/>
          <w:szCs w:val="20"/>
          <w:color w:val="auto"/>
        </w:rPr>
        <w:t>+1 650 843 5865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cfleming@cooley.com</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March 15,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NGM Biopharmaceuticals,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333 Oyster Point Blvd</w:t>
      </w:r>
    </w:p>
    <w:p>
      <w:pPr>
        <w:spacing w:after="0"/>
        <w:rPr>
          <w:sz w:val="20"/>
          <w:szCs w:val="20"/>
          <w:color w:val="auto"/>
        </w:rPr>
      </w:pPr>
      <w:r>
        <w:rPr>
          <w:rFonts w:ascii="Arial" w:cs="Arial" w:eastAsia="Arial" w:hAnsi="Arial"/>
          <w:sz w:val="20"/>
          <w:szCs w:val="20"/>
          <w:color w:val="auto"/>
        </w:rPr>
        <w:t>South San Francisco, CA 94080</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Registration on Form S-8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acted as counsel to NGM Biopharmaceuticals,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 connection with the filing of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with the Securities and Exchange Commission covering the offering of up to 2,823,565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par value $0.001 per share, pursuant to the Company’s Amended and Restated 2018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connection with this opinion, we have examined and relied upon the Registration Statement and related prospectuses, the Company’s Amended and Restated Certificate of Incorporation and Bylaws, each as currently in effect, the Plan and originals or copies certified to our satisfaction of such other records, documents, certificates, memoranda and other instruments as we have determined to be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by all persons other than by the Company of all documents where authorization, execution and delivery are prerequisites to the effectiveness thereof. As to certain factual matters, we have relied upon a certificate of an officer of the Company and have not independently verified such matters.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the basis of the foregoing, and in reliance thereon, we are of the opinion that the Shares, when sold and issued in accordance with the Plan,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filing of this opinion as an exhibit to the Registration Statement.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OOLEY</w:t>
      </w:r>
      <w:r>
        <w:rPr>
          <w:rFonts w:ascii="Arial" w:cs="Arial" w:eastAsia="Arial" w:hAnsi="Arial"/>
          <w:sz w:val="20"/>
          <w:szCs w:val="20"/>
          <w:b w:val="1"/>
          <w:bCs w:val="1"/>
          <w:color w:val="auto"/>
        </w:rPr>
        <w:t xml:space="preserve"> LLP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By: /s/ Carlton Fleming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10160</wp:posOffset>
            </wp:positionV>
            <wp:extent cx="2743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740"/>
        <w:spacing w:after="0"/>
        <w:rPr>
          <w:sz w:val="20"/>
          <w:szCs w:val="20"/>
          <w:color w:val="auto"/>
        </w:rPr>
      </w:pPr>
      <w:r>
        <w:rPr>
          <w:rFonts w:ascii="Arial" w:cs="Arial" w:eastAsia="Arial" w:hAnsi="Arial"/>
          <w:sz w:val="20"/>
          <w:szCs w:val="20"/>
          <w:color w:val="auto"/>
        </w:rPr>
        <w:t>Carlton Fleming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tabs>
          <w:tab w:leader="none" w:pos="80" w:val="left"/>
          <w:tab w:leader="none" w:pos="100" w:val="left"/>
        </w:tabs>
        <w:rPr>
          <w:sz w:val="20"/>
          <w:szCs w:val="20"/>
          <w:color w:val="auto"/>
        </w:rPr>
      </w:pPr>
      <w:r>
        <w:rPr>
          <w:rFonts w:ascii="Arial" w:cs="Arial" w:eastAsia="Arial" w:hAnsi="Arial"/>
          <w:sz w:val="13"/>
          <w:szCs w:val="13"/>
          <w:color w:val="auto"/>
        </w:rPr>
        <w:t>Cooley LLP</w:t>
        <w:tab/>
        <w:t>3175 Hanover Street</w:t>
      </w:r>
      <w:r>
        <w:rPr>
          <w:sz w:val="20"/>
          <w:szCs w:val="20"/>
          <w:color w:val="auto"/>
        </w:rPr>
        <w:tab/>
      </w:r>
      <w:r>
        <w:rPr>
          <w:rFonts w:ascii="Arial" w:cs="Arial" w:eastAsia="Arial" w:hAnsi="Arial"/>
          <w:sz w:val="12"/>
          <w:szCs w:val="12"/>
          <w:color w:val="auto"/>
        </w:rPr>
        <w:t>Palo Alto, CA  94304-1130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NGM Biopharmaceuticals, Inc. Amended and Restated 2018 Equity Incentive Plan of our report dated March 15, 2021, with respect to the consolidated financial statements of NGM Biopharmaceuticals, Inc., included in its Annual Report (Form 10-K) for the year ended December 31, 2020, filed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333333"/>
        </w:rPr>
        <w:t>Redwood City, California</w:t>
      </w:r>
    </w:p>
    <w:p>
      <w:pPr>
        <w:spacing w:after="0"/>
        <w:rPr>
          <w:sz w:val="20"/>
          <w:szCs w:val="20"/>
          <w:color w:val="auto"/>
        </w:rPr>
      </w:pPr>
      <w:r>
        <w:rPr>
          <w:rFonts w:ascii="Arial" w:cs="Arial" w:eastAsia="Arial" w:hAnsi="Arial"/>
          <w:sz w:val="18"/>
          <w:szCs w:val="18"/>
          <w:color w:val="333333"/>
        </w:rPr>
        <w:t>March 15, 2021</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16" Type="http://schemas.openxmlformats.org/officeDocument/2006/relationships/hyperlink" Target="http://www.sec.gov/Archives/edgar/data/0001426332/000119312519098022/d697498ds8.htm" TargetMode="External"/><Relationship Id="rId17" Type="http://schemas.openxmlformats.org/officeDocument/2006/relationships/hyperlink" Target="http://www.sec.gov/Archives/edgar/data/1426332/000156459020011430/ngm-s8.htm" TargetMode="External"/><Relationship Id="rId19" Type="http://schemas.openxmlformats.org/officeDocument/2006/relationships/hyperlink" Target="http://www.sec.gov/Archives/edgar/data/1426332/000119312519100757/d731361dex31.htm" TargetMode="External"/><Relationship Id="rId20" Type="http://schemas.openxmlformats.org/officeDocument/2006/relationships/hyperlink" Target="http://www.sec.gov/Archives/edgar/data/1426332/000119312518287727/d693178dex34.htm" TargetMode="External"/><Relationship Id="rId21" Type="http://schemas.openxmlformats.org/officeDocument/2006/relationships/hyperlink" Target="http://www.sec.gov/Archives/edgar/data/1426332/000119312519094494/d693178dex42.htm" TargetMode="External"/><Relationship Id="rId22" Type="http://schemas.openxmlformats.org/officeDocument/2006/relationships/hyperlink" Target="http://www.sec.gov/Archives/edgar/data/1426332/000119312519084550/d69317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2021-03-15T15:59:27Z</dcterms:created>
  <dcterms:modified xsi:type="dcterms:W3CDTF">2021-03-15T15:59:27Z</dcterms:modified>
</cp:coreProperties>
</file>