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COLUMN GROUP L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60"/>
        <w:spacing w:after="0" w:line="365" w:lineRule="auto"/>
        <w:rPr>
          <w:sz w:val="20"/>
          <w:szCs w:val="20"/>
          <w:color w:val="auto"/>
        </w:rPr>
      </w:pPr>
      <w:r>
        <w:rPr>
          <w:rFonts w:ascii="Times New Roman" w:cs="Times New Roman" w:eastAsia="Times New Roman" w:hAnsi="Times New Roman"/>
          <w:sz w:val="17"/>
          <w:szCs w:val="17"/>
          <w:color w:val="0000FF"/>
        </w:rPr>
        <w:t>1 LETTERMAN DRIVE BUILDING D, SUITE DM-900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NGM BIOPHARMACEUTICALS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NGM </w:t>
      </w:r>
      <w:r>
        <w:rPr>
          <w:rFonts w:ascii="Times New Roman" w:cs="Times New Roman" w:eastAsia="Times New Roman" w:hAnsi="Times New Roman"/>
          <w:sz w:val="21"/>
          <w:szCs w:val="21"/>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10/27/2022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8" w:lineRule="exact"/>
        <w:rPr>
          <w:sz w:val="24"/>
          <w:szCs w:val="24"/>
          <w:color w:val="auto"/>
        </w:rPr>
      </w:pPr>
    </w:p>
    <w:p>
      <w:pPr>
        <w:sectPr>
          <w:pgSz w:w="11900" w:h="16838" w:orient="portrait"/>
          <w:cols w:equalWidth="0" w:num="3">
            <w:col w:w="3200" w:space="720"/>
            <w:col w:w="3540" w:space="275"/>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30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80" w:type="dxa"/>
            <w:vAlign w:val="bottom"/>
            <w:tcBorders>
              <w:top w:val="single" w:sz="8" w:color="2C2C2C"/>
              <w:bottom w:val="single" w:sz="8" w:color="2C2C2C"/>
            </w:tcBorders>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Borders>
              <w:top w:val="single" w:sz="8" w:color="2C2C2C"/>
              <w:bottom w:val="single" w:sz="8" w:color="2C2C2C"/>
            </w:tcBorders>
            <w:gridSpan w:val="10"/>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gridSpan w:val="10"/>
            <w:vMerge w:val="continue"/>
          </w:tcPr>
          <w:p>
            <w:pPr>
              <w:spacing w:after="0" w:line="20" w:lineRule="exact"/>
              <w:rPr>
                <w:sz w:val="1"/>
                <w:szCs w:val="1"/>
                <w:color w:val="auto"/>
              </w:rPr>
            </w:pPr>
          </w:p>
        </w:tc>
        <w:tc>
          <w:tcPr>
            <w:tcW w:w="3640" w:type="dxa"/>
            <w:vAlign w:val="bottom"/>
            <w:gridSpan w:val="10"/>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80" w:type="dxa"/>
            <w:vAlign w:val="bottom"/>
            <w:gridSpan w:val="10"/>
            <w:vMerge w:val="continue"/>
          </w:tcPr>
          <w:p>
            <w:pPr>
              <w:spacing w:after="0"/>
              <w:rPr>
                <w:sz w:val="11"/>
                <w:szCs w:val="11"/>
                <w:color w:val="auto"/>
              </w:rPr>
            </w:pPr>
          </w:p>
        </w:tc>
        <w:tc>
          <w:tcPr>
            <w:tcW w:w="3640" w:type="dxa"/>
            <w:vAlign w:val="bottom"/>
            <w:gridSpan w:val="10"/>
            <w:vMerge w:val="continue"/>
          </w:tcPr>
          <w:p>
            <w:pPr>
              <w:spacing w:after="0"/>
              <w:rPr>
                <w:sz w:val="11"/>
                <w:szCs w:val="11"/>
                <w:color w:val="auto"/>
              </w:rPr>
            </w:pPr>
          </w:p>
        </w:tc>
        <w:tc>
          <w:tcPr>
            <w:tcW w:w="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gridSpan w:val="4"/>
            <w:vMerge w:val="restart"/>
          </w:tcPr>
          <w:p>
            <w:pPr>
              <w:ind w:left="4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74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4"/>
                <w:szCs w:val="14"/>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81"/>
              </w:rPr>
              <w:t>X</w:t>
            </w: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302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100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gridSpan w:val="2"/>
          </w:tcPr>
          <w:p>
            <w:pPr>
              <w:spacing w:after="0"/>
              <w:rPr>
                <w:sz w:val="10"/>
                <w:szCs w:val="10"/>
                <w:color w:val="auto"/>
              </w:rPr>
            </w:pPr>
          </w:p>
        </w:tc>
        <w:tc>
          <w:tcPr>
            <w:tcW w:w="2840" w:type="dxa"/>
            <w:vAlign w:val="bottom"/>
            <w:tcBorders>
              <w:bottom w:val="single" w:sz="8" w:color="2C2C2C"/>
            </w:tcBorders>
            <w:gridSpan w:val="7"/>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4"/>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20"/>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42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3"/>
          </w:tcPr>
          <w:p>
            <w:pPr>
              <w:ind w:left="12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5"/>
                <w:szCs w:val="15"/>
                <w:color w:val="auto"/>
              </w:rPr>
            </w:pPr>
          </w:p>
        </w:tc>
        <w:tc>
          <w:tcPr>
            <w:tcW w:w="212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3"/>
                <w:szCs w:val="13"/>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1340" w:type="dxa"/>
            <w:vAlign w:val="bottom"/>
            <w:tcBorders>
              <w:top w:val="single" w:sz="8" w:color="2C2C2C"/>
            </w:tcBorders>
            <w:gridSpan w:val="4"/>
            <w:vMerge w:val="restart"/>
          </w:tcPr>
          <w:p>
            <w:pPr>
              <w:ind w:left="10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40" w:type="dxa"/>
            <w:vAlign w:val="bottom"/>
            <w:vMerge w:val="restart"/>
          </w:tcPr>
          <w:p>
            <w:pPr>
              <w:spacing w:after="0"/>
              <w:rPr>
                <w:sz w:val="7"/>
                <w:szCs w:val="7"/>
                <w:color w:val="auto"/>
              </w:rPr>
            </w:pPr>
          </w:p>
        </w:tc>
        <w:tc>
          <w:tcPr>
            <w:tcW w:w="700" w:type="dxa"/>
            <w:vAlign w:val="bottom"/>
            <w:gridSpan w:val="2"/>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340" w:type="dxa"/>
            <w:vAlign w:val="bottom"/>
            <w:gridSpan w:val="4"/>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40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10/27/2022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420" w:type="dxa"/>
            <w:vAlign w:val="bottom"/>
          </w:tcPr>
          <w:p>
            <w:pPr>
              <w:spacing w:after="0"/>
              <w:rPr>
                <w:sz w:val="21"/>
                <w:szCs w:val="21"/>
                <w:color w:val="auto"/>
              </w:rPr>
            </w:pPr>
          </w:p>
        </w:tc>
        <w:tc>
          <w:tcPr>
            <w:tcW w:w="7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76,877</w:t>
            </w:r>
          </w:p>
        </w:tc>
        <w:tc>
          <w:tcPr>
            <w:tcW w:w="3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gridSpan w:val="2"/>
            <w:vMerge w:val="restart"/>
          </w:tcPr>
          <w:p>
            <w:pPr>
              <w:ind w:left="20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4.8602</w:t>
            </w:r>
            <w:r>
              <w:rPr>
                <w:rFonts w:ascii="Times New Roman" w:cs="Times New Roman" w:eastAsia="Times New Roman" w:hAnsi="Times New Roman"/>
                <w:sz w:val="22"/>
                <w:szCs w:val="22"/>
                <w:color w:val="008000"/>
                <w:w w:val="98"/>
                <w:vertAlign w:val="superscript"/>
              </w:rPr>
              <w:t>(1)</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200,697</w:t>
            </w:r>
          </w:p>
        </w:tc>
        <w:tc>
          <w:tcPr>
            <w:tcW w:w="360" w:type="dxa"/>
            <w:vAlign w:val="bottom"/>
          </w:tcPr>
          <w:p>
            <w:pPr>
              <w:spacing w:after="0"/>
              <w:rPr>
                <w:sz w:val="21"/>
                <w:szCs w:val="21"/>
                <w:color w:val="auto"/>
              </w:rPr>
            </w:pPr>
          </w:p>
        </w:tc>
        <w:tc>
          <w:tcPr>
            <w:tcW w:w="560" w:type="dxa"/>
            <w:vAlign w:val="bottom"/>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2,650,177</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90,442</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26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40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1000" w:type="dxa"/>
            <w:vAlign w:val="bottom"/>
            <w:tcBorders>
              <w:top w:val="single" w:sz="8" w:color="2C2C2C"/>
              <w:bottom w:val="single" w:sz="8" w:color="2C2C2C"/>
            </w:tcBorders>
            <w:gridSpan w:val="2"/>
          </w:tcPr>
          <w:p>
            <w:pPr>
              <w:jc w:val="center"/>
              <w:ind w:right="160"/>
              <w:spacing w:after="0"/>
              <w:rPr>
                <w:sz w:val="20"/>
                <w:szCs w:val="20"/>
                <w:color w:val="auto"/>
              </w:rPr>
            </w:pPr>
            <w:r>
              <w:rPr>
                <w:rFonts w:ascii="Times New Roman" w:cs="Times New Roman" w:eastAsia="Times New Roman" w:hAnsi="Times New Roman"/>
                <w:sz w:val="17"/>
                <w:szCs w:val="17"/>
                <w:color w:val="0000FF"/>
              </w:rPr>
              <w:t>11,103,333</w:t>
            </w:r>
          </w:p>
        </w:tc>
        <w:tc>
          <w:tcPr>
            <w:tcW w:w="920" w:type="dxa"/>
            <w:vAlign w:val="bottom"/>
            <w:tcBorders>
              <w:top w:val="single" w:sz="8" w:color="2C2C2C"/>
              <w:bottom w:val="single" w:sz="8" w:color="2C2C2C"/>
            </w:tcBorders>
            <w:gridSpan w:val="2"/>
          </w:tcPr>
          <w:p>
            <w:pPr>
              <w:jc w:val="center"/>
              <w:ind w:right="22"/>
              <w:spacing w:after="0" w:line="320" w:lineRule="exact"/>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(6)</w:t>
            </w:r>
          </w:p>
        </w:tc>
        <w:tc>
          <w:tcPr>
            <w:tcW w:w="3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858,035</w:t>
            </w:r>
          </w:p>
        </w:tc>
        <w:tc>
          <w:tcPr>
            <w:tcW w:w="360" w:type="dxa"/>
            <w:vAlign w:val="bottom"/>
          </w:tcPr>
          <w:p>
            <w:pPr>
              <w:spacing w:after="0"/>
              <w:rPr>
                <w:sz w:val="21"/>
                <w:szCs w:val="21"/>
                <w:color w:val="auto"/>
              </w:rPr>
            </w:pPr>
          </w:p>
        </w:tc>
        <w:tc>
          <w:tcPr>
            <w:tcW w:w="560" w:type="dxa"/>
            <w:vAlign w:val="bottom"/>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968,990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2,265,758</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1,298,908</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1,298,908</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100,000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100,000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15,000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44,000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4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6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6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60" w:type="dxa"/>
            <w:vAlign w:val="bottom"/>
          </w:tcPr>
          <w:p>
            <w:pPr>
              <w:spacing w:after="0"/>
              <w:rPr>
                <w:sz w:val="14"/>
                <w:szCs w:val="14"/>
                <w:color w:val="auto"/>
              </w:rPr>
            </w:pP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30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-1814195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2745740</wp:posOffset>
            </wp:positionH>
            <wp:positionV relativeFrom="paragraph">
              <wp:posOffset>-140970</wp:posOffset>
            </wp:positionV>
            <wp:extent cx="4254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2545" cy="10526395"/>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-140970</wp:posOffset>
            </wp:positionV>
            <wp:extent cx="42545"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545" cy="10526395"/>
                    </a:xfrm>
                    <a:prstGeom prst="rect">
                      <a:avLst/>
                    </a:prstGeom>
                    <a:noFill/>
                  </pic:spPr>
                </pic:pic>
              </a:graphicData>
            </a:graphic>
          </wp:anchor>
        </w:drawing>
      </w:r>
    </w:p>
    <w:p>
      <w:pPr>
        <w:ind w:left="10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COLUMN GROUP L 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81280</wp:posOffset>
            </wp:positionV>
            <wp:extent cx="267398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28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 LETTERMAN DRIVE</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BUILDING D, SUITE DM-900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100965</wp:posOffset>
            </wp:positionV>
            <wp:extent cx="267398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w:t>
            </w:r>
          </w:p>
        </w:tc>
        <w:tc>
          <w:tcPr>
            <w:tcW w:w="1400" w:type="dxa"/>
            <w:vAlign w:val="bottom"/>
            <w:gridSpan w:val="5"/>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00" w:type="dxa"/>
            <w:vAlign w:val="bottom"/>
            <w:gridSpan w:val="5"/>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(City)</w:t>
            </w:r>
          </w:p>
        </w:tc>
        <w:tc>
          <w:tcPr>
            <w:tcW w:w="1400" w:type="dxa"/>
            <w:vAlign w:val="bottom"/>
            <w:gridSpan w:val="5"/>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7"/>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Svennilson Peter</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(Last)</w:t>
            </w:r>
          </w:p>
        </w:tc>
        <w:tc>
          <w:tcPr>
            <w:tcW w:w="1400" w:type="dxa"/>
            <w:vAlign w:val="bottom"/>
            <w:gridSpan w:val="5"/>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w:t>
            </w:r>
          </w:p>
        </w:tc>
        <w:tc>
          <w:tcPr>
            <w:tcW w:w="1400" w:type="dxa"/>
            <w:vAlign w:val="bottom"/>
            <w:gridSpan w:val="5"/>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00" w:type="dxa"/>
            <w:vAlign w:val="bottom"/>
            <w:gridSpan w:val="5"/>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(City)</w:t>
            </w:r>
          </w:p>
        </w:tc>
        <w:tc>
          <w:tcPr>
            <w:tcW w:w="1400" w:type="dxa"/>
            <w:vAlign w:val="bottom"/>
            <w:gridSpan w:val="5"/>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1260" w:type="dxa"/>
            <w:vAlign w:val="bottom"/>
            <w:gridSpan w:val="2"/>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Kutzkey Tim</w:t>
              </w:r>
            </w:hyperlink>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(Last)</w:t>
            </w:r>
          </w:p>
        </w:tc>
        <w:tc>
          <w:tcPr>
            <w:tcW w:w="1400" w:type="dxa"/>
            <w:vAlign w:val="bottom"/>
            <w:gridSpan w:val="5"/>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w:t>
            </w:r>
          </w:p>
        </w:tc>
        <w:tc>
          <w:tcPr>
            <w:tcW w:w="1400" w:type="dxa"/>
            <w:vAlign w:val="bottom"/>
            <w:gridSpan w:val="5"/>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00" w:type="dxa"/>
            <w:vAlign w:val="bottom"/>
            <w:gridSpan w:val="5"/>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(City)</w:t>
            </w:r>
          </w:p>
        </w:tc>
        <w:tc>
          <w:tcPr>
            <w:tcW w:w="1400" w:type="dxa"/>
            <w:vAlign w:val="bottom"/>
            <w:gridSpan w:val="5"/>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7"/>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Ponoi Capital II,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(Last)</w:t>
            </w:r>
          </w:p>
        </w:tc>
        <w:tc>
          <w:tcPr>
            <w:tcW w:w="1400" w:type="dxa"/>
            <w:vAlign w:val="bottom"/>
            <w:gridSpan w:val="5"/>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w:t>
            </w:r>
          </w:p>
        </w:tc>
        <w:tc>
          <w:tcPr>
            <w:tcW w:w="1400" w:type="dxa"/>
            <w:vAlign w:val="bottom"/>
            <w:gridSpan w:val="5"/>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00" w:type="dxa"/>
            <w:vAlign w:val="bottom"/>
            <w:gridSpan w:val="5"/>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(City)</w:t>
            </w:r>
          </w:p>
        </w:tc>
        <w:tc>
          <w:tcPr>
            <w:tcW w:w="1400" w:type="dxa"/>
            <w:vAlign w:val="bottom"/>
            <w:gridSpan w:val="5"/>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7"/>
          </w:tcPr>
          <w:p>
            <w:pPr>
              <w:spacing w:after="0" w:line="227" w:lineRule="exact"/>
              <w:rPr>
                <w:rFonts w:ascii="Times New Roman" w:cs="Times New Roman" w:eastAsia="Times New Roman" w:hAnsi="Times New Roman"/>
                <w:sz w:val="21"/>
                <w:szCs w:val="21"/>
                <w:color w:val="0000EE"/>
              </w:rPr>
            </w:pPr>
            <w:hyperlink r:id="rId22">
              <w:r>
                <w:rPr>
                  <w:rFonts w:ascii="Times New Roman" w:cs="Times New Roman" w:eastAsia="Times New Roman" w:hAnsi="Times New Roman"/>
                  <w:sz w:val="21"/>
                  <w:szCs w:val="21"/>
                  <w:color w:val="0000EE"/>
                </w:rPr>
                <w:t>Ponoi II Management,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(Last)</w:t>
            </w:r>
          </w:p>
        </w:tc>
        <w:tc>
          <w:tcPr>
            <w:tcW w:w="1400" w:type="dxa"/>
            <w:vAlign w:val="bottom"/>
            <w:gridSpan w:val="5"/>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w:t>
            </w:r>
          </w:p>
        </w:tc>
        <w:tc>
          <w:tcPr>
            <w:tcW w:w="1400" w:type="dxa"/>
            <w:vAlign w:val="bottom"/>
            <w:gridSpan w:val="5"/>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00" w:type="dxa"/>
            <w:vAlign w:val="bottom"/>
            <w:gridSpan w:val="5"/>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(City)</w:t>
            </w:r>
          </w:p>
        </w:tc>
        <w:tc>
          <w:tcPr>
            <w:tcW w:w="1400" w:type="dxa"/>
            <w:vAlign w:val="bottom"/>
            <w:gridSpan w:val="5"/>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7"/>
          </w:tcPr>
          <w:p>
            <w:pPr>
              <w:spacing w:after="0" w:line="227" w:lineRule="exact"/>
              <w:rPr>
                <w:rFonts w:ascii="Times New Roman" w:cs="Times New Roman" w:eastAsia="Times New Roman" w:hAnsi="Times New Roman"/>
                <w:sz w:val="21"/>
                <w:szCs w:val="21"/>
                <w:color w:val="0000EE"/>
              </w:rPr>
            </w:pPr>
            <w:hyperlink r:id="rId23">
              <w:r>
                <w:rPr>
                  <w:rFonts w:ascii="Times New Roman" w:cs="Times New Roman" w:eastAsia="Times New Roman" w:hAnsi="Times New Roman"/>
                  <w:sz w:val="21"/>
                  <w:szCs w:val="21"/>
                  <w:color w:val="0000EE"/>
                </w:rPr>
                <w:t>PONOI CAPITAL,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(Last)</w:t>
            </w:r>
          </w:p>
        </w:tc>
        <w:tc>
          <w:tcPr>
            <w:tcW w:w="1400" w:type="dxa"/>
            <w:vAlign w:val="bottom"/>
            <w:gridSpan w:val="5"/>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-8610600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-8610600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-7908290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-7908290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-7256780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-7256780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-6689725</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-6689725</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-5987415</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-5987415</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-5335905</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-5335905</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-4768850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-4768850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-4066540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-4066540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-3415030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-3415030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-2847975</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-2847975</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-2145665</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-2145665</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-1494155</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-1494155</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-927100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-927100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-224790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-224790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9979"/>
          </w:cols>
          <w:pgMar w:left="480" w:top="110" w:right="1440" w:bottom="0" w:gutter="0" w:footer="0" w:header="0"/>
        </w:sectPr>
      </w:pPr>
    </w:p>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 LETTERMAN DRIVE</w:t>
      </w:r>
    </w:p>
    <w:p>
      <w:pPr>
        <w:sectPr>
          <w:pgSz w:w="11900" w:h="16838" w:orient="portrait"/>
          <w:cols w:equalWidth="0" w:num="1">
            <w:col w:w="9979"/>
          </w:cols>
          <w:pgMar w:left="480" w:top="110" w:right="1440" w:bottom="0" w:gutter="0" w:footer="0" w:header="0"/>
          <w:type w:val="continuous"/>
        </w:sectPr>
      </w:pPr>
    </w:p>
    <w:bookmarkStart w:id="2" w:name="page3"/>
    <w:bookmarkEnd w:id="2"/>
    <w:p>
      <w:pPr>
        <w:spacing w:after="0" w:line="4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BUILDING D, SUITE DM-900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wp:posOffset>
            </wp:positionV>
            <wp:extent cx="2809240" cy="86353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2809240" cy="8635365"/>
                    </a:xfrm>
                    <a:prstGeom prst="rect">
                      <a:avLst/>
                    </a:prstGeom>
                    <a:noFill/>
                  </pic:spPr>
                </pic:pic>
              </a:graphicData>
            </a:graphic>
          </wp:anchor>
        </w:drawing>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80" w:type="dxa"/>
            <w:vAlign w:val="bottom"/>
            <w:gridSpan w:val="5"/>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80" w:type="dxa"/>
            <w:vAlign w:val="bottom"/>
            <w:gridSpan w:val="5"/>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780" w:type="dxa"/>
            <w:vAlign w:val="bottom"/>
            <w:gridSpan w:val="6"/>
          </w:tcPr>
          <w:p>
            <w:pPr>
              <w:spacing w:after="0" w:line="227" w:lineRule="exact"/>
              <w:rPr>
                <w:rFonts w:ascii="Times New Roman" w:cs="Times New Roman" w:eastAsia="Times New Roman" w:hAnsi="Times New Roman"/>
                <w:sz w:val="21"/>
                <w:szCs w:val="21"/>
                <w:color w:val="0000EE"/>
              </w:rPr>
            </w:pPr>
            <w:hyperlink r:id="rId53">
              <w:r>
                <w:rPr>
                  <w:rFonts w:ascii="Times New Roman" w:cs="Times New Roman" w:eastAsia="Times New Roman" w:hAnsi="Times New Roman"/>
                  <w:sz w:val="21"/>
                  <w:szCs w:val="21"/>
                  <w:color w:val="0000EE"/>
                </w:rPr>
                <w:t>Ponoi Management, LLC</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80" w:type="dxa"/>
            <w:vAlign w:val="bottom"/>
            <w:gridSpan w:val="5"/>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80" w:type="dxa"/>
            <w:vAlign w:val="bottom"/>
            <w:gridSpan w:val="5"/>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780" w:type="dxa"/>
            <w:vAlign w:val="bottom"/>
            <w:gridSpan w:val="6"/>
          </w:tcPr>
          <w:p>
            <w:pPr>
              <w:spacing w:after="0" w:line="227" w:lineRule="exact"/>
              <w:rPr>
                <w:rFonts w:ascii="Times New Roman" w:cs="Times New Roman" w:eastAsia="Times New Roman" w:hAnsi="Times New Roman"/>
                <w:sz w:val="21"/>
                <w:szCs w:val="21"/>
                <w:color w:val="0000EE"/>
              </w:rPr>
            </w:pPr>
            <w:hyperlink r:id="rId54">
              <w:r>
                <w:rPr>
                  <w:rFonts w:ascii="Times New Roman" w:cs="Times New Roman" w:eastAsia="Times New Roman" w:hAnsi="Times New Roman"/>
                  <w:sz w:val="21"/>
                  <w:szCs w:val="21"/>
                  <w:color w:val="0000EE"/>
                </w:rPr>
                <w:t>COLUMN GROUP II,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80" w:type="dxa"/>
            <w:vAlign w:val="bottom"/>
            <w:gridSpan w:val="5"/>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80" w:type="dxa"/>
            <w:vAlign w:val="bottom"/>
            <w:gridSpan w:val="5"/>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780" w:type="dxa"/>
            <w:vAlign w:val="bottom"/>
            <w:gridSpan w:val="6"/>
          </w:tcPr>
          <w:p>
            <w:pPr>
              <w:spacing w:after="0" w:line="227" w:lineRule="exact"/>
              <w:rPr>
                <w:rFonts w:ascii="Times New Roman" w:cs="Times New Roman" w:eastAsia="Times New Roman" w:hAnsi="Times New Roman"/>
                <w:sz w:val="21"/>
                <w:szCs w:val="21"/>
                <w:color w:val="0000EE"/>
              </w:rPr>
            </w:pPr>
            <w:hyperlink r:id="rId55">
              <w:r>
                <w:rPr>
                  <w:rFonts w:ascii="Times New Roman" w:cs="Times New Roman" w:eastAsia="Times New Roman" w:hAnsi="Times New Roman"/>
                  <w:sz w:val="21"/>
                  <w:szCs w:val="21"/>
                  <w:color w:val="0000EE"/>
                </w:rPr>
                <w:t>Column Group Management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1700 OWENS STREET, SUITE 500</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80" w:type="dxa"/>
            <w:vAlign w:val="bottom"/>
            <w:gridSpan w:val="5"/>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80" w:type="dxa"/>
            <w:vAlign w:val="bottom"/>
            <w:gridSpan w:val="5"/>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780" w:type="dxa"/>
            <w:vAlign w:val="bottom"/>
            <w:gridSpan w:val="6"/>
          </w:tcPr>
          <w:p>
            <w:pPr>
              <w:spacing w:after="0" w:line="227" w:lineRule="exact"/>
              <w:rPr>
                <w:rFonts w:ascii="Times New Roman" w:cs="Times New Roman" w:eastAsia="Times New Roman" w:hAnsi="Times New Roman"/>
                <w:sz w:val="21"/>
                <w:szCs w:val="21"/>
                <w:color w:val="0000EE"/>
              </w:rPr>
            </w:pPr>
            <w:hyperlink r:id="rId56">
              <w:r>
                <w:rPr>
                  <w:rFonts w:ascii="Times New Roman" w:cs="Times New Roman" w:eastAsia="Times New Roman" w:hAnsi="Times New Roman"/>
                  <w:sz w:val="21"/>
                  <w:szCs w:val="21"/>
                  <w:color w:val="0000EE"/>
                </w:rPr>
                <w:t>Column Group II GP,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80" w:type="dxa"/>
            <w:vAlign w:val="bottom"/>
            <w:gridSpan w:val="5"/>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80" w:type="dxa"/>
            <w:vAlign w:val="bottom"/>
            <w:gridSpan w:val="5"/>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14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acquired in multiple transactions at prices ranging from $4.795 to $4.90, inclusive. The Reporting Persons undertake to provide to the Issuer or the staff of the Securities and Exchange Commission, upon request, full information regarding the number of shares acquired at each separate price within the ranges set forth in this footnote 1 to this Form 4.</w:t>
      </w:r>
    </w:p>
    <w:p>
      <w:pPr>
        <w:spacing w:after="0" w:line="20" w:lineRule="exact"/>
        <w:rPr>
          <w:rFonts w:ascii="Times New Roman" w:cs="Times New Roman" w:eastAsia="Times New Roman" w:hAnsi="Times New Roman"/>
          <w:sz w:val="13"/>
          <w:szCs w:val="13"/>
          <w:color w:val="008000"/>
        </w:rPr>
      </w:pPr>
    </w:p>
    <w:p>
      <w:pPr>
        <w:jc w:val="both"/>
        <w:ind w:left="20" w:right="14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Opportunity III, LP ("TCG Opportunity III LP"). The Column Group Opportunity III GP, LP ("TCG Opportunity III GP LP") is the general partner of TCG Opportunity III LP and may be deemed to have voting and investment power with respect to these securities. TCG Opportunity III GP, LLC ("TCG Opportunity III GP LLC") is the general partner of TCG Opportunity III GP LP and the ultimate general partner of TCG Opportunity III LP and may be deemed to have voting and investment power with respect to these securities. The managing members of TCG Opportunity III GP LLC are David Goeddel, a member of the issuer's board of directors, Peter Svennilson and Tim Kutzkey (collectively, the "TCG Managing Members").</w:t>
      </w:r>
    </w:p>
    <w:p>
      <w:pPr>
        <w:spacing w:after="0" w:line="24" w:lineRule="exact"/>
        <w:rPr>
          <w:rFonts w:ascii="Times New Roman" w:cs="Times New Roman" w:eastAsia="Times New Roman" w:hAnsi="Times New Roman"/>
          <w:sz w:val="13"/>
          <w:szCs w:val="13"/>
          <w:color w:val="008000"/>
        </w:rPr>
      </w:pPr>
    </w:p>
    <w:p>
      <w:pPr>
        <w:ind w:left="20" w:right="6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2) The TCG Managing Members may be deemed to share voting and investment power with respect to such securities. TCG Opportunity III GP LP, TCG Opportunity III GP LLC and each of the TCG Managing Members disclaim beneficial ownership of these securities, except to the extent of their respective pecuniary interest in such securities.</w:t>
      </w:r>
    </w:p>
    <w:p>
      <w:pPr>
        <w:spacing w:after="0" w:line="7" w:lineRule="exact"/>
        <w:rPr>
          <w:rFonts w:ascii="Times New Roman" w:cs="Times New Roman" w:eastAsia="Times New Roman" w:hAnsi="Times New Roman"/>
          <w:sz w:val="13"/>
          <w:szCs w:val="13"/>
          <w:color w:val="008000"/>
        </w:rPr>
      </w:pPr>
    </w:p>
    <w:p>
      <w:pPr>
        <w:ind w:left="2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 LP ("TCG IV LP"). The Column Group IV GP, LP ("TCG IV GP LP") is the general partner of TCG IV LP and may be deemed to have voting and investment power with respect to these securities. TCG IV GP LLC ("TCG IV LLC") is the general partner of TCG IV GP LP and the ultimate general partner of TCG IV LP and may be deemed to have voting and investment power with respect to these securities. The managing members of TCG IV LLC are the TCG Managing Members. The TCG Managing Members may be deemed to share voting and investment power with respect to such securities. TCG IV GP LP, TCG IV LLC and each of the TCG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jc w:val="both"/>
        <w:ind w:left="20" w:right="4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IV-A, LP ("TCG IV-A LP"). TCG IV GP LP is the general partner of TCG IV-A LP and may be deemed to have voting and investment power with respect to these securities. TCG IV LLC is the general partner of TCG IV GP LP and the ultimate general partner of TCG IV-A LP and may be deemed to have voting and investment power with respect to these securities. The managing members of TCG IV LLC are the TCG Managing Members. The TCG Managing Members may be deemed to share voting and investment power with respect to</w:t>
      </w:r>
    </w:p>
    <w:p>
      <w:pPr>
        <w:sectPr>
          <w:pgSz w:w="11900" w:h="16884" w:orient="portrait"/>
          <w:cols w:equalWidth="0" w:num="1">
            <w:col w:w="10900"/>
          </w:cols>
          <w:pgMar w:left="480" w:top="125" w:right="519" w:bottom="0" w:gutter="0" w:footer="0" w:header="0"/>
        </w:sectPr>
      </w:pPr>
    </w:p>
    <w:bookmarkStart w:id="3" w:name="page4"/>
    <w:bookmarkEnd w:id="3"/>
    <w:p>
      <w:pPr>
        <w:ind w:right="60"/>
        <w:spacing w:after="0" w:line="272" w:lineRule="auto"/>
        <w:rPr>
          <w:sz w:val="20"/>
          <w:szCs w:val="20"/>
          <w:color w:val="auto"/>
        </w:rPr>
      </w:pPr>
      <w:r>
        <w:rPr>
          <w:rFonts w:ascii="Times New Roman" w:cs="Times New Roman" w:eastAsia="Times New Roman" w:hAnsi="Times New Roman"/>
          <w:sz w:val="13"/>
          <w:szCs w:val="13"/>
          <w:color w:val="008000"/>
        </w:rPr>
        <w:t>such securities. TCG IV GP LP, TCG IV LLC and each of the TCG Managing Members disclaim beneficial ownership of these securities, except to the extent of their respective pecuniary interest in such securities.</w:t>
      </w:r>
    </w:p>
    <w:p>
      <w:pPr>
        <w:spacing w:after="0" w:line="8" w:lineRule="exact"/>
        <w:rPr>
          <w:sz w:val="20"/>
          <w:szCs w:val="20"/>
          <w:color w:val="auto"/>
        </w:rPr>
      </w:pPr>
    </w:p>
    <w:p>
      <w:pPr>
        <w:ind w:right="260" w:firstLine="7"/>
        <w:spacing w:after="0" w:line="247"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LP ("TCG LP").The Column Group GP, LP ("TCG GP") is the general partner of TCG LP and may be deemed to have voting and investment power with respect to these securities. The managing partners of TCG GP are David Goeddel, a member of the Issuer's board of directors and Peter Svennilson (collectively, the "TCG Managing Partners"). The TCG Managing Partners may be deemed to share voting and investment power with respect to such securities. TCG GP and each of the TCG Managing Partners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firstLine="7"/>
        <w:spacing w:after="0" w:line="247"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 LP ("TCG III LP"). The Column Group III GP, LP ("TCG III GP") is the general partner of TCG III LP and may be deemed to have voting and investment power with respect to these securities. The managing partners of TCG III GP are the TCG Managing Members. The TCG Managing Members may be deemed to share voting and investment power with respect to such securities. TCG III GP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jc w:val="both"/>
        <w:ind w:right="180"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III-A, LP ("TCG III-A LP"). TCG III GP is the general partner of TCG III-A LP and may be deemed to have voting and investment power with respect to these securities. The managing partners of TCG III GP are the TCG Managing Members. The TCG Managing Members may be deemed to share voting and investment power with respect to such securities. TCG III GP and each of the TCG Managing Members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right="100"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 LP ("TCG II LP"). TCG II GP is the general partner of TCG II LP and may be deemed to have voting and investment power with respect to these securities. The managing partners of TCG II GP are the TCG Managing Partners. The TCG Managing Partners may be deemed to share voting and investment power with respect to such securities. TCG II GP and each of the TCG Managing Partners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right="100" w:firstLine="7"/>
        <w:spacing w:after="0" w:line="248"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LP ("Ponoi LP"). Ponoi Management, LLC ("Ponoi LLC") is the general partner of Ponoi LP and may be deemed to have voting and investment power with respect to these securities. The managing members of Ponoi LLC are the TCG Managing Members. The TCG Managing Members may be deemed to share voting and investment power with respect to such securities. Ponoi LLC and the each of the TCG Managing Members disclaim beneficial ownership of these securities, except to the extent of their respective pecuniary interest in such securities.</w:t>
      </w:r>
    </w:p>
    <w:p>
      <w:pPr>
        <w:spacing w:after="0" w:line="176" w:lineRule="exact"/>
        <w:rPr>
          <w:rFonts w:ascii="Times New Roman" w:cs="Times New Roman" w:eastAsia="Times New Roman" w:hAnsi="Times New Roman"/>
          <w:sz w:val="13"/>
          <w:szCs w:val="13"/>
          <w:color w:val="008000"/>
        </w:rPr>
      </w:pPr>
    </w:p>
    <w:p>
      <w:pPr>
        <w:ind w:firstLine="7"/>
        <w:spacing w:after="0" w:line="247" w:lineRule="auto"/>
        <w:tabs>
          <w:tab w:leader="none" w:pos="195"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II, LP ("Ponoi II LP"). Ponoi II Management, LLC ("Ponoi II LLC") is the general partner of Ponoi II LP and may be deemed to have voting and investment power with respect to these securities. The managing members of Ponoi II LLC are the TCG Managing Members. The TCG Managing Members may be deemed to share voting and investment power with respect to such securities. Ponoi II LLC and the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right="140" w:firstLine="7"/>
        <w:spacing w:after="0" w:line="272"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TCG GP. The managing members of TCG GP are the TCG Managing Partners. The TCG Managing Partners may be deemed to share voting and investment power with respect to such securities. Each of the TCG Managing Partners disclaim beneficial ownership of these securities, except to the extent of their respective pecuniary interest in such securities.</w:t>
      </w:r>
    </w:p>
    <w:p>
      <w:pPr>
        <w:spacing w:after="0" w:line="7" w:lineRule="exact"/>
        <w:rPr>
          <w:rFonts w:ascii="Times New Roman" w:cs="Times New Roman" w:eastAsia="Times New Roman" w:hAnsi="Times New Roman"/>
          <w:sz w:val="13"/>
          <w:szCs w:val="13"/>
          <w:color w:val="008000"/>
        </w:rPr>
      </w:pPr>
    </w:p>
    <w:p>
      <w:pPr>
        <w:ind w:firstLine="7"/>
        <w:spacing w:after="0" w:line="253"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Management LP ("TCGM LP"). The managing partners of TCGM LP are the TCG Managing Members. The TCG Managing Members may be deemed to share voting and investment power with respect to such securities. Each of the TCG Managing Members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solely by Tim Kutzkey.</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Peter Svennilson.</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Due to SEC restrictions on the number of reporting owners, this is Form 1 of 3.</w:t>
      </w:r>
    </w:p>
    <w:p>
      <w:pPr>
        <w:sectPr>
          <w:pgSz w:w="11900" w:h="16838" w:orient="portrait"/>
          <w:cols w:equalWidth="0" w:num="1">
            <w:col w:w="10900"/>
          </w:cols>
          <w:pgMar w:left="500" w:top="127" w:right="499" w:bottom="144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Peter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39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11239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889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69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10769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Kutzkey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Ponoi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44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Capital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740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Ponoi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53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096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Ponoi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44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Capital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737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Ponoi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44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096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194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91948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22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12922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2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877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64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10/31/2022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10/31/2022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10/31/2022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10/31/2022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10/31/2022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10/31/2022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10/31/2022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10/31/2022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10/31/2022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10/31/2022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80" w:space="160"/>
            <w:col w:w="2160"/>
          </w:cols>
          <w:pgMar w:left="500" w:top="127" w:right="49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20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27"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9" Type="http://schemas.openxmlformats.org/officeDocument/2006/relationships/hyperlink" Target="http://www.sec.gov/cgi-bin/browse-edgar?action=getcompany&amp;CIK=0001606074" TargetMode="External"/><Relationship Id="rId20" Type="http://schemas.openxmlformats.org/officeDocument/2006/relationships/hyperlink" Target="http://www.sec.gov/cgi-bin/browse-edgar?action=getcompany&amp;CIK=0001614186" TargetMode="External"/><Relationship Id="rId21" Type="http://schemas.openxmlformats.org/officeDocument/2006/relationships/hyperlink" Target="http://www.sec.gov/cgi-bin/browse-edgar?action=getcompany&amp;CIK=0001732601" TargetMode="External"/><Relationship Id="rId22" Type="http://schemas.openxmlformats.org/officeDocument/2006/relationships/hyperlink" Target="http://www.sec.gov/cgi-bin/browse-edgar?action=getcompany&amp;CIK=0001746488" TargetMode="External"/><Relationship Id="rId23" Type="http://schemas.openxmlformats.org/officeDocument/2006/relationships/hyperlink" Target="http://www.sec.gov/cgi-bin/browse-edgar?action=getcompany&amp;CIK=0001707230" TargetMode="External"/><Relationship Id="rId53" Type="http://schemas.openxmlformats.org/officeDocument/2006/relationships/hyperlink" Target="http://www.sec.gov/cgi-bin/browse-edgar?action=getcompany&amp;CIK=0001720702" TargetMode="External"/><Relationship Id="rId54" Type="http://schemas.openxmlformats.org/officeDocument/2006/relationships/hyperlink" Target="http://www.sec.gov/cgi-bin/browse-edgar?action=getcompany&amp;CIK=0001600420" TargetMode="External"/><Relationship Id="rId55" Type="http://schemas.openxmlformats.org/officeDocument/2006/relationships/hyperlink" Target="http://www.sec.gov/cgi-bin/browse-edgar?action=getcompany&amp;CIK=0001645340" TargetMode="External"/><Relationship Id="rId56" Type="http://schemas.openxmlformats.org/officeDocument/2006/relationships/hyperlink" Target="http://www.sec.gov/cgi-bin/browse-edgar?action=getcompany&amp;CIK=00016453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2022-10-31T17:37:36Z</dcterms:created>
  <dcterms:modified xsi:type="dcterms:W3CDTF">2022-10-31T17:37:36Z</dcterms:modified>
</cp:coreProperties>
</file>