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105410</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93" w:lineRule="exact"/>
        <w:rPr>
          <w:sz w:val="24"/>
          <w:szCs w:val="24"/>
          <w:color w:val="auto"/>
        </w:rPr>
      </w:pPr>
    </w:p>
    <w:p>
      <w:pPr>
        <w:ind w:left="3820" w:right="2400" w:hanging="3800"/>
        <w:spacing w:after="0" w:line="360" w:lineRule="auto"/>
        <w:tabs>
          <w:tab w:leader="none" w:pos="361"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20" w:lineRule="exact"/>
        <w:rPr>
          <w:sz w:val="24"/>
          <w:szCs w:val="24"/>
          <w:color w:val="auto"/>
        </w:rPr>
      </w:pPr>
    </w:p>
    <w:p>
      <w:pPr>
        <w:ind w:left="360" w:hanging="340"/>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1" w:lineRule="exact"/>
        <w:rPr>
          <w:sz w:val="24"/>
          <w:szCs w:val="24"/>
          <w:color w:val="auto"/>
        </w:rPr>
      </w:pPr>
    </w:p>
    <w:p>
      <w:pPr>
        <w:ind w:left="386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3983355</wp:posOffset>
            </wp:positionH>
            <wp:positionV relativeFrom="paragraph">
              <wp:posOffset>-3810</wp:posOffset>
            </wp:positionV>
            <wp:extent cx="709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95"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22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NGM BIOPHARMACEUTICALS,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22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p>
      <w:pPr>
        <w:spacing w:after="0" w:line="272" w:lineRule="exact"/>
        <w:rPr>
          <w:sz w:val="24"/>
          <w:szCs w:val="24"/>
          <w:color w:val="auto"/>
        </w:rPr>
      </w:pPr>
    </w:p>
    <w:p>
      <w:pPr>
        <w:jc w:val="center"/>
        <w:ind w:right="640"/>
        <w:spacing w:after="0"/>
        <w:rPr>
          <w:sz w:val="20"/>
          <w:szCs w:val="20"/>
          <w:color w:val="auto"/>
        </w:rPr>
      </w:pPr>
      <w:r>
        <w:rPr>
          <w:rFonts w:ascii="Arial" w:cs="Arial" w:eastAsia="Arial" w:hAnsi="Arial"/>
          <w:sz w:val="15"/>
          <w:szCs w:val="15"/>
          <w:b w:val="1"/>
          <w:bCs w:val="1"/>
          <w:color w:val="auto"/>
        </w:rPr>
        <w:t>Delaware</w:t>
      </w:r>
    </w:p>
    <w:p>
      <w:pPr>
        <w:spacing w:after="0" w:line="34" w:lineRule="exact"/>
        <w:rPr>
          <w:sz w:val="24"/>
          <w:szCs w:val="24"/>
          <w:color w:val="auto"/>
        </w:rPr>
      </w:pPr>
    </w:p>
    <w:p>
      <w:pPr>
        <w:jc w:val="center"/>
        <w:ind w:right="64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jc w:val="center"/>
        <w:ind w:right="1380"/>
        <w:spacing w:after="0"/>
        <w:rPr>
          <w:sz w:val="20"/>
          <w:szCs w:val="20"/>
          <w:color w:val="auto"/>
        </w:rPr>
      </w:pPr>
      <w:r>
        <w:rPr>
          <w:rFonts w:ascii="Arial" w:cs="Arial" w:eastAsia="Arial" w:hAnsi="Arial"/>
          <w:sz w:val="15"/>
          <w:szCs w:val="15"/>
          <w:b w:val="1"/>
          <w:bCs w:val="1"/>
          <w:color w:val="auto"/>
        </w:rPr>
        <w:t>26-1679911</w:t>
      </w:r>
    </w:p>
    <w:p>
      <w:pPr>
        <w:spacing w:after="0" w:line="34" w:lineRule="exact"/>
        <w:rPr>
          <w:sz w:val="24"/>
          <w:szCs w:val="24"/>
          <w:color w:val="auto"/>
        </w:rPr>
      </w:pPr>
    </w:p>
    <w:p>
      <w:pPr>
        <w:jc w:val="center"/>
        <w:ind w:right="1380"/>
        <w:spacing w:after="0"/>
        <w:rPr>
          <w:sz w:val="20"/>
          <w:szCs w:val="20"/>
          <w:color w:val="auto"/>
        </w:rPr>
      </w:pPr>
      <w:r>
        <w:rPr>
          <w:rFonts w:ascii="Arial" w:cs="Arial" w:eastAsia="Arial" w:hAnsi="Arial"/>
          <w:sz w:val="15"/>
          <w:szCs w:val="15"/>
          <w:b w:val="1"/>
          <w:bCs w:val="1"/>
          <w:color w:val="auto"/>
        </w:rPr>
        <w:t>(I.R.S. Employer Identification No.)</w:t>
      </w:r>
    </w:p>
    <w:p>
      <w:pPr>
        <w:spacing w:after="0" w:line="167" w:lineRule="exact"/>
        <w:rPr>
          <w:sz w:val="24"/>
          <w:szCs w:val="24"/>
          <w:color w:val="auto"/>
        </w:rPr>
      </w:pPr>
    </w:p>
    <w:p>
      <w:pPr>
        <w:sectPr>
          <w:pgSz w:w="11900" w:h="16838" w:orient="portrait"/>
          <w:cols w:equalWidth="0" w:num="2">
            <w:col w:w="6600" w:space="720"/>
            <w:col w:w="3920"/>
          </w:cols>
          <w:pgMar w:left="320" w:top="244"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333 Oyster Point Boulevard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32"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Registrant’s telephone number, including area code: (650) 243-5555</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 of Securities Registered</w:t>
            </w:r>
          </w:p>
        </w:tc>
        <w:tc>
          <w:tcPr>
            <w:tcW w:w="2340" w:type="dxa"/>
            <w:vAlign w:val="bottom"/>
            <w:tcBorders>
              <w:bottom w:val="single" w:sz="8" w:color="auto"/>
            </w:tcBorders>
          </w:tcPr>
          <w:p>
            <w:pPr>
              <w:jc w:val="center"/>
              <w:ind w:left="63"/>
              <w:spacing w:after="0"/>
              <w:rPr>
                <w:sz w:val="20"/>
                <w:szCs w:val="20"/>
                <w:color w:val="auto"/>
              </w:rPr>
            </w:pPr>
            <w:r>
              <w:rPr>
                <w:rFonts w:ascii="Arial" w:cs="Arial" w:eastAsia="Arial" w:hAnsi="Arial"/>
                <w:sz w:val="15"/>
                <w:szCs w:val="15"/>
                <w:b w:val="1"/>
                <w:bCs w:val="1"/>
                <w:color w:val="auto"/>
              </w:rPr>
              <w:t>Trading Symbol</w:t>
            </w:r>
          </w:p>
        </w:tc>
        <w:tc>
          <w:tcPr>
            <w:tcW w:w="430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6"/>
        </w:trPr>
        <w:tc>
          <w:tcPr>
            <w:tcW w:w="4560" w:type="dxa"/>
            <w:vAlign w:val="bottom"/>
          </w:tcPr>
          <w:p>
            <w:pPr>
              <w:jc w:val="center"/>
              <w:spacing w:after="0"/>
              <w:rPr>
                <w:sz w:val="20"/>
                <w:szCs w:val="20"/>
                <w:color w:val="auto"/>
              </w:rPr>
            </w:pPr>
            <w:r>
              <w:rPr>
                <w:rFonts w:ascii="Arial" w:cs="Arial" w:eastAsia="Arial" w:hAnsi="Arial"/>
                <w:sz w:val="15"/>
                <w:szCs w:val="15"/>
                <w:color w:val="auto"/>
              </w:rPr>
              <w:t>Common Stock, par value $0.001 per share</w:t>
            </w:r>
          </w:p>
        </w:tc>
        <w:tc>
          <w:tcPr>
            <w:tcW w:w="2340" w:type="dxa"/>
            <w:vAlign w:val="bottom"/>
          </w:tcPr>
          <w:p>
            <w:pPr>
              <w:jc w:val="center"/>
              <w:ind w:left="63"/>
              <w:spacing w:after="0"/>
              <w:rPr>
                <w:sz w:val="20"/>
                <w:szCs w:val="20"/>
                <w:color w:val="auto"/>
              </w:rPr>
            </w:pPr>
            <w:r>
              <w:rPr>
                <w:rFonts w:ascii="Arial" w:cs="Arial" w:eastAsia="Arial" w:hAnsi="Arial"/>
                <w:sz w:val="15"/>
                <w:szCs w:val="15"/>
                <w:color w:val="auto"/>
              </w:rPr>
              <w:t>NGM</w:t>
            </w:r>
          </w:p>
        </w:tc>
        <w:tc>
          <w:tcPr>
            <w:tcW w:w="4300" w:type="dxa"/>
            <w:vAlign w:val="bottom"/>
          </w:tcPr>
          <w:p>
            <w:pPr>
              <w:jc w:val="center"/>
              <w:ind w:left="3"/>
              <w:spacing w:after="0"/>
              <w:rPr>
                <w:sz w:val="20"/>
                <w:szCs w:val="20"/>
                <w:color w:val="auto"/>
              </w:rPr>
            </w:pPr>
            <w:r>
              <w:rPr>
                <w:rFonts w:ascii="Arial" w:cs="Arial" w:eastAsia="Arial" w:hAnsi="Arial"/>
                <w:sz w:val="15"/>
                <w:szCs w:val="15"/>
                <w:color w:val="auto"/>
              </w:rPr>
              <w:t>The Nasdaq Stock Market LLC</w:t>
            </w:r>
          </w:p>
        </w:tc>
      </w:tr>
    </w:tbl>
    <w:p>
      <w:pPr>
        <w:spacing w:after="0" w:line="11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12" w:lineRule="exact"/>
        <w:rPr>
          <w:sz w:val="24"/>
          <w:szCs w:val="24"/>
          <w:color w:val="auto"/>
        </w:rPr>
      </w:pPr>
    </w:p>
    <w:p>
      <w:pPr>
        <w:ind w:right="4260"/>
        <w:spacing w:after="0" w:line="184"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1"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 w:lineRule="exact"/>
        <w:rPr>
          <w:sz w:val="24"/>
          <w:szCs w:val="24"/>
          <w:color w:val="auto"/>
        </w:rPr>
      </w:pPr>
    </w:p>
    <w:p>
      <w:pPr>
        <w:spacing w:after="0" w:line="26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19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54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4760" w:type="dxa"/>
            <w:vAlign w:val="bottom"/>
          </w:tcPr>
          <w:p>
            <w:pPr>
              <w:ind w:left="2760"/>
              <w:spacing w:after="0"/>
              <w:rPr>
                <w:sz w:val="20"/>
                <w:szCs w:val="20"/>
                <w:color w:val="auto"/>
              </w:rPr>
            </w:pPr>
            <w:r>
              <w:rPr>
                <w:rFonts w:ascii="Arial" w:cs="Arial" w:eastAsia="Arial" w:hAnsi="Arial"/>
                <w:sz w:val="12"/>
                <w:szCs w:val="12"/>
                <w:color w:val="auto"/>
              </w:rPr>
              <w:t>Accelerated filer</w:t>
            </w:r>
          </w:p>
        </w:tc>
        <w:tc>
          <w:tcPr>
            <w:tcW w:w="680" w:type="dxa"/>
            <w:vAlign w:val="bottom"/>
          </w:tcPr>
          <w:p>
            <w:pPr>
              <w:ind w:left="5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900" w:type="dxa"/>
            <w:vAlign w:val="bottom"/>
          </w:tcPr>
          <w:p>
            <w:pPr>
              <w:spacing w:after="0"/>
              <w:rPr>
                <w:sz w:val="20"/>
                <w:szCs w:val="20"/>
                <w:color w:val="auto"/>
              </w:rPr>
            </w:pPr>
            <w:r>
              <w:rPr>
                <w:rFonts w:ascii="Arial" w:cs="Arial" w:eastAsia="Arial" w:hAnsi="Arial"/>
                <w:sz w:val="12"/>
                <w:szCs w:val="12"/>
                <w:color w:val="auto"/>
              </w:rPr>
              <w:t>Non-accelerated filer</w:t>
            </w:r>
          </w:p>
        </w:tc>
        <w:tc>
          <w:tcPr>
            <w:tcW w:w="354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4760" w:type="dxa"/>
            <w:vAlign w:val="bottom"/>
          </w:tcPr>
          <w:p>
            <w:pPr>
              <w:ind w:left="2760"/>
              <w:spacing w:after="0"/>
              <w:rPr>
                <w:sz w:val="20"/>
                <w:szCs w:val="20"/>
                <w:color w:val="auto"/>
              </w:rPr>
            </w:pPr>
            <w:r>
              <w:rPr>
                <w:rFonts w:ascii="Arial" w:cs="Arial" w:eastAsia="Arial" w:hAnsi="Arial"/>
                <w:sz w:val="12"/>
                <w:szCs w:val="12"/>
                <w:color w:val="auto"/>
              </w:rPr>
              <w:t>Smaller reporting company</w:t>
            </w:r>
          </w:p>
        </w:tc>
        <w:tc>
          <w:tcPr>
            <w:tcW w:w="680" w:type="dxa"/>
            <w:vAlign w:val="bottom"/>
          </w:tcPr>
          <w:p>
            <w:pPr>
              <w:ind w:left="5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8"/>
        </w:trPr>
        <w:tc>
          <w:tcPr>
            <w:tcW w:w="19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760" w:type="dxa"/>
            <w:vAlign w:val="bottom"/>
          </w:tcPr>
          <w:p>
            <w:pPr>
              <w:ind w:left="2760"/>
              <w:spacing w:after="0"/>
              <w:rPr>
                <w:sz w:val="20"/>
                <w:szCs w:val="20"/>
                <w:color w:val="auto"/>
              </w:rPr>
            </w:pPr>
            <w:r>
              <w:rPr>
                <w:rFonts w:ascii="Arial" w:cs="Arial" w:eastAsia="Arial" w:hAnsi="Arial"/>
                <w:sz w:val="12"/>
                <w:szCs w:val="12"/>
                <w:color w:val="auto"/>
              </w:rPr>
              <w:t>Emerging growth company</w:t>
            </w:r>
          </w:p>
        </w:tc>
        <w:tc>
          <w:tcPr>
            <w:tcW w:w="680" w:type="dxa"/>
            <w:vAlign w:val="bottom"/>
          </w:tcPr>
          <w:p>
            <w:pPr>
              <w:ind w:left="5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5"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5" w:lineRule="exact"/>
        <w:rPr>
          <w:sz w:val="24"/>
          <w:szCs w:val="24"/>
          <w:color w:val="auto"/>
        </w:rPr>
      </w:pPr>
    </w:p>
    <w:p>
      <w:pPr>
        <w:spacing w:after="0" w:line="186"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3"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2" w:lineRule="exact"/>
        <w:rPr>
          <w:sz w:val="24"/>
          <w:szCs w:val="24"/>
          <w:color w:val="auto"/>
        </w:rPr>
      </w:pPr>
    </w:p>
    <w:p>
      <w:pPr>
        <w:spacing w:after="0" w:line="156"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3" w:lineRule="exact"/>
        <w:rPr>
          <w:sz w:val="24"/>
          <w:szCs w:val="24"/>
          <w:color w:val="auto"/>
        </w:rPr>
      </w:pPr>
    </w:p>
    <w:p>
      <w:pPr>
        <w:ind w:right="20"/>
        <w:spacing w:after="0" w:line="258"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as of June 30, 2022, the last business day of the registrant’s most recently completed second fiscal quarter, was approximately $699 million, calculated based on the closing price of the registrant’s common stock as reported by the Nasdaq Global Select Market. Excludes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As of February 22, 2023, the number of outstanding shares of the registrant’s common stock, par value $0.001 per share, was 82,046,499.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82" w:lineRule="exact"/>
        <w:rPr>
          <w:sz w:val="24"/>
          <w:szCs w:val="24"/>
          <w:color w:val="auto"/>
        </w:rPr>
      </w:pPr>
    </w:p>
    <w:p>
      <w:pPr>
        <w:spacing w:after="0" w:line="281" w:lineRule="auto"/>
        <w:rPr>
          <w:sz w:val="20"/>
          <w:szCs w:val="20"/>
          <w:color w:val="auto"/>
        </w:rPr>
      </w:pPr>
      <w:r>
        <w:rPr>
          <w:rFonts w:ascii="Arial" w:cs="Arial" w:eastAsia="Arial" w:hAnsi="Arial"/>
          <w:sz w:val="12"/>
          <w:szCs w:val="12"/>
          <w:color w:val="auto"/>
        </w:rPr>
        <w:t>Portions of the registrant’s definitive Proxy Statement for the 2023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40" w:type="dxa"/>
            <w:vAlign w:val="bottom"/>
            <w:gridSpan w:val="25"/>
          </w:tcPr>
          <w:p>
            <w:pPr>
              <w:ind w:left="20"/>
              <w:spacing w:after="0"/>
              <w:rPr>
                <w:sz w:val="20"/>
                <w:szCs w:val="20"/>
                <w:color w:val="auto"/>
              </w:rPr>
            </w:pPr>
            <w:r>
              <w:rPr>
                <w:rFonts w:ascii="Arial" w:cs="Arial" w:eastAsia="Arial" w:hAnsi="Arial"/>
                <w:sz w:val="15"/>
                <w:szCs w:val="15"/>
                <w:color w:val="3051F2"/>
              </w:rPr>
              <w:t>Table of Contents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836"/>
        </w:trPr>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gridSpan w:val="11"/>
          </w:tcPr>
          <w:p>
            <w:pPr>
              <w:jc w:val="center"/>
              <w:ind w:right="2640"/>
              <w:spacing w:after="0"/>
              <w:rPr>
                <w:sz w:val="20"/>
                <w:szCs w:val="20"/>
                <w:color w:val="auto"/>
              </w:rPr>
            </w:pPr>
            <w:r>
              <w:rPr>
                <w:rFonts w:ascii="Arial" w:cs="Arial" w:eastAsia="Arial" w:hAnsi="Arial"/>
                <w:sz w:val="17"/>
                <w:szCs w:val="17"/>
                <w:b w:val="1"/>
                <w:bCs w:val="1"/>
                <w:color w:val="auto"/>
              </w:rPr>
              <w:t>NGM BIOPHARMACEUTICALS, INC.</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0" w:type="dxa"/>
            <w:vAlign w:val="bottom"/>
            <w:gridSpan w:val="11"/>
          </w:tcPr>
          <w:p>
            <w:pPr>
              <w:jc w:val="center"/>
              <w:ind w:right="2640"/>
              <w:spacing w:after="0"/>
              <w:rPr>
                <w:sz w:val="20"/>
                <w:szCs w:val="20"/>
                <w:color w:val="auto"/>
              </w:rPr>
            </w:pPr>
            <w:r>
              <w:rPr>
                <w:rFonts w:ascii="Arial" w:cs="Arial" w:eastAsia="Arial" w:hAnsi="Arial"/>
                <w:sz w:val="17"/>
                <w:szCs w:val="17"/>
                <w:b w:val="1"/>
                <w:bCs w:val="1"/>
                <w:color w:val="auto"/>
              </w:rPr>
              <w:t>2022 ANNUAL REPORT ON FORM 10-K</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80" w:type="dxa"/>
            <w:vAlign w:val="bottom"/>
            <w:gridSpan w:val="9"/>
          </w:tcPr>
          <w:p>
            <w:pPr>
              <w:jc w:val="center"/>
              <w:ind w:right="3560"/>
              <w:spacing w:after="0"/>
              <w:rPr>
                <w:sz w:val="20"/>
                <w:szCs w:val="20"/>
                <w:color w:val="auto"/>
              </w:rPr>
            </w:pPr>
            <w:r>
              <w:rPr>
                <w:rFonts w:ascii="Arial" w:cs="Arial" w:eastAsia="Arial" w:hAnsi="Arial"/>
                <w:sz w:val="17"/>
                <w:szCs w:val="17"/>
                <w:b w:val="1"/>
                <w:bCs w:val="1"/>
                <w:color w:val="auto"/>
              </w:rPr>
              <w:t>TABLE OF CONTENTS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5"/>
        </w:trPr>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7"/>
                <w:szCs w:val="17"/>
                <w:b w:val="1"/>
                <w:bCs w:val="1"/>
                <w:color w:val="auto"/>
              </w:rPr>
              <w:t>Page</w:t>
            </w:r>
          </w:p>
        </w:tc>
      </w:tr>
      <w:tr>
        <w:trPr>
          <w:trHeight w:val="162"/>
        </w:trPr>
        <w:tc>
          <w:tcPr>
            <w:tcW w:w="580" w:type="dxa"/>
            <w:vAlign w:val="bottom"/>
            <w:gridSpan w:val="3"/>
          </w:tcPr>
          <w:p>
            <w:pPr>
              <w:spacing w:after="0" w:line="142" w:lineRule="exact"/>
              <w:rPr>
                <w:sz w:val="20"/>
                <w:szCs w:val="20"/>
                <w:color w:val="auto"/>
              </w:rPr>
            </w:pPr>
            <w:r>
              <w:rPr>
                <w:rFonts w:ascii="Arial" w:cs="Arial" w:eastAsia="Arial" w:hAnsi="Arial"/>
                <w:sz w:val="16"/>
                <w:szCs w:val="16"/>
                <w:color w:val="0000FF"/>
              </w:rPr>
              <w:t>PART I</w:t>
            </w:r>
          </w:p>
        </w:tc>
        <w:tc>
          <w:tcPr>
            <w:tcW w:w="680" w:type="dxa"/>
            <w:vAlign w:val="bottom"/>
            <w:gridSpan w:val="4"/>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spacing w:after="0"/>
              <w:rPr>
                <w:sz w:val="14"/>
                <w:szCs w:val="14"/>
                <w:color w:val="auto"/>
              </w:rPr>
            </w:pPr>
          </w:p>
        </w:tc>
        <w:tc>
          <w:tcPr>
            <w:tcW w:w="120" w:type="dxa"/>
            <w:vAlign w:val="bottom"/>
            <w:gridSpan w:val="2"/>
          </w:tcPr>
          <w:p>
            <w:pPr>
              <w:jc w:val="right"/>
              <w:ind w:right="20"/>
              <w:spacing w:after="0" w:line="148" w:lineRule="exact"/>
              <w:rPr>
                <w:sz w:val="20"/>
                <w:szCs w:val="20"/>
                <w:color w:val="auto"/>
              </w:rPr>
            </w:pPr>
            <w:r>
              <w:rPr>
                <w:rFonts w:ascii="Arial" w:cs="Arial" w:eastAsia="Arial" w:hAnsi="Arial"/>
                <w:sz w:val="17"/>
                <w:szCs w:val="17"/>
                <w:color w:val="auto"/>
                <w:w w:val="84"/>
              </w:rPr>
              <w:t>6</w:t>
            </w:r>
          </w:p>
        </w:tc>
      </w:tr>
      <w:tr>
        <w:trPr>
          <w:trHeight w:val="26"/>
        </w:trPr>
        <w:tc>
          <w:tcPr>
            <w:tcW w:w="12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06"/>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1.</w:t>
            </w:r>
          </w:p>
        </w:tc>
        <w:tc>
          <w:tcPr>
            <w:tcW w:w="620" w:type="dxa"/>
            <w:vAlign w:val="bottom"/>
            <w:gridSpan w:val="3"/>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Business.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6</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1"/>
              </w:rPr>
              <w:t>Item 1A.</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Risk Factors.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40</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1"/>
              </w:rPr>
              <w:t>Item 1B.</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Unresolved Staff Comments.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81</w:t>
            </w: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2.</w:t>
            </w:r>
          </w:p>
        </w:tc>
        <w:tc>
          <w:tcPr>
            <w:tcW w:w="10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Properties.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81</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3.</w:t>
            </w:r>
          </w:p>
        </w:tc>
        <w:tc>
          <w:tcPr>
            <w:tcW w:w="620" w:type="dxa"/>
            <w:vAlign w:val="bottom"/>
            <w:gridSpan w:val="3"/>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Legal Proceedings.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81</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4.</w:t>
            </w:r>
          </w:p>
        </w:tc>
        <w:tc>
          <w:tcPr>
            <w:tcW w:w="620" w:type="dxa"/>
            <w:vAlign w:val="bottom"/>
            <w:gridSpan w:val="3"/>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Mine Safety Disclosures.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81</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260" w:type="dxa"/>
            <w:vAlign w:val="bottom"/>
            <w:gridSpan w:val="7"/>
          </w:tcPr>
          <w:p>
            <w:pPr>
              <w:spacing w:after="0"/>
              <w:rPr>
                <w:sz w:val="20"/>
                <w:szCs w:val="20"/>
                <w:color w:val="auto"/>
              </w:rPr>
            </w:pPr>
            <w:r>
              <w:rPr>
                <w:rFonts w:ascii="Arial" w:cs="Arial" w:eastAsia="Arial" w:hAnsi="Arial"/>
                <w:sz w:val="17"/>
                <w:szCs w:val="17"/>
                <w:color w:val="0000FF"/>
              </w:rPr>
              <w:t>PART II</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82</w:t>
            </w:r>
          </w:p>
        </w:tc>
      </w:tr>
      <w:tr>
        <w:trPr>
          <w:trHeight w:val="20"/>
        </w:trPr>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5.</w:t>
            </w:r>
          </w:p>
        </w:tc>
        <w:tc>
          <w:tcPr>
            <w:tcW w:w="620" w:type="dxa"/>
            <w:vAlign w:val="bottom"/>
            <w:gridSpan w:val="3"/>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82</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6.</w:t>
            </w:r>
          </w:p>
        </w:tc>
        <w:tc>
          <w:tcPr>
            <w:tcW w:w="620" w:type="dxa"/>
            <w:vAlign w:val="bottom"/>
            <w:gridSpan w:val="3"/>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[Reserved].</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83</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7.</w:t>
            </w:r>
          </w:p>
        </w:tc>
        <w:tc>
          <w:tcPr>
            <w:tcW w:w="620" w:type="dxa"/>
            <w:vAlign w:val="bottom"/>
            <w:gridSpan w:val="3"/>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83</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1"/>
              </w:rPr>
              <w:t>Item 7A.</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Quantitative and Qualitative Disclosures About Market Risk.</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100</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8.</w:t>
            </w:r>
          </w:p>
        </w:tc>
        <w:tc>
          <w:tcPr>
            <w:tcW w:w="10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Financial Statements and Supplementary Data.</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101</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0000FF"/>
                <w:w w:val="92"/>
              </w:rPr>
              <w:t>Item 9.</w:t>
            </w:r>
          </w:p>
        </w:tc>
        <w:tc>
          <w:tcPr>
            <w:tcW w:w="620" w:type="dxa"/>
            <w:vAlign w:val="bottom"/>
            <w:gridSpan w:val="3"/>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128</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1"/>
              </w:rPr>
              <w:t>Item 9A.</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Controls and Procedures.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128</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1"/>
              </w:rPr>
              <w:t>Item 9B.</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Other Information.</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130</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0"/>
              </w:rPr>
              <w:t>Item 9C.</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130</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640" w:type="dxa"/>
            <w:vAlign w:val="bottom"/>
            <w:gridSpan w:val="4"/>
          </w:tcPr>
          <w:p>
            <w:pPr>
              <w:spacing w:after="0"/>
              <w:rPr>
                <w:sz w:val="20"/>
                <w:szCs w:val="20"/>
                <w:color w:val="auto"/>
              </w:rPr>
            </w:pPr>
            <w:r>
              <w:rPr>
                <w:rFonts w:ascii="Arial" w:cs="Arial" w:eastAsia="Arial" w:hAnsi="Arial"/>
                <w:sz w:val="17"/>
                <w:szCs w:val="17"/>
                <w:color w:val="0000FF"/>
                <w:w w:val="93"/>
              </w:rPr>
              <w:t>PART III</w:t>
            </w:r>
          </w:p>
        </w:tc>
        <w:tc>
          <w:tcPr>
            <w:tcW w:w="6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130</w:t>
            </w:r>
          </w:p>
        </w:tc>
      </w:tr>
      <w:tr>
        <w:trPr>
          <w:trHeight w:val="20"/>
        </w:trPr>
        <w:tc>
          <w:tcPr>
            <w:tcW w:w="1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10.</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Directors, Executive Officers and Corporate Governance.</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130</w:t>
            </w:r>
          </w:p>
        </w:tc>
      </w:tr>
      <w:tr>
        <w:trPr>
          <w:trHeight w:val="20"/>
        </w:trPr>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11.</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Executive Compensation.</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131</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12.</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131</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13.</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131</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14.</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Principal Accounting Fees and Services.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131</w:t>
            </w: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640" w:type="dxa"/>
            <w:vAlign w:val="bottom"/>
            <w:gridSpan w:val="4"/>
          </w:tcPr>
          <w:p>
            <w:pPr>
              <w:spacing w:after="0"/>
              <w:rPr>
                <w:sz w:val="20"/>
                <w:szCs w:val="20"/>
                <w:color w:val="auto"/>
              </w:rPr>
            </w:pPr>
            <w:r>
              <w:rPr>
                <w:rFonts w:ascii="Arial" w:cs="Arial" w:eastAsia="Arial" w:hAnsi="Arial"/>
                <w:sz w:val="17"/>
                <w:szCs w:val="17"/>
                <w:color w:val="0000FF"/>
                <w:w w:val="90"/>
              </w:rPr>
              <w:t>PART IV</w:t>
            </w:r>
          </w:p>
        </w:tc>
        <w:tc>
          <w:tcPr>
            <w:tcW w:w="6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131</w:t>
            </w:r>
          </w:p>
        </w:tc>
      </w:tr>
      <w:tr>
        <w:trPr>
          <w:trHeight w:val="20"/>
        </w:trPr>
        <w:tc>
          <w:tcPr>
            <w:tcW w:w="1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15.</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Exhibits, Financial Statement Schedules.</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131</w:t>
            </w:r>
          </w:p>
        </w:tc>
      </w:tr>
      <w:tr>
        <w:trPr>
          <w:trHeight w:val="20"/>
        </w:trPr>
        <w:tc>
          <w:tcPr>
            <w:tcW w:w="1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7"/>
                <w:szCs w:val="17"/>
                <w:color w:val="0000FF"/>
                <w:w w:val="94"/>
              </w:rPr>
              <w:t>Item 16.</w:t>
            </w:r>
          </w:p>
        </w:tc>
        <w:tc>
          <w:tcPr>
            <w:tcW w:w="520" w:type="dxa"/>
            <w:vAlign w:val="bottom"/>
            <w:gridSpan w:val="2"/>
          </w:tcPr>
          <w:p>
            <w:pPr>
              <w:spacing w:after="0"/>
              <w:rPr>
                <w:sz w:val="17"/>
                <w:szCs w:val="17"/>
                <w:color w:val="auto"/>
              </w:rPr>
            </w:pPr>
          </w:p>
        </w:tc>
        <w:tc>
          <w:tcPr>
            <w:tcW w:w="8960" w:type="dxa"/>
            <w:vAlign w:val="bottom"/>
            <w:gridSpan w:val="21"/>
          </w:tcPr>
          <w:p>
            <w:pPr>
              <w:ind w:left="180"/>
              <w:spacing w:after="0"/>
              <w:rPr>
                <w:sz w:val="20"/>
                <w:szCs w:val="20"/>
                <w:color w:val="auto"/>
              </w:rPr>
            </w:pPr>
            <w:r>
              <w:rPr>
                <w:rFonts w:ascii="Arial" w:cs="Arial" w:eastAsia="Arial" w:hAnsi="Arial"/>
                <w:sz w:val="17"/>
                <w:szCs w:val="17"/>
                <w:color w:val="0000FF"/>
              </w:rPr>
              <w:t>Form 10-K Summary.</w:t>
            </w: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134</w:t>
            </w:r>
          </w:p>
        </w:tc>
      </w:tr>
      <w:tr>
        <w:trPr>
          <w:trHeight w:val="20"/>
        </w:trPr>
        <w:tc>
          <w:tcPr>
            <w:tcW w:w="1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4"/>
        </w:trPr>
        <w:tc>
          <w:tcPr>
            <w:tcW w:w="1260" w:type="dxa"/>
            <w:vAlign w:val="bottom"/>
            <w:gridSpan w:val="7"/>
          </w:tcPr>
          <w:p>
            <w:pPr>
              <w:spacing w:after="0"/>
              <w:rPr>
                <w:sz w:val="20"/>
                <w:szCs w:val="20"/>
                <w:color w:val="auto"/>
              </w:rPr>
            </w:pPr>
            <w:r>
              <w:rPr>
                <w:rFonts w:ascii="Arial" w:cs="Arial" w:eastAsia="Arial" w:hAnsi="Arial"/>
                <w:sz w:val="17"/>
                <w:szCs w:val="17"/>
                <w:color w:val="0000FF"/>
              </w:rPr>
              <w:t>SIGNATURES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7"/>
                <w:szCs w:val="17"/>
                <w:color w:val="auto"/>
              </w:rPr>
              <w:t>135</w:t>
            </w:r>
          </w:p>
        </w:tc>
      </w:tr>
      <w:tr>
        <w:trPr>
          <w:trHeight w:val="301"/>
        </w:trPr>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980" w:type="dxa"/>
            <w:vAlign w:val="bottom"/>
            <w:gridSpan w:val="18"/>
          </w:tcPr>
          <w:p>
            <w:pPr>
              <w:jc w:val="center"/>
              <w:ind w:left="1614"/>
              <w:spacing w:after="0"/>
              <w:rPr>
                <w:sz w:val="20"/>
                <w:szCs w:val="20"/>
                <w:color w:val="auto"/>
              </w:rPr>
            </w:pPr>
            <w:r>
              <w:rPr>
                <w:rFonts w:ascii="Arial" w:cs="Arial" w:eastAsia="Arial" w:hAnsi="Arial"/>
                <w:sz w:val="17"/>
                <w:szCs w:val="17"/>
                <w:color w:val="auto"/>
              </w:rPr>
              <w:t>____________________________________</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0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Unless the context suggests otherwise, references in this Annual Report on Form 10-K (the “Annual Report”) to “us,” “our,” “NGM,” “NGM Biopharmaceuticals,” “we,” the “Company” and similar designations refer to NGM Biopharmaceuticals, Inc. and, where appropriate, its subsidiary.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 w:name="page3"/>
    <w:bookmarkEnd w:id="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This Annual Report on Form 10-K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"aim," “anticipate,” “believe,” “could,” “estimate,” “expect,” “intend,” “may,” “plan,” “potential,” “predict,” “project,” "seek,"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46" w:lineRule="exact"/>
        <w:rPr>
          <w:sz w:val="20"/>
          <w:szCs w:val="20"/>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 and the initiation of, enrollment in, availability of data for and other events related to such clinical trials;</w:t>
      </w:r>
    </w:p>
    <w:p>
      <w:pPr>
        <w:spacing w:after="0" w:line="32"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NGM707 has the potential to reprogram immunoglobulin-like transcript 4-, or ILT4-, and immunoglobulin-like transcript 2-, or ILT2-, expressing myeloid cells to shift them from a suppressive state that restricts anti-tumor immunity to a stimulatory state that may promote anti-tumor immunity;</w:t>
      </w:r>
    </w:p>
    <w:p>
      <w:pPr>
        <w:spacing w:after="0" w:line="37"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NGM831 has the potential to block the interaction of the Immunoglobulin-like transcript 3, or ILT3 (also known as LILRB4), receptor with fibronectin, as well as other cognate ligands, and mobilize a patient's own immune system to fight tumors by shifting myeloid cells from a suppressive state to a stimulatory state promoting anti-tumor activity;</w:t>
      </w:r>
    </w:p>
    <w:p>
      <w:pPr>
        <w:spacing w:after="0" w:line="37"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NGM438 has the potential to potently block the binding of all collagens to leukocyte-associated immunoglobulin-like receptor 1, or LAIR1, and to address a key resistance mechanism that limits tumor responses to current immunotherapies;</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NGM120 may reduce tumor growth and improve survival;</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MK-3655 (NGM313) has the potential to be a treatment for patients with NASH with early to moderate fibrosis;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research, develop and commercialize our key programs in active development, NGM707, NGM831, NGM438 and NGM120, and the therapeutic potential of those product candidates;</w:t>
      </w:r>
    </w:p>
    <w:p>
      <w:pPr>
        <w:spacing w:after="0" w:line="32"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therapeutic potential of our additional programs currently without significant resource allocation whose further development is primarily dependent on our ability to secure potential future collaboration, out licensing, partnering or other business development arrangements, or BD Arrangements, with third-party partners and our ability to secure such BD Arrangements on beneficial terms, if at all;</w:t>
      </w:r>
    </w:p>
    <w:p>
      <w:pPr>
        <w:spacing w:after="0" w:line="37"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operations;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future expenses, revenue, capital requirements and needs for additional financing, particularly in light of our estimates of Merck Sharp &amp; Dohme LLC providing further decreased funding in 2023 and minimal funding thereafter;</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approvals for our current and any of our future product candidates, and any related restrictions, limitations and/or warnings in the label of any approved product candidate;</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regarding the impact of our product candidates’ side effects and our ability to effectively manage these side effects;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as well as the reimbursement coverage for our product candidates;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developments in the United States and other countries;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beliefs with respect to the availability of the accelerated approval pathway for any marketing applications that we may submit to the U.S. Food and Drug Administration;</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and our ability to obtain sufficient supply of clinical trial material in a timely manner from, third-party suppliers and manufacturers;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 w:name="page4"/>
    <w:bookmarkEnd w:id="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beliefs around the competitive landscape for our product candidates and the success of competing therapies that are or may become available;</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key scientific, development and management personnel;</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protect and enforce intellectual property protection for our product candidates; and</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elsewhere in this Annual Report on Form 10-K and in our other filings with the U.S. Securities and Exchange Commission.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 SUMMARY</w:t>
      </w:r>
    </w:p>
    <w:p>
      <w:pPr>
        <w:spacing w:after="0" w:line="23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10-K. The below summary is qualified in its entirety by that more complete discussion of such risks and uncertainties. You should carefully consider the risks and uncertainties described under “Risk Factors” in Part I, Item 1A of this Annual Report on Form 10-K as part of your evaluation of an investment in our common stock.</w:t>
      </w:r>
    </w:p>
    <w:p>
      <w:pPr>
        <w:spacing w:after="0" w:line="43" w:lineRule="exact"/>
        <w:rPr>
          <w:sz w:val="20"/>
          <w:szCs w:val="20"/>
          <w:color w:val="auto"/>
        </w:rPr>
      </w:pPr>
    </w:p>
    <w:p>
      <w:pPr>
        <w:jc w:val="both"/>
        <w:ind w:left="620" w:hanging="307"/>
        <w:spacing w:after="0" w:line="257"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need to successfully complete rigorous preclinical and clinical testing of our product candidates before we can seek regulatory approval, and the regulatory approval processes of the U.S. Food and Drug Administration and comparable foreign health authorities are lengthy and inherently unpredictable, and if we are not successful at each step of the process, commercialization of our product candidates will be delayed or prevented.</w:t>
      </w:r>
    </w:p>
    <w:p>
      <w:pPr>
        <w:spacing w:after="0" w:line="39" w:lineRule="exact"/>
        <w:rPr>
          <w:rFonts w:ascii="Arial" w:cs="Arial" w:eastAsia="Arial" w:hAnsi="Arial"/>
          <w:sz w:val="17"/>
          <w:szCs w:val="17"/>
          <w:color w:val="auto"/>
        </w:rPr>
      </w:pPr>
    </w:p>
    <w:p>
      <w:pPr>
        <w:ind w:left="1240" w:hanging="309"/>
        <w:spacing w:after="0" w:line="265" w:lineRule="auto"/>
        <w:tabs>
          <w:tab w:leader="none" w:pos="1236" w:val="left"/>
        </w:tabs>
        <w:numPr>
          <w:ilvl w:val="1"/>
          <w:numId w:val="5"/>
        </w:numPr>
        <w:rPr>
          <w:rFonts w:ascii="Arial" w:cs="Arial" w:eastAsia="Arial" w:hAnsi="Arial"/>
          <w:sz w:val="17"/>
          <w:szCs w:val="17"/>
          <w:color w:val="auto"/>
        </w:rPr>
      </w:pPr>
      <w:r>
        <w:rPr>
          <w:rFonts w:ascii="Arial" w:cs="Arial" w:eastAsia="Arial" w:hAnsi="Arial"/>
          <w:sz w:val="17"/>
          <w:szCs w:val="17"/>
          <w:color w:val="auto"/>
        </w:rPr>
        <w:t>Our product candidates are in early stages of development, with our most advanced product candidates only in Phase 2 development.</w:t>
      </w:r>
    </w:p>
    <w:p>
      <w:pPr>
        <w:spacing w:after="0" w:line="32" w:lineRule="exact"/>
        <w:rPr>
          <w:rFonts w:ascii="Arial" w:cs="Arial" w:eastAsia="Arial" w:hAnsi="Arial"/>
          <w:sz w:val="17"/>
          <w:szCs w:val="17"/>
          <w:color w:val="auto"/>
        </w:rPr>
      </w:pPr>
    </w:p>
    <w:p>
      <w:pPr>
        <w:ind w:left="1240" w:hanging="309"/>
        <w:spacing w:after="0" w:line="265" w:lineRule="auto"/>
        <w:tabs>
          <w:tab w:leader="none" w:pos="1236" w:val="left"/>
        </w:tabs>
        <w:numPr>
          <w:ilvl w:val="1"/>
          <w:numId w:val="5"/>
        </w:numPr>
        <w:rPr>
          <w:rFonts w:ascii="Arial" w:cs="Arial" w:eastAsia="Arial" w:hAnsi="Arial"/>
          <w:sz w:val="17"/>
          <w:szCs w:val="17"/>
          <w:color w:val="auto"/>
        </w:rPr>
      </w:pPr>
      <w:r>
        <w:rPr>
          <w:rFonts w:ascii="Arial" w:cs="Arial" w:eastAsia="Arial" w:hAnsi="Arial"/>
          <w:sz w:val="17"/>
          <w:szCs w:val="17"/>
          <w:color w:val="auto"/>
        </w:rPr>
        <w:t>Our product candidates may fail to demonstrate safety and efficacy in ongoing and future clinical trials, may never achieve regulatory approval and may not be able to be successfully commercialized due to competition or other factors.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net losses every year since our inception, we have no source of product revenue, we expect to continue to incur significant operating losses and we may never become profitable.</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color w:val="auto"/>
        </w:rPr>
        <w:t>All of our revenue for recent periods has been received from a single collaboration partner, Merck Sharp &amp; Dohme LLC, or Merck, and that revenue will be substantially lower in 2023 and minimal thereafter.</w:t>
      </w:r>
    </w:p>
    <w:p>
      <w:pPr>
        <w:spacing w:after="0" w:line="32" w:lineRule="exact"/>
        <w:rPr>
          <w:rFonts w:ascii="Arial" w:cs="Arial" w:eastAsia="Arial" w:hAnsi="Arial"/>
          <w:sz w:val="17"/>
          <w:szCs w:val="17"/>
          <w:b w:val="1"/>
          <w:bCs w:val="1"/>
          <w:i w:val="1"/>
          <w:iCs w:val="1"/>
          <w:color w:val="auto"/>
        </w:rPr>
      </w:pPr>
    </w:p>
    <w:p>
      <w:pPr>
        <w:jc w:val="both"/>
        <w:ind w:left="620" w:hanging="307"/>
        <w:spacing w:after="0" w:line="25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need significant additional capital to proceed with development and commercialization of our current and potential future product candidates and to finance our other operations, and that additional capital may not be available to us on acceptable terms, or at all; as a result, we may be required to delay, scale back or discontinue development of our product candidates or other operations.</w:t>
      </w:r>
    </w:p>
    <w:p>
      <w:pPr>
        <w:spacing w:after="0" w:line="37"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depend in the future on BD Arrangements with third-party partners for the development and commercialization of our product candidates and for revenue and, if we are unable to secure those BD Arrangements, or if any future BD Arrangements are not successful, we may not be able to capitalize on the market potential of our product candidates or continue their development.</w:t>
      </w:r>
    </w:p>
    <w:p>
      <w:pPr>
        <w:spacing w:after="0" w:line="37"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obtain and maintain relationships with future partners that are necessary to develop, manufacture and commercialize some or all of our product candidates.</w:t>
      </w:r>
    </w:p>
    <w:p>
      <w:pPr>
        <w:spacing w:after="0" w:line="32" w:lineRule="exact"/>
        <w:rPr>
          <w:rFonts w:ascii="Arial" w:cs="Arial" w:eastAsia="Arial" w:hAnsi="Arial"/>
          <w:sz w:val="17"/>
          <w:szCs w:val="17"/>
          <w:color w:val="auto"/>
        </w:rPr>
      </w:pPr>
    </w:p>
    <w:p>
      <w:pPr>
        <w:jc w:val="both"/>
        <w:ind w:left="1240" w:hanging="309"/>
        <w:spacing w:after="0" w:line="255" w:lineRule="auto"/>
        <w:tabs>
          <w:tab w:leader="none" w:pos="1236" w:val="left"/>
        </w:tabs>
        <w:numPr>
          <w:ilvl w:val="1"/>
          <w:numId w:val="5"/>
        </w:numPr>
        <w:rPr>
          <w:rFonts w:ascii="Arial" w:cs="Arial" w:eastAsia="Arial" w:hAnsi="Arial"/>
          <w:sz w:val="17"/>
          <w:szCs w:val="17"/>
          <w:b w:val="1"/>
          <w:bCs w:val="1"/>
          <w:i w:val="1"/>
          <w:iCs w:val="1"/>
          <w:color w:val="auto"/>
        </w:rPr>
      </w:pPr>
      <w:r>
        <w:rPr>
          <w:rFonts w:ascii="Arial" w:cs="Arial" w:eastAsia="Arial" w:hAnsi="Arial"/>
          <w:sz w:val="17"/>
          <w:szCs w:val="17"/>
          <w:color w:val="auto"/>
        </w:rPr>
        <w:t>While we may opportunistically consider BD Arrangements to advance development of our key solid tumor oncology programs, we are actively seeking, or intend to seek, BD Arrangements with third-party partners to progress, in whole or in part, the development of one or more of our other programs whose further development is primarily dependent on our ability to secure potential future BD Arrangements, and if we are unable to secure BD Arrangements to support these programs, which include NGM621, aldafermin, NGM936, and, once termination of Merck's license is effective, MK-3655, we are unlikely to be able to advance their development unless our portfolio prioritization changes and we have access to the necessary capital to fund such development, and may discontinue or abandon any or all of these programs altogether, in which case we will not realize any return on our investments in those programs.</w:t>
      </w:r>
    </w:p>
    <w:p>
      <w:pPr>
        <w:spacing w:after="0" w:line="40" w:lineRule="exact"/>
        <w:rPr>
          <w:rFonts w:ascii="Arial" w:cs="Arial" w:eastAsia="Arial" w:hAnsi="Arial"/>
          <w:sz w:val="17"/>
          <w:szCs w:val="17"/>
          <w:b w:val="1"/>
          <w:bCs w:val="1"/>
          <w:i w:val="1"/>
          <w:iCs w:val="1"/>
          <w:color w:val="auto"/>
        </w:rPr>
      </w:pPr>
    </w:p>
    <w:p>
      <w:pPr>
        <w:ind w:left="1240" w:hanging="309"/>
        <w:spacing w:after="0"/>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BD Arrangements involve numerous risks, any of which could materially and adversely affect our business and financial condition.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 w:name="page5"/>
    <w:bookmarkEnd w:id="4"/>
    <w:p>
      <w:pPr>
        <w:ind w:left="307"/>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927" w:hanging="309"/>
        <w:spacing w:after="0" w:line="255" w:lineRule="auto"/>
        <w:tabs>
          <w:tab w:leader="none" w:pos="923"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rely completely on contract manufacturers for the manufacture of our product candidates and the process of manufacturing, and conducting release testing for, our biologic product candidates is complex, highly regulated and subject to many risks, including our current reliance on single source manufacturers and suppliers, difficulties in supply chain, including procuring raw materials and components and the availability of manufacturing slots, and difficulties in production, including scaling up and validating initial production, contamination, equipment failure, improper installation or operation of equipment, vendor or operator error, turnover of qualified staff or improper storage conditions, or difficulties with quality control, product stability or quality assurance testing, any of which could substantially increase our costs and limit supply of our product candidates and any future products needed for clinical trials and commercialization.</w:t>
      </w:r>
    </w:p>
    <w:p>
      <w:pPr>
        <w:spacing w:after="0" w:line="40" w:lineRule="exact"/>
        <w:rPr>
          <w:rFonts w:ascii="Arial" w:cs="Arial" w:eastAsia="Arial" w:hAnsi="Arial"/>
          <w:sz w:val="17"/>
          <w:szCs w:val="17"/>
          <w:color w:val="auto"/>
        </w:rPr>
      </w:pPr>
    </w:p>
    <w:p>
      <w:pPr>
        <w:jc w:val="both"/>
        <w:ind w:left="307" w:hanging="307"/>
        <w:spacing w:after="0" w:line="256" w:lineRule="auto"/>
        <w:tabs>
          <w:tab w:leader="none" w:pos="30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product candidates other than NGM621 and aldafermin are currently manufactured at a facility in Lithuania. The ongoing conflict between Russia and Ukraine and the retaliatory measures taken or that may be taken by the United States, NATO and others against Russia create global security concerns, including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40" w:lineRule="exact"/>
        <w:rPr>
          <w:rFonts w:ascii="Arial" w:cs="Arial" w:eastAsia="Arial" w:hAnsi="Arial"/>
          <w:sz w:val="17"/>
          <w:szCs w:val="17"/>
          <w:color w:val="auto"/>
        </w:rPr>
      </w:pPr>
    </w:p>
    <w:p>
      <w:pPr>
        <w:ind w:left="307" w:hanging="307"/>
        <w:spacing w:after="0"/>
        <w:tabs>
          <w:tab w:leader="none" w:pos="307"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successfully identify new product candidates to expand our development pipeline.</w:t>
      </w:r>
    </w:p>
    <w:p>
      <w:pPr>
        <w:spacing w:after="0" w:line="62" w:lineRule="exact"/>
        <w:rPr>
          <w:rFonts w:ascii="Arial" w:cs="Arial" w:eastAsia="Arial" w:hAnsi="Arial"/>
          <w:sz w:val="17"/>
          <w:szCs w:val="17"/>
          <w:color w:val="auto"/>
        </w:rPr>
      </w:pPr>
    </w:p>
    <w:p>
      <w:pPr>
        <w:ind w:left="307" w:hanging="307"/>
        <w:spacing w:after="0" w:line="265" w:lineRule="auto"/>
        <w:tabs>
          <w:tab w:leader="none" w:pos="30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future success depends in part on our ability to attract and retain highly skilled employees, including members of our current senior management team, especially our Chief Scientific Officer, Dr. Jin-Long Chen.</w:t>
      </w:r>
    </w:p>
    <w:p>
      <w:pPr>
        <w:spacing w:after="0" w:line="32" w:lineRule="exact"/>
        <w:rPr>
          <w:rFonts w:ascii="Arial" w:cs="Arial" w:eastAsia="Arial" w:hAnsi="Arial"/>
          <w:sz w:val="17"/>
          <w:szCs w:val="17"/>
          <w:color w:val="auto"/>
        </w:rPr>
      </w:pPr>
    </w:p>
    <w:p>
      <w:pPr>
        <w:ind w:left="307" w:hanging="307"/>
        <w:spacing w:after="0" w:line="265" w:lineRule="auto"/>
        <w:tabs>
          <w:tab w:leader="none" w:pos="303"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us.</w:t>
      </w:r>
    </w:p>
    <w:p>
      <w:pPr>
        <w:spacing w:after="0" w:line="32" w:lineRule="exact"/>
        <w:rPr>
          <w:rFonts w:ascii="Arial" w:cs="Arial" w:eastAsia="Arial" w:hAnsi="Arial"/>
          <w:sz w:val="17"/>
          <w:szCs w:val="17"/>
          <w:color w:val="auto"/>
        </w:rPr>
      </w:pPr>
    </w:p>
    <w:p>
      <w:pPr>
        <w:ind w:left="307" w:hanging="307"/>
        <w:spacing w:after="0" w:line="265" w:lineRule="auto"/>
        <w:tabs>
          <w:tab w:leader="none" w:pos="303"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color w:val="auto"/>
        </w:rPr>
        <w:t>Our business could be materially and adversely affected in the future by effects of disease outbreaks, epidemics and pandemics, including the COVID-19 pandemic.</w:t>
      </w:r>
    </w:p>
    <w:p>
      <w:pPr>
        <w:spacing w:after="0" w:line="32" w:lineRule="exact"/>
        <w:rPr>
          <w:rFonts w:ascii="Arial" w:cs="Arial" w:eastAsia="Arial" w:hAnsi="Arial"/>
          <w:sz w:val="17"/>
          <w:szCs w:val="17"/>
          <w:b w:val="1"/>
          <w:bCs w:val="1"/>
          <w:i w:val="1"/>
          <w:iCs w:val="1"/>
          <w:color w:val="auto"/>
        </w:rPr>
      </w:pPr>
    </w:p>
    <w:p>
      <w:pPr>
        <w:ind w:left="307" w:hanging="307"/>
        <w:spacing w:after="0" w:line="265" w:lineRule="auto"/>
        <w:tabs>
          <w:tab w:leader="none" w:pos="30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depends in significant part upon our ability to obtain and maintain intellectual property protection for our products and technologies.</w:t>
      </w:r>
    </w:p>
    <w:p>
      <w:pPr>
        <w:spacing w:after="0" w:line="32" w:lineRule="exact"/>
        <w:rPr>
          <w:rFonts w:ascii="Arial" w:cs="Arial" w:eastAsia="Arial" w:hAnsi="Arial"/>
          <w:sz w:val="17"/>
          <w:szCs w:val="17"/>
          <w:color w:val="auto"/>
        </w:rPr>
      </w:pPr>
    </w:p>
    <w:p>
      <w:pPr>
        <w:ind w:left="307" w:hanging="307"/>
        <w:spacing w:after="0" w:line="265" w:lineRule="auto"/>
        <w:tabs>
          <w:tab w:leader="none" w:pos="30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32" w:lineRule="exact"/>
        <w:rPr>
          <w:rFonts w:ascii="Arial" w:cs="Arial" w:eastAsia="Arial" w:hAnsi="Arial"/>
          <w:sz w:val="17"/>
          <w:szCs w:val="17"/>
          <w:color w:val="auto"/>
        </w:rPr>
      </w:pPr>
    </w:p>
    <w:p>
      <w:pPr>
        <w:ind w:left="307" w:hanging="307"/>
        <w:spacing w:after="0"/>
        <w:tabs>
          <w:tab w:leader="none" w:pos="307"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or third parties we rely on or partner with could experience a cybersecurity incident that could harm our business.</w:t>
      </w:r>
    </w:p>
    <w:p>
      <w:pPr>
        <w:spacing w:after="0" w:line="62" w:lineRule="exact"/>
        <w:rPr>
          <w:rFonts w:ascii="Arial" w:cs="Arial" w:eastAsia="Arial" w:hAnsi="Arial"/>
          <w:sz w:val="17"/>
          <w:szCs w:val="17"/>
          <w:color w:val="auto"/>
        </w:rPr>
      </w:pPr>
    </w:p>
    <w:p>
      <w:pPr>
        <w:ind w:left="307" w:hanging="307"/>
        <w:spacing w:after="0"/>
        <w:tabs>
          <w:tab w:leader="none" w:pos="30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 price of our common stock has been and may continue to be volatile, and you could lose all or part of your investment.</w:t>
      </w:r>
    </w:p>
    <w:p>
      <w:pPr>
        <w:spacing w:after="0" w:line="62" w:lineRule="exact"/>
        <w:rPr>
          <w:rFonts w:ascii="Arial" w:cs="Arial" w:eastAsia="Arial" w:hAnsi="Arial"/>
          <w:sz w:val="17"/>
          <w:szCs w:val="17"/>
          <w:color w:val="auto"/>
        </w:rPr>
      </w:pPr>
    </w:p>
    <w:p>
      <w:pPr>
        <w:jc w:val="both"/>
        <w:ind w:left="307" w:hanging="307"/>
        <w:spacing w:after="0" w:line="259" w:lineRule="auto"/>
        <w:tabs>
          <w:tab w:leader="none" w:pos="303"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continue to incur increased costs as a result of operating as a public company and our management devotes substantial time to public company compliance initiatives; for example, we are obligated to develop and maintain proper and effective internal control over financial reporting and to comply with the requirements of Section 404 of the Sarbanes-Oxley Act of 2002.</w:t>
      </w:r>
    </w:p>
    <w:p>
      <w:pPr>
        <w:spacing w:after="0" w:line="200" w:lineRule="exact"/>
        <w:rPr>
          <w:sz w:val="20"/>
          <w:szCs w:val="20"/>
          <w:color w:val="auto"/>
        </w:rPr>
      </w:pPr>
    </w:p>
    <w:p>
      <w:pPr>
        <w:spacing w:after="0" w:line="263"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125730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244" w:right="339" w:bottom="1440" w:gutter="0" w:footer="0" w:header="0"/>
        </w:sectPr>
      </w:pPr>
    </w:p>
    <w:bookmarkStart w:id="5" w:name="page6"/>
    <w:bookmarkEnd w:id="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Business.</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Overview of Our Business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Currently, we have five programs in active clinical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more detailed information about our product candidate pipeline and their targeted therapeutic areas, see “—Our Pipeline Programs.”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 and Strategy</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mission is to translate complex, powerful biology with rigor and urgency into life-changing medicines. Our strategy is built on a straightforward central premise: create an environment that both allows drug discovery research to thrive by focusing on powerful human biology unconstrained by therapeutic area or technology approach and remain grounded in the singular motivation of delivering impactful medicines to address critical unmet or underserved needs of patients suffering from grievous diseases. All therapeutic candidates in our pipeline have been generated by our in-house discovery engine, led by biology and motivated by patient need.</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pipeline is currently divided into two categories with separate approaches to development strategy and resource allocation in an effort to enable more of the product candidates in our pipeline to be advanced as effectively and efficiently as possible. To that end, we are currently focusing most of our execution efforts and resources on advancing our clinical-stage solid tumor oncology programs to potentially rapid proof of concept. For our other programs that are in therapeutic areas where clinical development is relatively resource intensive and can have long timelines to generate proof-of-concept data, due to the need to conserve capital and prioritize focused execution, we are actively seeking, or intend to seek, collaboration, out licensing, partnering or other business development arrangements, or BD Arrangements, with third-party partners with sufficient resources and relevant domain expertise to further their development.</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Key elements of our strategy are:</w:t>
      </w:r>
    </w:p>
    <w:p>
      <w:pPr>
        <w:spacing w:after="0" w:line="94" w:lineRule="exact"/>
        <w:rPr>
          <w:sz w:val="20"/>
          <w:szCs w:val="20"/>
          <w:color w:val="auto"/>
        </w:rPr>
      </w:pPr>
    </w:p>
    <w:p>
      <w:pPr>
        <w:jc w:val="both"/>
        <w:ind w:left="620" w:hanging="307"/>
        <w:spacing w:after="0" w:line="27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Systematically and empirically interrogate complex disease-associated biology. </w:t>
      </w:r>
      <w:r>
        <w:rPr>
          <w:rFonts w:ascii="Arial" w:cs="Arial" w:eastAsia="Arial" w:hAnsi="Arial"/>
          <w:sz w:val="17"/>
          <w:szCs w:val="17"/>
          <w:color w:val="auto"/>
        </w:rPr>
        <w:t>We employ unbiased, systematic investigations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complex disease-associated biology in pursuit of uncovering novel mechanisms of action and identifying proprietary insights into critical biological processes and pathways demonstrating powerful biological effects.</w:t>
      </w:r>
    </w:p>
    <w:p>
      <w:pPr>
        <w:spacing w:after="0" w:line="8" w:lineRule="exact"/>
        <w:rPr>
          <w:rFonts w:ascii="Arial" w:cs="Arial" w:eastAsia="Arial" w:hAnsi="Arial"/>
          <w:sz w:val="17"/>
          <w:szCs w:val="17"/>
          <w:color w:val="auto"/>
        </w:rPr>
      </w:pPr>
    </w:p>
    <w:p>
      <w:pPr>
        <w:jc w:val="both"/>
        <w:ind w:left="620" w:hanging="307"/>
        <w:spacing w:after="0" w:line="263"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Remain biologics-focused, but modality flexible, leveraging a versatile approach to designing unique solutions for complex problems. </w:t>
      </w:r>
      <w:r>
        <w:rPr>
          <w:rFonts w:ascii="Arial" w:cs="Arial" w:eastAsia="Arial" w:hAnsi="Arial"/>
          <w:sz w:val="17"/>
          <w:szCs w:val="17"/>
          <w:color w:val="auto"/>
        </w:rPr>
        <w:t>Building on these biological insights, we deploy our protein and antibody engineering expertise to create product candidates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be highly specific, to modulate targeted processes and to boost therapeutic potential. We have an unbiased antibody generation approach and use an array of modalities and technologies to optimize the properties of our antibody product candidates and native proteins.</w:t>
      </w:r>
    </w:p>
    <w:p>
      <w:pPr>
        <w:spacing w:after="0" w:line="226"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Urgently advance therapies to meet unmet needs. </w:t>
      </w:r>
      <w:r>
        <w:rPr>
          <w:rFonts w:ascii="Arial" w:cs="Arial" w:eastAsia="Arial" w:hAnsi="Arial"/>
          <w:sz w:val="17"/>
          <w:szCs w:val="17"/>
          <w:color w:val="auto"/>
        </w:rPr>
        <w:t>We seek to move promising product candidates we have discovered and developed</w:t>
      </w:r>
      <w:r>
        <w:rPr>
          <w:rFonts w:ascii="Arial" w:cs="Arial" w:eastAsia="Arial" w:hAnsi="Arial"/>
          <w:sz w:val="17"/>
          <w:szCs w:val="17"/>
          <w:b w:val="1"/>
          <w:bCs w:val="1"/>
          <w:color w:val="auto"/>
        </w:rPr>
        <w:t xml:space="preserve"> </w:t>
      </w:r>
      <w:r>
        <w:rPr>
          <w:rFonts w:ascii="Arial" w:cs="Arial" w:eastAsia="Arial" w:hAnsi="Arial"/>
          <w:sz w:val="17"/>
          <w:szCs w:val="17"/>
          <w:color w:val="auto"/>
        </w:rPr>
        <w:t>rapidly into proof-of-concept clinical studies and, if warranted, late-stage development.</w:t>
      </w:r>
    </w:p>
    <w:p>
      <w:pPr>
        <w:spacing w:after="0" w:line="1" w:lineRule="exact"/>
        <w:rPr>
          <w:rFonts w:ascii="Arial" w:cs="Arial" w:eastAsia="Arial" w:hAnsi="Arial"/>
          <w:sz w:val="17"/>
          <w:szCs w:val="17"/>
          <w:color w:val="auto"/>
        </w:rPr>
      </w:pPr>
    </w:p>
    <w:p>
      <w:pPr>
        <w:jc w:val="both"/>
        <w:ind w:left="620" w:hanging="307"/>
        <w:spacing w:after="0" w:line="265"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Build a diversified pipeline, honed with disciplined prioritization. </w:t>
      </w:r>
      <w:r>
        <w:rPr>
          <w:rFonts w:ascii="Arial" w:cs="Arial" w:eastAsia="Arial" w:hAnsi="Arial"/>
          <w:sz w:val="17"/>
          <w:szCs w:val="17"/>
          <w:color w:val="auto"/>
        </w:rPr>
        <w:t>We seek to allocate our capital efficiently and strategically and fund</w:t>
      </w:r>
      <w:r>
        <w:rPr>
          <w:rFonts w:ascii="Arial" w:cs="Arial" w:eastAsia="Arial" w:hAnsi="Arial"/>
          <w:sz w:val="17"/>
          <w:szCs w:val="17"/>
          <w:b w:val="1"/>
          <w:bCs w:val="1"/>
          <w:color w:val="auto"/>
        </w:rPr>
        <w:t xml:space="preserve"> </w:t>
      </w:r>
      <w:r>
        <w:rPr>
          <w:rFonts w:ascii="Arial" w:cs="Arial" w:eastAsia="Arial" w:hAnsi="Arial"/>
          <w:sz w:val="17"/>
          <w:szCs w:val="17"/>
          <w:color w:val="auto"/>
        </w:rPr>
        <w:t>our portfolio based on each program’s scientific and other merits. Our discipline has been demonstrated by our decision not to proceed with development activities on multiple potentially viable product candidates for portfolio management and capital conservation reasons and to concentrate our resources and focus our execution on our solid tumor oncology programs.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 w:name="page7"/>
    <w:bookmarkEnd w:id="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20" w:hanging="307"/>
        <w:spacing w:after="0" w:line="265"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Recruit and retain industry-leading research and development talent. </w:t>
      </w:r>
      <w:r>
        <w:rPr>
          <w:rFonts w:ascii="Arial" w:cs="Arial" w:eastAsia="Arial" w:hAnsi="Arial"/>
          <w:sz w:val="17"/>
          <w:szCs w:val="17"/>
          <w:color w:val="auto"/>
        </w:rPr>
        <w:t>Our talented and experienced team is the foundation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We aim to attract outstanding individuals with expertise in discovery sciences, protein and antibody engineering, pharmacology, translational medicine and preclinical and clinical development who are committed to sustaining and enhancing our scientific excellence, rigor and innovation, our creative clinical development and our high level of productivity.</w:t>
      </w:r>
    </w:p>
    <w:p>
      <w:pPr>
        <w:spacing w:after="0" w:line="13"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Pursue BD Arrangements with partners. </w:t>
      </w:r>
      <w:r>
        <w:rPr>
          <w:rFonts w:ascii="Arial" w:cs="Arial" w:eastAsia="Arial" w:hAnsi="Arial"/>
          <w:sz w:val="17"/>
          <w:szCs w:val="17"/>
          <w:color w:val="auto"/>
        </w:rPr>
        <w:t>Pursuing BD Arrangements has been and is expected to continue to be a key component of our</w:t>
      </w:r>
      <w:r>
        <w:rPr>
          <w:rFonts w:ascii="Arial" w:cs="Arial" w:eastAsia="Arial" w:hAnsi="Arial"/>
          <w:sz w:val="17"/>
          <w:szCs w:val="17"/>
          <w:b w:val="1"/>
          <w:bCs w:val="1"/>
          <w:color w:val="auto"/>
        </w:rPr>
        <w:t xml:space="preserve"> </w:t>
      </w:r>
      <w:r>
        <w:rPr>
          <w:rFonts w:ascii="Arial" w:cs="Arial" w:eastAsia="Arial" w:hAnsi="Arial"/>
          <w:sz w:val="17"/>
          <w:szCs w:val="17"/>
          <w:color w:val="auto"/>
        </w:rPr>
        <w:t>strategy. Given the breadth of opportunities that have been, and may in the future be, produced by our discovery engine, we are actively seeking, or intend to seek, BD Arrangements with third-party partners to progress, in whole or in part, the development of one or more of our product candidates. We believe that this strategy, if successfully implemented, may enable more of the programs in our pipeline, including those in active development by us, to be advanced as effectively and efficiently as possible.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Pipeline Programs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biology-driven and therapeutic area agnostic discovery engine has produced a diverse pipeline of product candidates spanning oncology, retinal disease and liver and metabolic disease. We have divided our pipeline programs into two distinct categories with separate approaches to development strategy and resource allocation.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Programs in Active Development</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pipeline includes four solid tumor oncology programs in active ongoing clinical development. We are currently focusing most of our execution efforts and resources on these key programs. We have intentionally built our clinical capabilities primarily in areas such as solid tumor oncology that offer development paths that are relatively resource efficient and have the potential to generate clinical proof-of-concept data more rapidly than certain other indications. Subject to our ability to obtain sufficient additional capital, whether through potential future BD Arrangements or otherwise, we may in the future pursue development of programs in other therapeutic areas. While we will opportunistically consider BD Arrangements to advance development of our key programs, we intend to invest our resources in their development even in the absence of BD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59690</wp:posOffset>
            </wp:positionV>
            <wp:extent cx="5599430" cy="1882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9430" cy="188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ILT2 = immunoglobulin-like transcript 2; ILT4 = immunoglobulin-like transcript 4; ILT3 = immunoglobulin-like transcript 3; LAIR1 = leukocyte-associated immunoglobulin-like receptor 1; GFRAL = glial cell-derived neurotrophic factor receptor alpha-like; PDAC = pancreatic ductal adenocarcinoma; mCRPC = metastatic castration-resistant pancreatic cancer</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Therapeutic Area: Solid Tumor Oncology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Cancer Disease Overview</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Cancer involving solid tumors is a leading cause of death globally and was responsible for an estimated over nine million deaths in 2020. There were an estimated almost 17 million newly diagnosed cancer cases around the world in 2020, excluding non-melanoma skin cancer. By 2040, the number of new cancer cases globally per year is expected to rise to over 25 million and the number of cancer-related deaths per year to grow to nearly 15 million, excluding non-melanoma skin cancer. Cancer was the second leading cause of death in the United States in 2020, causing over 500,000 deaths that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 w:name="page8"/>
    <w:bookmarkEnd w:id="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NGM707, NGM831 and NGM438: Our Myeloid Reprogramming and Checkpoint Inhibition Portfolio Designed to Enhance Anti-Tumor Immunity</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Over the past decade, advances in cancer immunotherapy have driven significant improvements in clinical outcomes, especially in certain cancer types that are immunogenic, or capable of provoking an immune response. In particular, T cell checkpoint inhibitors, including immune checkpoint inhibitors targeting Programmed Cell Death Protein 1 and Programmed Cell Death Protein Ligand 1, or PD-1 and PD-L1, respectively, are designed to inhibit immune checkpoint pathways. When turned “on,” these pathways act as “brakes” on anti-tumor immune responses, enabling tumors to evade detection and destruction by the immune system. T cell checkpoint inhibitors essentially work to “release” the “brakes” by turning off those pathways. However, the overall response rate to PD-1/PD-L1 inhibitors is typically only 20% to 30% and many cancer patients who initially experience a full or partial response using T cell checkpoint inhibitors may eventually experience cancer progression.</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cancer research is currently focused on an emerging area of immuno-oncology research known as myeloid checkpoint inhibition. The tumor microenvironment, or TME, is composed of both cancerous and non-malignant cells. There is an abundance of myeloid cells present in the TME of many tumor types. While myeloid cells play a critical role in the immune system, in the tumor they can contribute to the inhibition of anti-tumor immune responses using multiple mechanisms, including suboptimal T-cell priming, T-cell suppression and physical exclusion of immune cells from the cancer cells. In essence, they serve as myeloid checkpoints, keeping the “brakes on” and enabling tumors to evade the immune system and drive resistance to cancer therapies. Our focus is on promoting myeloid reprogramming - switching myeloid cells in the TME from an immunosuppressive state to a stimulatory state that enhances anti-tumor immunity by releasing the “brake” and allowing these myeloid cells to potentially play a pivotal role in anti-tumor activity by acting to both kill cancer cells directly as well through the recruitment and activation of tumor-directed T cells.</w:t>
      </w:r>
    </w:p>
    <w:p>
      <w:pPr>
        <w:spacing w:after="0" w:line="2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have built a portfolio of three myeloid checkpoint inhibitor product candidates, NGM707, NGM831 and NGM438, targeting four receptors whose elevated expression in myeloid cells in the TME has been associated with poor patient responses to T cell checkpoint inhibitors. NGM707, NGM831 and NGM438 are wholly-owned programs. Although all three programs were originally researched and developed under a collaboration agreement with funding from Merck Sharp &amp; Dohme LLC, or Merck, we have had the sole right, at our sole discretion, to independently research, develop and commercialize each of them, at our sole expense, since March 2022, subject to the payment to Merck of low single-digit royalties on commercial sales of any resulting products. See “Licensing and Collaboration Arrangements—Merck Collaboration.”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NGM707: ILT2/ILT4 Dual Antagonist Antibody</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 of NGM707</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NGM707, the lead asset in our myeloid reprogramming and checkpoint inhibition portfolio, is a dual antagonist 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Clinical Development of NGM707</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are conducting an open-label Phase 1/2 clinical trial evaluating NGM707 as a monotherapy and in combination with KEYTRUDA® (pembrolizumab) for the treatment of patients with advanced or metastatic solid tumors. We expect to enroll approximately 220 patients in this trial. A Phase 1, Part 1a cohort evaluating NGM707 as a monotherapy was initiated in the second quarter of 2021. A Phase 1, Part 1b cohort evaluating NGM707 in combination with pembrolizumab was initiated in the second quarter of 2022. Both Phase 1 cohorts are ongoing and will be followed by Phase 2 expansion cohorts evaluating NGM707 in combination with pembrolizumab in specific tumor types. In December 2022, we presented initial data from the Phase 1, Part 1a cohort at the European Society for Medical Oncology Immuno-Oncology, or ESMO I-O, Annual Congress. The data indicated that NGM707 was generally well tolerated across all dose cohorts and demonstrated promising early signals of anti-tumor activity. In the presentation, we disclosed that of 24 response-evaluable patients as of November 23, 2022, best overall responses were a partial response in one patient, stable disease in six patients and non-complete response/non-progressive disease in one patient, and that potential proof-of-mechanism (myeloid reprogramming) was observed in peripheral blood and tumor biopsies.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 w:name="page9"/>
    <w:bookmarkEnd w:id="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NGM707 Patent Portfolio</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2022, we did not own or have a license to any issued patent that covers NGM707. However, NGM707 and related compositions-of-matter and methods of use are disclosed in pending U.S. and international patent applications we have filed. Any patent that may issue from these applications or any related applications we file is expected to expire no earlier than 2041, including any patent issued in the United States, if any, not including any patent term adjustments and any patent term extensions.</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NGM707 Competition</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believe NGM707 is the most advanced candidate currently in clinical development targeting both ILT2 and ILT4. We are aware that ImmunOs Therapeutics AG announced in January 2023 that it will conduct a Phase 1 trial of its lead program IOS-1002, which demonstrated the ability to bind to three different immune checkpoint targets, LILRB1 (ILT2), LILRB2 (ILT4) and KIR3DL1 in preclinical trials. Additionally, there are several products in development that target either ILT4 or ILT2. We are aware of four clinical stage anti-ILT4 programs from Merck, Jounce Therapeutics, Inc., or Jounce, Immune-Onc Therapeutics, Inc., or Immune-Onc, and Bristol-Myers Squibb. In September 2020, Merck presented interim findings from a Phase 1 dose-escalation study evaluating its investigational anti-ILT4 therapeutic candidate, MK-4830, and Phase 1 results were published in January 2022. Jounce is developing an anti-ILT4 monoclonal antibody, JTX-8064, and clinical data from its Phase 1 trial were presented in December 2022. In February 2023, Jounce announced that as part of a corporate restructuring and business combination with Redx Pharma Plc it would be seeking business development opportunities for the future development of JTX-8064. In September 2021, Immune-Onc initiated a Phase 1 study of its anti-ILT4 therapeutic candidate, IO-108. OncoResponse, Inc., Celldex Therapeutics, Inc. and Invectys Inc. have preclinical programs targeting ILT4. Biond Biologics Ltd., or Biond, has an antagonist antibody targeting ILT2, BND-22, which has been licensed by Sanofi, and a Phase 1 trial commenced in 2021. Agenus Inc. has an antagonist antibody targeting ILT2, AGEN1571, that entered Phase 1 clinical development in August 2022. Jounce also has a preclinical program targeting ILT2. Finally, Adanate, Inc. has an antibody, ADA-01, in early clinical development targeting LILRB family receptors that may include ILT4 and ILT2.</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NGM831: ILT3 Antagonist Antibody</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 of NGM831</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 xml:space="preserve">NGM831 is an antagonist antibody that is designed to block the interaction of Immunoglobulin-like transcript 3, or ILT3 (also known as LILRB4) receptor, with fibronectin, as well as other cognate ligands. ILT3 is a fibronectin-binding inhibitory immune receptor that receives signals from the extracellular matrix to directly promote myeloid cell suppression. ILT3 is expressed on a variety of immune cells including tumor-associated myeloid cells, with particularly high expression on tolerogenic dendritic cells, or DCs, myeloid-derived suppressor cells and M2 macrophages. High ILT3 expression is associated with poor survival. Moreover, fibronectin has been shown to be upregulated in multiple cancers and associated with tumor progression. 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 Our scientists have made discoveries related to this pathway, including the discovery of fibronectin as ILT3’s functional ligand, as described in a publication in </w:t>
      </w:r>
      <w:r>
        <w:rPr>
          <w:rFonts w:ascii="Arial" w:cs="Arial" w:eastAsia="Arial" w:hAnsi="Arial"/>
          <w:sz w:val="17"/>
          <w:szCs w:val="17"/>
          <w:i w:val="1"/>
          <w:iCs w:val="1"/>
          <w:color w:val="auto"/>
        </w:rPr>
        <w:t>Cancer Immunology Research</w:t>
      </w:r>
      <w:r>
        <w:rPr>
          <w:rFonts w:ascii="Arial" w:cs="Arial" w:eastAsia="Arial" w:hAnsi="Arial"/>
          <w:sz w:val="17"/>
          <w:szCs w:val="17"/>
          <w:color w:val="auto"/>
        </w:rPr>
        <w:t>, a journal of the American Association for Cancer Research, in 2021.</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Clinical Development of NGM831</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2022, we initiated an open-label Phase 1/1b clinical trial to evaluate NGM831 as a monotherapy and in combination with pembrolizumab for the treatment of patients with advanced or metastatic solid tumors. A Phase 1, Part 1a cohort evaluating NGM831 as a monotherapy was initiated in the first quarter of 2022 and is ongoing. In addition, a Phase 1, Part 1b cohort evaluating NGM831 in combination with pembrolizumab was initiated in the third quarter of 2022 and is ongoing. We expect to enroll up to approximately 80 patients in these two cohorts.</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NGM831 Patent Portfolio</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2022, we did not own or have a license to any issued patent that covers NGM831. However, NGM831 and related compositions-of-matter and methods of use are disclosed in pending U.S. and international patent applications we have filed. Any patent that may issue from these or related applications or any related applications we file is expected to expire no earlier than 2040, including any patent issued in the United States, if any, not including any patent term adjustments and any patent term extensions.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 w:name="page10"/>
    <w:bookmarkEnd w:id="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NGM831 Competition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are aware of only one other antibody being pursued clinically for the treatment of solid tumors that is intended to block the interaction of Immunoglobulin-like transcript 3, or ILT3, with fibronectin, as well as other cognate ligands, which is Immune-Onc's Phase 1 asset, IO-202. However, there are other programs that target ILT3 in the clinic. Merck, Immune-Onc and Carbiogene Therapeutics Co. Ltd., or Carbiogene, all have clinical stage anti-ILT3 programs. Merck’s anti-ILT3 program, MK-0482, is currently in Phase 2 development. Carbiogene’s ILT3 program is in Phase 1 development for acute myeloid leukemia. We are aware of four additional preclinical anti-ILT3 candidates in development: Biond has BND-35, Jounce has JTX-1484, and Immune-Onc has both an ILT3 CAR-T and an ILT3 bispecific under development.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NGM438: LAIR1 Antagonist Antibody</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 of NGM438</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NGM438 is an antagonist antibody that is designed to inhibit leukocyte-associated immunoglobulin-like receptor 1, or LAIR1, and thereby promote anti-tumor immune responses. NGM438 has the potential to potently block the binding of all collagens to LAIR1, including tumor-derived collagens. Collagens produced by the tumor stroma, meaning the non-malignant, non-immune components of the tumor, are believed to bind LAIR1 to create an immuno-suppressive TME.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Clinical Development of NGM438</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2022, we initiated an open-label, Phase 1/1b clinical trial to evaluate NGM438 as a monotherapy and in combination with pembrolizumab for the treatment of patients with advanced or metastatic solid tumors. A Phase 1, Part 1a cohort evaluating NGM438 as a monotherapy commenced in the second quarter of 2022 and is ongoing. In addition, a Phase 1, Part 1b cohort evaluating NGM438 in combination with pembrolizumab commenced in the fourth quarter of 2022 and is ongoing. We expect to enroll up to approximately 80 patients in these two cohorts.</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NGM438 Patent Portfolio</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2022, we did not own or have a license to any issued patent that covers NGM438. However, NGM438 and related compositions-of-matter and methods of use are disclosed in pending U.S. and international patent applications we have filed. Any patent that may issue from these applications or any related applications we file is expected to expire no earlier than 2041, including any patent issued in the United States, if any, not including any patent term adjustments and any patent term extensions.</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NGM438 Competition</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aware of only two other anti-LAIR1 antibodies currently in development, Immune-Onc’s preclinical-stage asset, IO-106, and NextCure, Inc.'s, or NextCure's, NC525. NextCure also has a Phase 1 product candidate in the clinic, NC410, a LAIR2 fusion protein designed to mimic the natural decoy effects of LAIR2, which binds to collagens and blocks the activity of LAIR1.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NGM120: The Potential of GDF15/GFRAL Inhibition to Treat Cancer and Cancer-Related Cachexia</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 xml:space="preserve">Our scientists have made several discoveries related to growth differentiation factor 15, or GDF15, including identifying its cognate receptor glial cell-derived neurotrophic factor receptor alpha-like, or GFRAL. GFRAL is expressed in a specific region of the hindbrain, partially outside the blood brain barrier. Our preclinical research suggests the central role of the GDF15/GFRAL pathway in promoting tumor-associated appetite suppression, metabolic regulation and immune modulation.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screening of human genes shows that GDF15 expression leads to an outsized effect on weight loss and, in animal models, elevated serum levels of GDF15 are a regulator of immune function, metabolism and feeding. In addition, elevated serum levels of GDF15 have been shown to be associated with cachexia, a disorder that causes extreme weight loss and muscle wasting. Evidence has shown that serum levels of GDF15 are elevated in patients across a number of tumor types and are associated with a worse prognosis in prostate, colorectal, esophageal and ovarian cancers. As a result of our identification of GFRAL, we developed novel insights into the mechanism of action of GDF15 and the structure and function of the GDF15/GFRAL interaction.</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 of NGM120</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NGM120 is an antagonist antibody that binds to GFRAL and is designed to block the effects of elevated serum levels of GDF15. We designed NGM120 as a potent, humanized monoclonal antibody inhibitor of GFRAL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0" w:name="page11"/>
    <w:bookmarkEnd w:id="1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with the potential for once-monthly or less frequent dosing. Preclinical studies suggest that NGM120 may reduce tumor growth and improve survival in syngeneic orthotopic pancreatic tumor models in mice.</w:t>
      </w:r>
    </w:p>
    <w:p>
      <w:pPr>
        <w:spacing w:after="0" w:line="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Although NGM120 was originally researched and developed under a collaboration agreement with funding from Merck, we have had the sole right, at our sole discretion, to independently research, develop and commercialize NGM120, at our sole expense, since March 2022, subject to the payment to Merck of low single-digit royalties on commercial sales of any resulting products. See “Licensing and Collaboration Arrangements— Merck Collaboration.”</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Clinical Development of NGM120</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are currently conducting a Phase 1/2 clinical trial to assess NGM120’s effect on cancer and cancer-related cachexia in patients with select advanced solid tumors, metastatic pancreatic cancer and metastatic castration-resistant prostate cancer, or mCRPC. The trial includes:</w:t>
      </w:r>
    </w:p>
    <w:p>
      <w:pPr>
        <w:spacing w:after="0" w:line="84"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Phase 1a cohort evaluating NGM120 as a monotherapy in patients with select advanced solid tumors,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Phase 1b cohort evaluating NGM120 in combination with gemcitabine and Nab-paclitaxel in patients with metastatic pancreatic cancer,</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additional Phase 1b cohort testing NGM120 in combination with one or more lines of hormone therapies in patients with mCRPC, and</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Phase 2 cohort evaluating NGM120 in combination with gemcitabine and Nab-paclitaxel as first-line treatment in patients with metastatic pancreatic cancer (referred to as the PINNACLES trial).</w:t>
      </w:r>
    </w:p>
    <w:p>
      <w:pPr>
        <w:spacing w:after="0" w:line="3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August 2022, we initiated the Phase 1b cohort testing NGM120 in combination with one or more lines of hormone therapies in patients with mCRPC.</w:t>
      </w:r>
    </w:p>
    <w:p>
      <w:pPr>
        <w:spacing w:after="0" w:line="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September 2022, at the European Society for Medical Oncology, or ESMO, Annual Congress, we reported updated preliminary findings for a subgroup of patients with advanced prostate cancer from the Phase 1a cohort evaluating NGM120 as a monotherapy in patients with select advanced solid tumors. The updated preliminary results reported at ESMO demonstrated that NGM120 was well tolerated with no dose-limiting toxicities and provided encouraging signals of anti-cancer activity in patients with advanced prostate cancer.</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September 2022, at the American Association for Cancer Research, or AACR, Special Conference: Pancreatic Cancer, we reported updated preliminary findings from the Phase 1b cohort evaluating NGM120 in combination with gemcitabine and Nab-paclitaxel in patients with metastatic pancreatic cancer. The updated preliminary results reported at AACR demonstrated that NGM120 was well tolerated with no dose-limiting toxicities and provided encouraging signals of anti-cancer activity in patients with metastatic pancreatic cancer.</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NGM120 Patent Portfolio</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2022, we owned two issued patents in the United States, as well as six issued foreign patents covering NGM120 and related compositions-of-matter and methods of use. We also own pending patent applications covering similar subject matter in the United States and multiple jurisdictions outside of the United States. The issued patents are expected to expire in 2037, not including any patent term adjustments and any patent term extensions.</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NGM120 Competition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are not aware of any publicly disclosed program other than NGM120 that targets GFRAL. There are three Phase 1 programs we are aware of that target GDF15: AVEO Pharmaceuticals, Inc.’s AV-380 is in a Phase 1 trial in healthy volunteers, Pfizer’s monoclonal antibody PF-06946860 is in Phase 1 trials in solid tumors assessing various cachexia-related measures and anti-tumor effects and CatalYm GmbH, or CatalYm, has initiated a Phase 1 clinical trial of visugromab (formerly known as CTL-002) in Europe to explore the treatment of cancer in solid tumors, and initial results from this trial were presented in September 2022. AstraZeneca also has a preclinical program, AZD8853, an antibody targeting GDF15, and CatalYm has an additional discovery program targeting the GDF15 pathway.</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current standard of care for first-line metastatic pancreatic cancer is chemotherapy with gemcitabine and Nab-paclitaxel or a combination chemotherapy regimen referred to as FOLFIRINOX. No new treatments have been FDA-approved for this population since Abraxane® (paclitaxel protein bound), or Nab-paclitaxel, in 2013 and several programs have failed in Phase 3 development in recent years. We are aware of three programs in Phase 3 trials in combination with chemotherapy in first-line metastatic pancreatic cancer: Novartis’ NIS793, a monoclonal antibody targeting transforming growth factor beta, or TGFβ, FibroGen Inc.’s pamrevlumab targeting connective tissue growth factor, and Novocure GmbH’s Tumor Treating Fields device. Over 50 therapies are in Phase 1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Phase 2 trials for pancreatic cancer, spanning multiple mechanisms of action, including immune checkpoint inhibitors, cancer vaccines, tyrosine kinase inhibitors and chemokine receptor antagonists.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Programs Currently Without Significant Resource Allocation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Due to the need to conserve capital and prioritize focused execution, the remainder of our pipeline includes programs whose further development is primarily dependent on our ability to secure potential future BD Arrangements. These programs are in therapeutic areas where clinical development is relatively resource intensive and can have long timelines to generate proof-of-concept data. As a result, we are actively seeking, or intend to seek,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have access to the necessary capital to fund such development. These programs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59690</wp:posOffset>
            </wp:positionV>
            <wp:extent cx="5599430" cy="1907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99430" cy="190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C3 = component 3; NASH = non-alcoholic steatohepatitis; FGF19 = fibroblast growth factor 19; FGFR1c = fibroblast growth factor receptor 1c; KLB</w:t>
      </w:r>
    </w:p>
    <w:p>
      <w:pPr>
        <w:spacing w:after="0" w:line="28" w:lineRule="exact"/>
        <w:rPr>
          <w:sz w:val="20"/>
          <w:szCs w:val="20"/>
          <w:color w:val="auto"/>
        </w:rPr>
      </w:pPr>
    </w:p>
    <w:p>
      <w:pPr>
        <w:ind w:right="360" w:firstLine="3"/>
        <w:spacing w:after="0" w:line="266" w:lineRule="auto"/>
        <w:tabs>
          <w:tab w:leader="none" w:pos="148"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beta-klotho; F2/3/4 = stage 2/3/4 liver fibrosis; ILT3 = immunoglobulin-like transcript 3; CD3 = cluster of differentiation 3; AML = acute myeloid leukemia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Therapeutic Area: Retinal Diseases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Atrophy Disease Overview</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Geographic atrophy, or GA, is an advanced form of age-related, dry macular degeneration characterized by progressive retinal degeneration associated with irreversible loss of vision and is a major cause of blindness for elderly patients. GA afflicts over one million patients in the United States and approximately five million patients worldwide. One in six people with GA becomes legally blind within six years of diagnosis. The decline in visual function experienced by patients with GA is typically bilateral and directly related to the progressive loss of retinal photoreceptors, retinal pigment epithelium, or RPE, and choriocapillaris in the macular, or central, region of the retina. GA disease progression, and the patient’s accompanying visual decline, can have significant consequences for the patient, which can include the inability to drive, read and perform activities of daily living, a reduction in quality of life and increased likelihood of accidents or injuries and loss of independence. Dysregulated activation of the complement system, a key component of the immune system, including complement C3, has been implicated in the onset and progression of GA.</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NGM621: A Potential Treatment for Geographic Atrophy</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NGM621 is a humanized Immunoglobulin 1, or IgG1, monoclonal antibody administered via intravitreal, or IVT, injection. NGM621 was engineered to potently bind to, and be a long-acting inhibitor of, complement C3 with the treatment goal of reducing the rate of disease progression in patients with geographic atrophy, or GA, secondary to age-related macular degeneration, or AMD.</w:t>
      </w:r>
    </w:p>
    <w:p>
      <w:pPr>
        <w:spacing w:after="0" w:line="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October 2022, we announced topline results from the Phase 2 CATALINA clinical trial, which evaluated the efficacy and safety of NGM621 when given to patients with GA every four weeks or every eight weeks via IVT injections compared to sham control. The trial did not meet its primary endpoint of a statistically significant reduction in the rate of change in GA lesion area growth using slope analysis over 52 weeks of treatment with NGM621 versus sham. NGM621 demonstrated a favorable safety profile, with no evidence of increased choroidal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 w:name="page13"/>
    <w:bookmarkEnd w:id="1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neovascularization in NGM621-treated patients compared to sham. In addition, there were no serious adverse events deemed by an investigator to be treatment-related.</w:t>
      </w:r>
    </w:p>
    <w:p>
      <w:pPr>
        <w:spacing w:after="0" w:line="84"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7"/>
          <w:szCs w:val="17"/>
          <w:color w:val="auto"/>
        </w:rPr>
        <w:t>In November 2022, we presented additional findings from the CATALINA trial at The Retina Society Annual Scientific Meeting. One of the post-hoc analyses presented at the Retina Society meeting involved the evaluation of a sub-population of patients least likely to be impacted by fundus autofluorescence, or FAF, grading methodology limitations: those in the middle two quartiles of a quartile analysis based on baseline lesion area. The patients in this sub-group had baseline GA lesions measuring 4.17 – 9.64 mm</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as compared to study inclusion criteria of baseline GA area between ≥2.5 mm</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≤17.5 mm</w:t>
      </w:r>
      <w:r>
        <w:rPr>
          <w:rFonts w:ascii="Arial" w:cs="Arial" w:eastAsia="Arial" w:hAnsi="Arial"/>
          <w:sz w:val="22"/>
          <w:szCs w:val="22"/>
          <w:color w:val="auto"/>
          <w:vertAlign w:val="superscript"/>
        </w:rPr>
        <w:t>2</w:t>
      </w:r>
      <w:r>
        <w:rPr>
          <w:rFonts w:ascii="Arial" w:cs="Arial" w:eastAsia="Arial" w:hAnsi="Arial"/>
          <w:sz w:val="17"/>
          <w:szCs w:val="17"/>
          <w:color w:val="auto"/>
        </w:rPr>
        <w:t>. In this analysis, NGM621 demonstrated a reduction in the rate of change in GA lesion area (slope) of 21.9% (Q4W) (n=55) and 16.8% (Q8W) (n=52), compared to sham (n=53). Using MMRM analysis, a mixed effects model for repeated measures, to evaluate the change from baseline in GA area at weeks 24 and 52 for this subgroup, the reduction in GA growth (change from baseline vs sham) at 52 weeks was 20.6% (Q4W) and 16.6.% (Q8W).</w:t>
      </w:r>
    </w:p>
    <w:p>
      <w:pPr>
        <w:spacing w:after="0" w:line="10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Merck had a one-time option to license NGM621 and its related compounds upon completion of the CATALINA trial. In December 2022, Merck notified us that it would not exercise its option to license NGM621 and its related compounds, nor would Merck exercise the related ophthalmology bundle option; accordingly, these options expired unexercised in January 2023 and the program is now wholly-owned by us. Further development of NGM621 is primarily dependent on our ability to secure potential future BD Arrangements and, in the absence of such BD Arrangements, we are unlikely to be able to advance development of NGM621 unless our portfolio prioritization changes and we have access to the necessary capital to fund such development.</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NGM621 Patent Portfolio</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2022, we owned one issued United States patent covering NGM621, and the product and related compositions-of-matter and methods of use are disclosed and claimed in other patent applications pending in the United States and in multiple jurisdictions outside of the United States. The current patent and any patent that may issue from any of the pending applications would be expected to expire no earlier than 2039, not including any patent term adjustments and any patent term extensions.</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Geographic Atrophy Competition</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Current Treatments</w:t>
      </w:r>
    </w:p>
    <w:p>
      <w:pPr>
        <w:spacing w:after="0" w:line="1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There is currently only one medicine approved by the FDA and none approved by the EMA for the treatment of GA. Patients with GA have very limited options other than SYFOVRE™ (pegcetacoplan injection) approved by the FDA in February 2023 for the treatment of GA secondary to AMD. Patients are observed by their ophthalmologist or retina specialist for the purposes of documenting disease worsening, through imaging and visual acuity testing, and to monitor for any conversion to wet age-related macular degeneration, or wet AMD (which is treatable with anti-VEGFs). Some patients with GA take AREDS formula vitamins which have been shown to reduce the risk of progression to advanced forms of AMD; however, results from the AREDS trials have shown that there is no benefit to reducing the rate of existing GA progression. As their vision declines, patients with GA can receive visual rehabilitation and instruction on adaptive tools, like magnifiers, to help manage their disability as well as possible.</w:t>
      </w: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Treatments in Development</w:t>
      </w:r>
    </w:p>
    <w:p>
      <w:pPr>
        <w:spacing w:after="0" w:line="1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Given the large market opportunity in GA, there are multiple programs in clinical development for GA. The landscape can be subdivided into either agents targeting the complement pathway or agents targeting other pathways implicated in AMD pathogenesis and different modes of action. Most treatment approaches for GA have focused on reducing the rate of GA lesion area progression, as assessed by retinal imaging. For the complement-targeted approaches, some therapeutics focus on inhibiting key points in the complement pathway with targeted inhibitors, while others are replacing regulatory proteins that modulate the complement cascade activity. Additionally, the product administration approaches vary and include oral pills, subcutaneous injections, IVT injections and surgical approaches like gene therapy. GA is a chronic, progressive disease and, currently, many believe that slowing the progression of disease requires treatment periods of at least 12 months to show a meaningful treatment benefit relative to sham control.</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Multiple complement inhibition therapies are under clinical evaluation in patients with GA, and one has received regulatory approval from the FDA. In February 2023, Apellis Pharmaceuticals, Inc., or Apellis, announced that the FDA approved SYFOVRE™ (pegcetacoplan injection) for the treatment of GA secondary to AMD. With reference to other therapies currently in clinical development, Iveric bio, Inc.’s, or Iveric's, avacincaptad pegol, a PEGylated aptamer inhibitor of complement C5, completed a Phase 2/3 clinical trial that demonstrated statistically significant reductions in the rate of GA lesion area growth in the avacincaptad pegol arm versus the sham arm.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February 2023, Iveric announced that the FDA had accepted its NDA of avacincaptad pegol. Other agents in development targeting the complement pathway include: Ionis Pharmaceuticals, Inc.’s IONIS-FB-LRx, a factor B inhibitor in Phase 2 development; Hemera Biosciences, LLC’s HMR59, a gene therapy in development that produces CD59 to inhibit the complement membrane attack complex formation; Gemini Therapeutics, Inc.’s complement factor H replacement agent in Phase 2 development, GEM103; and Gyroscope Therapeutics Holdings plc’s gene therapy GT-005, replacing complement factor I in patients with genetically defined GA in Phase 2 development; and Alexion Pharmaceuticals, Inc.’s ALXN2040 and Annexon, Inc.'s ANX007, both in Phase 2 development.</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There are multiple product candidates in development that target other pathways implicated in AMD pathogenesis, including visual cycle modulators (for example, ALK001 in Phase 3 development by Alkeus Pharmaceuticals, Inc.), an NLRP3 inflammasome-targeting molecule, Xiflam, in Phase 2 development by InflammX Therapeutics, and others with undeclared targets (for example, EG-301 moving into Phase 2 development in early 2023 by Evergreen Therapeutics). Additionally, there are stem cell products being developed with the potential to replace RPE cells in late-stage GA and with the intent of preserving or improving visual function (for example, OpRegen in development by Lineage Cell Therapeutics, Inc.; CPCB-RPE1 in development by Regenerative Patch Technologies LLC; and ASP7217 in development by Astellas Pharma Inc.).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Therapeutic Area: Liver and Metabolic Diseases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spent more than a decade discovering and developing a portfolio of clinical-stage drug candidates that target various forms of cardio-metabolic and liver diseases, most specifically nonalcoholic steatohepatitis, or NASH. We have identified multiple hormonal pathways of interest and our drug candidates stem from novel insights we have made in the regulation of cardio-metabolic processes and liver function.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NASH Disease Overview</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NASH and metabolic diseases are among the largest unmet medical needs globally and represent a leading cause of morbidity and mortality and a significant burden for patients and healthcare systems. They also represent areas of underinvestment by the pharmaceutical industry, driven in part by the biological complexity of the diseases and the substantial costs necessary to develop new therapeutics. Metabolic syndrome is exhibited by approximately 35% of adults in the United States and comprises a constellation of co-morbid conditions, including type 2 diabetes, obesity, high blood pressure, poorly regulated lipids and non-alcoholic fatty liver disease, or NAFLD, a precursor to NASH. NAFLD is characterized by abnormal amounts of fat in the liver, a condition known as steatosis. This abnormal fat in the liver contributes to the progression in certain NAFLD patients to NASH by developing a necroinflammatory state in the liver that ultimately drives scarring, also known as fibrosis, and, for many, progresses to cirrhosis, liver cancer and liver failure.</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estimated global prevalence of NAFLD and NASH has risen rapidly in parallel with the dramatic rise in obesity and diabetes. In the United States alone, the prevalence of NASH was estimated to total 19.3 million cases in 2020 and is expected to reach 27 million cases in the United States by 2030, with similar trends occurring globally. Patients with NASH with F2, F3 or F4 fibrosis were believed to encompass approximately 8.3 million patients in the United States in 2020 and that number is expected to grow to 14.1 million by 2030. The population of cirrhotic patients with NASH in the United States is expected to reach 3.5 million in 2030.</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to living with the burden of illness, NASH with advanced fibrosis can be very expensive for patients, their families and society. Advanced liver fibrosis is generally considered fibrosis stages F3 and F4. The annual economic burden associated with NAFLD and NASH in the United States was estimated to be over $100 billion in 2016. If a patient progresses through the earlier stages of fibrosis to F4 fibrosis, or cirrhosis, there is an increased occurrence of negative liver-related outcomes, including a more than 60% risk of cirrhosis-related complications such as ascites, jaundice, hepatic encephalopathy, variceal bleeds, liver cancer or liver transplant. The median survival for a cirrhotic NASH patient is approximately seven years.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NASH Product Candidates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Aldafermin</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Aldafermin is an engineered analog of human hormone fibroblast growth factor 19, or FGF19, that is administered through a once-daily subcutaneous injection. Aldafermin is wholly-owned by us. Further development of aldafermin is primarily dependent on our ability to secure potential future BD Arrangements and, in the absence of such BD Arrangements, we are unlikely to be able to advance development of aldafermin unless our portfolio prioritization changes and we have access to the necessary capital to fund such development.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4" w:name="page15"/>
    <w:bookmarkEnd w:id="1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Clinical Development of Aldafermin</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To date, aldafermin has been dosed in over 700 patients and healthy volunteers across multiple liver and metabolic diseases, including more than 300 patients with NASH. In May 2021, we announced that the Phase 2b ALPINE 2/3 trial of aldafermin in patients with NASH and liver fibrosis stage 2 or 3, or F2 or F3, did not meet its primary endpoint evaluating a dose response at week 24 on liver fibrosis improvement by &gt;1 stage with no worsening of NASH. As a result, we decided to suspend further development of aldafermin in patients with F2/F3 NASH, allowing for the reallocation of resources to advancing our other programs.</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Aldafermin remains in Phase 2b development for the treatment of patients with compensated cirrhosis due to NASH (liver fibrosis stage 4, or F4, by the NASH Clinical Research Network classification). The Phase 2b ALPINE 4 clinical trial, which is fully enrolled, is designed to evaluate the treatment effect of aldafermin over 48 weeks in a population of patients with NASH with F4 liver fibrosis and well-compensated cirrhosis. We initiated the ALPINE 4 trial in February 2020 and completed enrollment of 160 patients across 80 sites in the United States, Europe, Hong Kong and Australia in January 2022. The objective of the trial is to evaluate whether fibrosis regression can be achieved in compensated cirrhotic patients with NASH, for whom liver mortality rates are high and liver transplant is the only option. The primary endpoint for the trial is the Enhanced Liver Fibrosis, or ELF, test, a reproducible, quantitative non-invasive liver prognostic test that evaluates liver fibrosis and correlates to liver-related outcomes. The ELF test is a composite blood test measuring the presence of three biomarkers associated with liver matrix metabolism. Liver biopsy data will also be measured and reported as a secondary endpoint upon completion of the trial. We expect to report topline data from the ALPINE 4 trial in the second quarter of 2023.</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Aldafermin has been generally well tolerated in clinical trials to date. In patients with NASH receiving various doses of aldafermin (between 0.3 mg and 6 mg) in our completed Phase 2 trials, the most common reported adverse events occurring in more than 10% of patients included diarrhea, headache, abdominal distension, nausea, fatigue, vomiting, constipation, frequent bowel movements, injection site bruising, urinary tract infection, nasopharyngitis, abdominal pain, injection site reaction, vitamin D deficiency, injection site symptoms (such as pruritus, erythema or swelling), cough, fecal color discoloration, cholesterol and low-density lipoprotein cholesterol increase, with the majority of adverse events classified as mild or moderate. SAEs included one case of acute pancreatitis, as well as pleurisy, vertigo, headache, hypertension, cardiac arrest, chest pain, pneumonia, kidney mass, rectal bleeding and liver biopsy complication, none of which were considered related to study drug.</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patients with NASH and stage 2 or 3 liver fibrosis receiving various doses of aldafermin (between 0.3 mg and 3 mg) in the completed Phase 2b ALPINE 2/3 trial, results showed that the most common reported adverse events occurring in more than 10% of patients included diarrhea, nausea, headache, upper abdominal pain, injection site erythema, constipation and sinusitis with the majority of adverse events classified as mild or moderate. SAEs included osteoarthritis, uterine cancer, suicide attempt, small bowel obstruction, cholecystitis, cardiac hypertrophy and obesity, none of which were considered related to study drug.</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Aldafermin Patent Portfolio</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2022, we owned 27 issued patents in the United States, as well as issued patents in more than 40 foreign countries, including various member states of the European Patent Office, or EPO, covering aldafermin, related compositions-of-matter and methods of use. We also own patent applications covering similar subject matter in the United States and multiple foreign jurisdictions including Europe. The earliest issued patents in the United States are expected to expire in 2032, not including any patent term adjustments and any patent term extensions.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MK-3655 (NGM313): An Insulin Sensitizer for the Treatment of NASH</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MK-3655, also known as NGM313, is an agonistic antibody discovered by us that selectively activates fibroblast growth factor receptor 1c-beta-klotho, or FGFR1c/KLB, which regulates insulin sensitivity, blood glucose and liver fat and is administered every four weeks through a subcutaneous injection. We believe that MK-3655 has the potential to be a treatment for those patients with NASH with early to moderate fibrosis with or without type 2 diabetes.</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November 2018, Merck exercised its option for a license to conduct research upon, develop and commercialize MK-3655 and other FGFR1c/KLB agonists. As described below, in January 2023, Merck provided us with the required 90-days' notice of partial termination of our collaboration with Merck as it relates to MK-3655 and its related compounds. As a result, in late April 2023, the license rights granted to Merck in 2018 with respect to MK-3655 will revert to us and the program will become wholly-owned by us. Further development of MK-3655, once the termination is effective, is primarily dependent on our ability to secure potential future BD Arrangements and, in the absence of such BD Arrangements, we are unlikely to be able to advance development of MK-3655 unless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5" w:name="page16"/>
    <w:bookmarkEnd w:id="1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portfolio prioritization changes and we have access to the necessary capital to fund such development. See “Licensing and Collaboration Arrangements—Merck Collaboration.”</w:t>
      </w:r>
    </w:p>
    <w:p>
      <w:pPr>
        <w:spacing w:after="0" w:line="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Clinical Development of MK-3655</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At the end of 2020, Merck initiated a Phase 2b clinical trial of MK-3655 for the treatment of patients with NASH with F2 or F3 fibrosis. The trial was a multi-center, double-blind, placebo-controlled trial administering 50 mg, 100 mg and 300 mg doses of MK-3655 every four weeks compared to placebo for 52 weeks. The primary objective of the Phase 2b trial was NASH resolution without worsening of fibrosis at 52 weeks. In January 2023, we announced that Merck notified us of its decision to terminate the Phase 2b trial based on the results of an interim analysis of safety and reduction in liver fat at Week 24. Although it was not the primary endpoint of the trial, the percent reduction from baseline in liver fat for MK-3655, while greater than placebo across multiple dose arms, did not reach Merck’s threshold for continuing the trial through to completion. The trial was not discontinued for safety concerns.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the Phase 1 and Phase 1b clinical trials we conducted, MK-3655 was generally well tolerated and data has shown the agent is capable of reducing liver fat content and improving metabolic biomarkers in obese, insulin resistant subjects with NAFLD after a single dose. In the Phase 1 trial, there were two SAEs reported in the MK-3655 treatment group, lower gastrointestinal, or GI, hemorrhage due to hemorrhoids and cholecystitis, both of which were deemed by the investigators to be unrelated to treatment with MK-3655. The majority of adverse events were mild to moderate in severity, and treatment-related events with the greatest proportion of subjects were GI disorders, injection site reactions, upper respiratory tract infections, headache and increased appetite. In the Phase 1b trial, all adverse events observed during the course of the study were deemed mild, with increased appetite (12%) and injection site reaction (12%) being the only adverse events reported in at least 10% of MK-3655-treated subjects.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MK-3655 Patent Portfolio</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of December 31, 2022, we owned three issued patents in the United States, which were licensed to Merck in connection with Merck's exercise of its license option for MK-3655, as well as pending patent applications in the United States and granted patents and pending patent applications in multiple jurisdictions outside of the United States covering MK-3655, related compositions-of-matter and methods of use. The earliest issued patents in the United States are expected to expire in 2035, not including any patent term adjustments and any patent term extensions. Once the partial termination of our collaboration with Merck as it relates to MK-3655 and its related compounds becomes effective, the license rights to these patents will revert to us.</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NASH Competition</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Current Treatments</w:t>
      </w:r>
    </w:p>
    <w:p>
      <w:pPr>
        <w:spacing w:after="0" w:line="1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Currently, there are no therapeutic agents approved by the FDA or the EMA for the treatment of NASH. Weight loss through diet and lifestyle management is currently considered the first-line treatment strategy for NASH and is 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Treatments in Development</w:t>
      </w:r>
    </w:p>
    <w:p>
      <w:pPr>
        <w:spacing w:after="0" w:line="1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Certain NASH drug development candidates are focused on the metabolic components of the disease, such as insulin resistance and lipotoxicity, that are associated with the inception and early stages of the disease pathology. Metabolically-oriented mechanism of action classes that have product candidates with histological proof-of-concept data include: Madrigal Therapeutic, Inc.’s, or Madrigal's, resmetirom and Viking Therapeutic Inc.’s VK2809, both thyroid hormone receptor β-selective (THRβ) agonists; Novo Nordisk AS’s glucagon-like peptide (GLP)-1 agonist, semaglutide; the stearyl-CoA desaturase inhibitor aramchol from Galmed Pharmaceuticals Ltd.; Inventiva SA’s pan-peroxisome proliferator-activated receptors (PPAR) agonist, lanifibranor; Akero Therapeutics, Inc.’s efruxifermin and 89 Bio Inc.'s BIO89-100, both analogs of fibroblast growth factor 21 (FGF21);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6" w:name="page17"/>
    <w:bookmarkEnd w:id="1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Genentech/Roche’s BFKB8488A, an FGFR1c/KLB bi-specific agonistic antibody. In December 2022, Madrigal announced positive topline results from the pivotal Phase 3 MAESTRO-NASH biopsy clinical trial of resmetirom. MAESTRO-NASH, a registrational Phase 3 trial, achieved both liver histological improvement endpoints that FDA proposed as reasonably likely to predict clinical benefit to support accelerated approval for the treatment of NASH with liver fibrosis.</w:t>
      </w:r>
    </w:p>
    <w:p>
      <w:pPr>
        <w:spacing w:after="0" w:line="9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Product 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which may reflect the difficulty in treating the disease without removing the underlying insult of lipotoxicity or the challenge of impinging on the complex process of hepatocellular death and fibrosis from collagen deposition by intervention through a single pathway. Members of the “anti-inflammatory” or “anti-fibrotic” mechanism of action classes with compounds that have histological proof-of-concept data include farnesoid X receptor, or FXR, agonists, such as Intercept Pharmaceuticals, Inc.’s, or Intercept’s, obeticholic acid. A new drug application, or NDA, for obeticholic acid was filed with the FDA by Intercept in September 2019 and received a complete response letter in June 2020. In December 2021, Intercept withdrew its marketing authorization application from the EMA. In December 2022, Intercept resubmitted an NDA with the FDA and in January 2023, Intercept announced that the FDA had accepted its NDA with a Prescription Drug User Fee Act, or PDUFA, target action date of June 22, 2023.</w:t>
      </w:r>
    </w:p>
    <w:p>
      <w:pPr>
        <w:spacing w:after="0" w:line="30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An ongoing consideration in NASH clinical development is pursuing combination treatments in an attempt to combine agents with less than optimal activity on their own to achieve a more clinically meaningful result. Combinations currently being evaluated in proof-of-concept trials include: metabolic/anti-fibrotic combinations such as semaglutide/cilofexor/firsocostat and tropifexor/licogliflozin (FXR agonist/SGLT-2, both from Novartis AG) and anti-inflammatory/anti-fibrotic duos such as cenicriviroc/tropifexor.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Therapeutic Area: Hematologic Oncology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Hematologic Cancer Disease Overview</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Hematologic cancer, also referred to as blood cancer, refers to various forms of cancer that lead to uncontrolled growth or dysregulation of blood cells or blood-forming tissues. Examples of hematologic cancer include leukemia, lymphoma and multiple myeloma.</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NGM936: ILT3xCD3 Bispecific T Cell Engager</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 of NGM936</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NGM936 is a bispecific T cell engager therapeutic candidate for the treatment of hematologic malignancies that targets ILT3 and cluster of differentiation 3, or CD3. NGM936 is designed to direct T cell mediated killing of ILT3-positive cancer cells while sparing normal hematopoietic stem cells, or HSCs, and minimizing CD3-driven cytokine release. ILT3, a myeloid-cell restricted receptor, has enriched expression in myelomonocytic leukemia, monocytic leukemia and leukemia stem cells but is not expressed on healthy HSCs. The expression profile of ILT3 may make it a potential target for the treatment of monocytic acute myeloid leukemia, or AML, and multiple myeloma.</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Preclinical Development of NGM936</w:t>
      </w:r>
    </w:p>
    <w:p>
      <w:pPr>
        <w:spacing w:after="0" w:line="116"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 xml:space="preserve">NGM936 has been evaluated in preclinical studies, where it has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ability to potently kill ILT3+ AML cells, kill ILT3+ multiple myeloma cells and preserve healthy bone marrow cells. Further development of NGM936 is primarily dependent on our ability to secure potential future BD Arrangements and, in the absence of such BD Arrangements, we are unlikely to be able to advance development of NGM936 unless our portfolio prioritization changes and we have access to the necessary capital to fund such development.</w:t>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NGM936 Patent Portfolio</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December 31, 2022, we did not own or have a license to any issued patent that covers NGM936. However, NGM936 and related compositions-of-matter and methods of use are disclosed in pending U.S. provisional patent applications we have filed. Any patent that may issue from these applications or any related applications we file is expected to expire no earlier than 2043, including any patent issued in the United States, if any, not including any patent term adjustments and any patent term extensions.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7" w:name="page18"/>
    <w:bookmarkEnd w:id="1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NGM936 Competition</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not aware of any publicly disclosed program other than NGM936 that targets ILT3 and CD3 using a bispecific T cell engager. Immune-Onc has a bispecific antibody, IO-312, in preclinical development which targets ILT3 and is being pursued for cancer. The identity of the target of the second arm of IO-312 has not been disclosed.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Manufacturing</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do not own, and have no plans to establish, any manufacturing facilities. We currently use third-party contract development and manufacturing organizations or contract manufacturing organizations, which we refer to collectively as CMOs, to manufacture and supply all of the raw materials, drug substances and drug products for our R&amp;D programs, including all the clinical trial materials used in the clinical trials of our clinical-stage product candidates. We have established relationships with several CMOs, including Lonza Ltd and Biotechpharma UAB. The activities of our CMOs are overseen by an experienced group of employees and third-party consultants.</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plan to continue to rely on CMOs to manufacture commercial quantities of any products for which we successfully obtain regulatory approval, as well as to provide packaging, storage and distribution of any approved products. We have not entered into long-term clinical or commercial supply agreements with any of our CMOs. In addition, each of our product candidates relies on a single contract manufacturer for supplies of its drug substance and drug product.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Competition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biopharmaceutical industry is characterized by intense competition and rapid innovation. Although we believe that we hold a strong position in research in certain areas of cancer, retinal diseases and liver and metabolic diseases, our competitors may be able to develop other compounds or drugs that are able to achieve similar or better results. Our competitors include multinational pharmaceutical companies, specialized biotechnology companies, universities and other research institutions. Smaller or earlier-stage companies also may prove to be significant competitors, particularly through collaboration or partnering arrangements with large, established companies. We believe the key competitive factors that will affect the development and commercial success of our product candidates are their efficacy, safety and tolerability profile, and reliability.</w:t>
      </w:r>
    </w:p>
    <w:p>
      <w:pPr>
        <w:spacing w:after="0" w:line="30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There are many pharmaceutical companies, biotechnology companies, public and private universities and research organizations actively engaged in the R&amp;D of products that may be competitive to our products. A number of pharmaceutical companies, including AbbVie, Allergan, AstraZeneca, Bayer, Boehringer Ingelheim, Bristol-Myers Squibb, Eisai, Eli Lilly, GlaxoSmithKline, Johnson &amp; Johnson, Merck, Novartis, Novo Nordisk, Pfizer, Roche, Sanofi and Takeda, as well as large and small biotechnology companies such as 89Bio, Akero, Albireo, Alentis, Amgen, Apellis, Ascletis, Axcella, AVEO, Biond, Bird Rock, Can-Fite, CatalYm GmbH, Cirius, Enanta, Galectin, Galmed, Genfit, Gilead, Glympse, Immune-Onc, ImmunOS, Immuron, Intercept, Inventiva, Iveric, Jounce, Madrigal, MannKind, MediciNova, Mirum, Nalpropion, NextCure, North Sea, Promethera, Salix, Scholar Rock, Seal Rock, Terns, Tiziana, Tizona, Viking and Vivus, are pursuing the development or marketing of pharmaceuticals that target the same diseases that we are targeting. It is probable that the number of companies seeking to develop products and therapies for the treatment of cancer, retinal diseases and liver and metabolic diseases will increase.</w:t>
      </w:r>
    </w:p>
    <w:p>
      <w:pPr>
        <w:spacing w:after="0" w:line="98"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For example, in February 2023, Apellis announced that the FDA approved SYFOVRE™ (pegcetacoplan injection) for the treatment of GA secondary to AMD. And in February 2023, Iveric announced that the FDA accepted Iveric's NDA of avacincaptad pegol for the treatment of GA. Many of these and other existing or potential competitors have substantially greater financial, technical, human and other resources than we have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In addition, other technologies or products may be developed that have an entirely different approach or means of accomplishing the intended purposes of our products, which might render our technology and products noncompetitive or obsolete.</w:t>
      </w:r>
    </w:p>
    <w:p>
      <w:pPr>
        <w:spacing w:after="0" w:line="9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For more information regarding the competition that our disclosed product candidates face, or may face, see the discussion of specific competition for each product candidate see “—Our Pipeline Programs.”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Intellectual Property</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intellectual property is critical to our business and our success depends, in part, on our ability to obtain and maintain intellectual property protection for our product candidates, technology and know-how, to defend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8" w:name="page19"/>
    <w:bookmarkEnd w:id="1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enforce our intellectual property rights, in particular, our patent rights, to preserve the confidentiality of our trade secrets and to operate without infringing the proprietary rights of others.</w:t>
      </w:r>
    </w:p>
    <w:p>
      <w:pPr>
        <w:spacing w:after="0" w:line="8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seek to protect the proprietary technology that we believe is important to our business through a variety of methods, including seeking and maintaining patents and patent applications intended to cover our product candidates, their compositions-of-matter, their methods of use and the processes for their manufacture and any other aspects of inventions that are commercially important to the success of our business. We seek to obtain domestic and international patent protection and, in addition to filing and prosecuting patent applications in the United States, we may file counterpart patent applications in additional countries where we believe such foreign filing is likely to be beneficial.</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of December 31, 2022, our patent portfolio includes over 600 patents and applications, including over 50 issued U.S. patents and over 30 pending U.S. patent applications covering our product candidates, certain aspects of our proprietary technology, and related inventions and improvements. Our patent portfolio also includes over 500 patents and patent applications in jurisdictions outside of the United States that, in many cases, are counterparts to our U.S. patents and patent applications. For more information regarding the patents and patent applications relating to eight of our disclosed product candidates, see the discussion of intellectual property protection for each product candidate in “—Our Pipeline Programs.” The patent landscape surrounding our product candidates is crowded, and we do not know if our pending patent applications will be issued with the claims we are seeking or if our issued patents will withstand challenges from third parties.</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Not all patent applications result in the issuance of patents. Patent applications in the United States and certain other jurisdictions are maintained in secrecy for 18 months or potentially longer, so public disclosure of discoveries via the publication of patent applications or in the scientific literature is often delayed. As a result, we cannot be certain of the priority of inventions covered by our patent applications and may be subject to claims of priority from third parties or the United States Patent and Trademark Office, or USPTO, against which we will need to defend ourselves.</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the scope of claims that may be allowed in any granted patent may be significantly reduced from the coverage claimed in the initial patent application. Further, the scope of the claims in an issued patent may be reinterpreted and, in some cases, narrowed or even cancelled after issuance by courts upon review. In addition, many jurisdictions allow third parties to challenge issued patents in administrative proceedings that may result in further narrowing or cancellation of patent claims. As a result, even issued patents may not provide sufficient protection from competitors.</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When patents are issued, the term of each individual patent will depend on the legal term for patents in the countries in which it is granted. In most countries, including the United States, the patent term is 20 years from the earliest claimed filing date of a non-provisional patent application in the applicable country. 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Any changes we make to the composition, formulation, method of delivery or other attributes of our current and future product candidates to cause them to have what we view as more advantageous properties may not be covered by our existing patents and patent applications, and we may be required to file new applications and/or seek other forms of protection.</w:t>
      </w:r>
    </w:p>
    <w:p>
      <w:pPr>
        <w:spacing w:after="0" w:line="8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Even if patents are issued, if a third party engages in activities covered by valid claims of our patents, we may be required to engage in enforcement actions in the courts to enforce our patents. Not all enforcement proceedings are successful. We also must take care not to infringe the valid patents of third parties. Third-party patent rights that purport to cover our product candidates or their discovery, use or manufacture may require us to challenge their validity in court or administrative proceedings and prevail in such challenges, to alter our development or commercial strategy or our product candidates or their uses and manufacture, to obtain licenses to such patents and/or to stop certain activities altogether. We hold various licenses with third parties to their intellectual property, including those with Horizon Discovery Ltd. and, as described below, Lonza Sales AG, or Lonza, for the use of their cell lines. The patent positions of biotechnology companies like ours are generally uncertain and involve complex legal, scientific and factual questions. We may not obtain or maintain adequate patent protection for any of our programs and product candidates.</w:t>
      </w:r>
    </w:p>
    <w:p>
      <w:pPr>
        <w:spacing w:after="0" w:line="29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to patent protection, we also rely on trademark registration, trade secrets, know-how, other proprietary information and continuing scientific innovation to develop and maintain our competitive position. We seek to maintain the confidentiality of proprietary information to protect aspects of our business that are not amenable to, or that we do not consider appropriate for, patent protection. As a part of these efforts, it is our policy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9" w:name="page20"/>
    <w:bookmarkEnd w:id="1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require our employees, consultants, outside scientific collaborators, sponsored researchers and other advisors to execute confidentiality agreements upon the commencement of their respective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Although we take these and other steps to safeguard our proprietary information and trade secrets, these agreements may be breached or third parties may independently develop substantially equivalent proprietary information and techniques or otherwise gain access to our trade secrets or disclose our technology. Thus, we may not be able to meaningfully protect our proprietary information that is not otherwise protected by patent.</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“Risk Factors—Risks Related to Our Intellectual Property” for information regarding the risks related to our intellectual property.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Licensing and Collaboration Arrangements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Merck Collaboration</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2015, we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by Merck for an additional two years through March 2022.</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 and other activities on compounds that are directed to one of up to two undisclosed targets outside of the fields of ophthalmology and CVM disease, or the Lab Programs. Currently, the only ongoing research activities funded under the Amended Collaboration Agreement are certain CVM-related activities and remaining activities under the Lab Programs, or the Remaining Research Programs. The ophthalmology compounds in the collaboration under the Amended Collaboration Agreement initially included NGM621 (and its related compounds) and compounds directed against two other undisclosed ophthalmology targets (and their related compounds). Merck had a one-time option to license NGM621 and its related compounds upon completion of the Phase 2 CATALINA trial. In December 2022, Merck notified us that it would not exercise its option to license NGM621 and its related compounds, nor would Merck exercise the related ophthalmology bundle option; accordingly, these options expired unexercised in January 2023 and the programs are now wholly-owned by us. Further, Merck did not elect for us to continue to conduct R&amp;D on any compounds from our other ophthalmology programs that were subject to the collaboration, which are preclinical and directed to undisclosed targets. Such an election would have resulted in an extended or tail period in which Merck would continue to fund our R&amp;D of such ophthalmology compounds. Because Merck did not exercise its ophthalmology license options or make such a tail period election, we do not have any funding from Merck to pursue such ophthalmology programs.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For the period that started on January 1, 2023 and ends on March 31, 2024, we expect to receive funding of approximately $13.0 million in the aggregate from Merck for ongoing activities under the Remaining Research Programs and for certain costs and reimbursements related to the NGM621 program. Funding from Merck after December 31, 2023 is expected to be minimal. The research phase for the CVM-related programs under the Amended Collaboration Agreement will continue through March 31, 2024, unless the parties mutually agree to extend the research phase through March 31, 2026, in which case Merck would provide up to a total of $20.0 million in R&amp;D funding during the additional two years of the CVM program research phase. New CVM-related programs may be added to the collaboration if recommended by us and selected by Merck, although we do not expect any new CVM-related programs to be added. The research phase for the Lab Programs was scheduled to end no later than December 31, 2022, although certain limited activities continue and will be wrapped up in 2023.</w:t>
      </w:r>
    </w:p>
    <w:p>
      <w:pPr>
        <w:spacing w:after="0" w:line="9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January 2023, we announced that Merck notified us of its decision to terminate the Phase 2b trial of MK-3655 in patients with NASH and liver fibrosis stage 2 or 3 and Merck subsequently provided us with the required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0" w:name="page21"/>
    <w:bookmarkEnd w:id="2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90-days' notice of partial termination of the Amended Collaboration Agreement as it relates to MK-3655 and its related compounds. As a result, in late April 2023, the license rights granted to Merck in 2018 with respect to MK-3655 will revert to us and the program will become wholly-owned by us. Further development of MK-3655, once the termination is effective, is primarily dependent on our ability to secure potential future BD Arrangements and, in the absence of such BD Arrangements, we are unlikely to be able to advance development of MK-3655 unless our portfolio prioritization changes and we have access to the necessary capital to fund such development.</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During the three-month period before the end of the research phase for the CVM-related programs, Merck has the right to review the product candidates from each applicable program and to elect to have R&amp;D activities continue under the collaboration for an additional period, referred to as a Tail Period. If Merck makes such an election, then the applicable Tail Period will begin at the end of the research phase for the applicable program and will end on the earlier of achievement of the License Option exercise point or three years, except that in certain circumstances a Tail Period may continue beyond three years if the License Option exercise point has not been achieved by such time. All R&amp;D work on CVM-related programs during the applicable Tail Period, if any, will be conducted by Merck or its third-party contractors at Merck’s expense. Each Lab Program will enter a Tail Period if Merck elects to continue work on it after we complete specified laboratory and other activities.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Under the Amended Collaboration Agreement, Merck retains License Options to obtain an exclusive, worldwide license, on specified terms, to each collaboration compound (and its related compounds) that remains within the scope of the continuing collaboration under the Remaining Research Programs. Merck generally has a one-time right to exercise its License Option for any product candidate when we or Merck achieve the specified License Option exercise point. The License Option exercise point for a collaboration compound from the CVM-related programs or the Lab Programs will be the designation by Merck of such collaboration compound as a research program development candidate that Merck intends to progress into preclinical development. Upon Merck’s exercise of a License Option for any CVM-related program or Lab Program, Merck will pay us an option exercise fee of $6.0 million and we will be eligible to receive a milestone payment of $10.0 million if Merck subsequently completes a proof-of-concept trial for a product candidate from such program.</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If Merck exercises its License Option to a product candidate and its related compounds, referred to as a Licensed Program, we will have the option to receive milestones and royalty payments or, in certain cases, prior to Merck initiating any Phase 3 clinical trial of such licensed compound, to co-fund development and participate in a global cost and profit share arrangement of up to 50%, with an additional option to co-detail any such licensed compound in the United States. If we do not elect to exercise our cost and profit share option for a particular licensed compound, we are eligible to receive an aggregate of up to $469.0 million in milestone payments upon the achievement of specific clinical development and regulatory events, commercial milestone payments of up to $125.0 million and royalties from low-double digit to mid-teen percentages of worldwide net sales of such licensed compound.</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Merck will be responsible, at its own cost, for all development and commercialization of product candidates from each Licensed Program, subject to our options to cost and profit share worldwide, and to co-detail those compounds in the United States as described above. If Merck does not exercise its License Option with respect to a particular candidate and its related compounds within the applicable time period, in most instances we retain all rights to research, develop and commercialize that candidate and those compounds on a worldwide basis, either alone or in partnership with a third party, subject to the payment to Merck of low single-digit royalties on commercial sales of any resulting products.</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Under the Amended Collaboration Agreement, we also granted Merck a worldwide, exclusive right to conduct R&amp;D on, and to manufacture, use and commercialize, small molecule compounds identified or developed by Merck that have specified activity against any target that we are researching or developing under the research phase of the collaboration. Merck’s research license for its own small molecule program will become non-exclusive if Merck does not exercise its option to a product candidate against a target at its option exercise point, but Merck will retain an exclusive license to any small molecule compounds that it has already identified and developed. Merck has sole responsibility for R&amp;D of any of these small molecule compounds, at its own cost. We are eligible to receive milestone and royalty payments on small molecule compounds that are developed by Merck under such a license from us.</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to the options and exclusive licenses that we granted or are obligated to grant to Merck, we have the following exclusivity obligations to Merck under the Amended Collaboration Agreement. During the applicable research phase and Tail Period, if any, for the CVM-related programs and Lab Programs, we may not directly or indirectly research, develop, manufacture or commercialize, outside of our collaboration with Merck, any product with specified activity against any target that is being researched or developed under the applicable programs and, if Merck exercises its License Option for a program, we may not directly or indirectly research, develop,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1" w:name="page22"/>
    <w:bookmarkEnd w:id="2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manufacture or commercialize any product with specified activity against the target that is the subject of that Licensed Program for so long as Merck’s license to it remains in effect. In addition, we are prohibited from directly or indirectly researching, developing or commercializing any product for the treatment of heart failure with preserved ejection fraction, or HFpEF, during the research phase for the CVM-related programs.</w:t>
      </w:r>
    </w:p>
    <w:p>
      <w:pPr>
        <w:spacing w:after="0" w:line="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After the research phase, Merck may terminate the overall Amended Collaboration Agreement for convenience upon written notice. Subject to certain limitations, Merck may partially terminate the Amended Collaboration Agreement for convenience as it relates to any Licensed Program or any of its rights to research and develop small molecule compounds.</w:t>
      </w:r>
    </w:p>
    <w:p>
      <w:pPr>
        <w:spacing w:after="0" w:line="8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Either we or Merck may terminate the Amended Collaboration Agreement with respect to a specific Licensed Program or any particular licensed small molecule compound if the other party is in material breach of its obligations regarding that specific program and fails to cure the breach within the specified cure period. If Merck terminates a Licensed Program as a result of our uncured material breach, then we would lose our option to participate in a global cost and profit share if not yet exercised as of the time of termination and lose our co-detailing option (whether or not exercised as of that time) for candidates arising from the relevant Licensed Program. If Merck terminates a licensed small molecule compound program for our uncured material breach, we would continue to receive the full amount of milestones and royalties we were otherwise eligible for with respect to the relevant small molecule compounds.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Lonza License</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October 2014, we entered into a Multi-Product License Agreement, or the Lonza License, with Lonza under which we obtained a worldwide, non-exclusive license to use Lonza’s glutamine synthetase gene expression system, known as GS Xceed™, to manufacture and commercialize our proprietary products.</w:t>
      </w:r>
    </w:p>
    <w:p>
      <w:pPr>
        <w:spacing w:after="0" w:line="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 We paid a one-time milestone payment to Lonza of £100,000 for each of the Phase 2 trial initiations for MK-3655, NGM621 and NGM120. We are also required to pay low single-digit royalties to Lonza based on net sales of any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of up to £300,000 per product if a party other than Lonza, we, our affiliates or our strategic partners (including Merck or any potential future partners) manufactures certain product candidates for commercial activities. We are currently required to pay this fee for MK-3655 and NGM120. In accordance with the Lonza License, for certain additional product candidates, we are instead required to pay an annual license fee to Lonza of £25,000 per product candidate prior to the initiation of clinical development, and following the initiation of clinical development, £100,000, £150,000 or £300,000 annually per product candidate, respectively, if such product candidate is in a Phase 1, Phase 2 and Phase 3 clinical trial. We were required to pay this fee for NGM621 prior to Merck's decision not to exercise its option to license NGM621 and its related compounds in January 2023.</w:t>
      </w:r>
    </w:p>
    <w:p>
      <w:pPr>
        <w:spacing w:after="0" w:line="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Government Regulation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Approval in the United States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FDA and other regulatory health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and health authorities of the countries in which we wish to conduct studies or seek approval or licensure of our product candidates.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process of obtaining regulatory approvals and the subsequent compliance with appropriate federal, state, and local statutes and regulations requires the expenditure of substantial time and financial resources. Failure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2" w:name="page23"/>
    <w:bookmarkEnd w:id="2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comply with the applicable U.S. requirements at any time during the product development process, approval process or following approval may subject an applicant to administrative actions or judicial sanctions. These actions and sanctions could include, among other actions, the FDA’s refusal to approve pending applications, withdrawal of an approval, license revocation, a clinical hold, untitled or warning letters, voluntary or mandatory product recalls or market withdrawals, product seizures, total or partial suspension of production or distribution, injunctions, fines, refusals of government contracts, restitution, disgorgement and civil or criminal fines or penalties. Any agency or judicial enforcement action could have a material adverse effect on our business, the market acceptance of our products and our reputation.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 xml:space="preserve">Prior to beginning the first clinical trial with a product candidate, a sponsor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pharmacology, pharmacokinetics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concerns or questions regarding safety or conduct of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current Good Clinical Practices, or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institutional review board, or IRB, for each site proposing to conduct the clinical trial must review and approve the plan for any clinical trial and its informed consent form before the clinical trial begins at that site and must monitor the study until completed.</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FDA, an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study sponsor, known as a data safety monitoring board or committee, which provides authorization for whether a trial may move forward at designated checkpoints based on access to certain data from the trial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For purposes of biologics license application, BLA, approval, human clinical trials are typically conducted in three sequential phases that may overlap.</w:t>
      </w:r>
    </w:p>
    <w:p>
      <w:pPr>
        <w:spacing w:after="0" w:line="64" w:lineRule="exact"/>
        <w:rPr>
          <w:sz w:val="20"/>
          <w:szCs w:val="20"/>
          <w:color w:val="auto"/>
        </w:rPr>
      </w:pPr>
    </w:p>
    <w:p>
      <w:pPr>
        <w:jc w:val="both"/>
        <w:ind w:left="620" w:hanging="307"/>
        <w:spacing w:after="0" w:line="271"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Phase 1</w:t>
      </w:r>
      <w:r>
        <w:rPr>
          <w:rFonts w:ascii="Arial" w:cs="Arial" w:eastAsia="Arial" w:hAnsi="Arial"/>
          <w:sz w:val="17"/>
          <w:szCs w:val="17"/>
          <w:i w:val="1"/>
          <w:iCs w:val="1"/>
          <w:color w:val="auto"/>
        </w:rPr>
        <w:t>—</w:t>
      </w:r>
      <w:r>
        <w:rPr>
          <w:rFonts w:ascii="Arial" w:cs="Arial" w:eastAsia="Arial" w:hAnsi="Arial"/>
          <w:sz w:val="17"/>
          <w:szCs w:val="17"/>
          <w:color w:val="auto"/>
        </w:rPr>
        <w:t>The investigational product is initially introduced into healthy human subjects or patients with the target disease or condition.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8" w:lineRule="exact"/>
        <w:rPr>
          <w:rFonts w:ascii="Arial" w:cs="Arial" w:eastAsia="Arial" w:hAnsi="Arial"/>
          <w:sz w:val="17"/>
          <w:szCs w:val="17"/>
          <w:color w:val="auto"/>
        </w:rPr>
      </w:pPr>
    </w:p>
    <w:p>
      <w:pPr>
        <w:jc w:val="both"/>
        <w:ind w:left="620" w:hanging="307"/>
        <w:spacing w:after="0" w:line="271"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Phase 2</w:t>
      </w:r>
      <w:r>
        <w:rPr>
          <w:rFonts w:ascii="Arial" w:cs="Arial" w:eastAsia="Arial" w:hAnsi="Arial"/>
          <w:sz w:val="17"/>
          <w:szCs w:val="17"/>
          <w:i w:val="1"/>
          <w:iCs w:val="1"/>
          <w:color w:val="auto"/>
        </w:rPr>
        <w:t>—</w:t>
      </w:r>
      <w:r>
        <w:rPr>
          <w:rFonts w:ascii="Arial" w:cs="Arial" w:eastAsia="Arial" w:hAnsi="Arial"/>
          <w:sz w:val="17"/>
          <w:szCs w:val="17"/>
          <w:color w:val="auto"/>
        </w:rPr>
        <w:t>The investigational product is administered to a limited patient population with a specified disease or condition to evaluate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8" w:lineRule="exact"/>
        <w:rPr>
          <w:rFonts w:ascii="Arial" w:cs="Arial" w:eastAsia="Arial" w:hAnsi="Arial"/>
          <w:sz w:val="17"/>
          <w:szCs w:val="17"/>
          <w:color w:val="auto"/>
        </w:rPr>
      </w:pPr>
    </w:p>
    <w:p>
      <w:pPr>
        <w:jc w:val="both"/>
        <w:ind w:left="620" w:hanging="307"/>
        <w:spacing w:after="0" w:line="265"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The investigational product is administered to an expanded patient population to further evaluate dosage, to provide statistically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8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are called Phase 4 studies and may be made a condition to approval of the BLA. Concurrent with clinical trials, companies may complete additional animal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3" w:name="page24"/>
    <w:bookmarkEnd w:id="2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studies and develop additional information about the biological characteristics of the product candidate and must finalize a process for manufacturing the product in commercial quantities in accordance with current Good Manufacturing Practices, or cGMP, requirements. The manufacturing process must be capable of consistently producing quality batches of the product candidate and, among other things, for biologics, must develop methods for testing the identity, strength, quality, purity and potency of the product. Additionally, appropriate packaging must be selected and tested and stability studies must be conducted to demonstrate that the product candidate does not undergo unacceptable deterioration over its shelf life.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submission of a BLA requires payment of a substantial application user fee to FDA, unless a waiver or exemption applies.</w:t>
      </w:r>
    </w:p>
    <w:p>
      <w:pPr>
        <w:spacing w:after="0" w:line="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Once a BLA has been submitted, the FDA generally makes a decision on the acceptance of the application for filing within 60 days of receipt.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will outline the deficiencies in the submission and often will request additional testing or information.</w:t>
      </w:r>
    </w:p>
    <w:p>
      <w:pPr>
        <w:spacing w:after="0" w:line="96"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In issuing the Complete Response letter, the FDA may recommend actions that the applicant might take to place the BLA in condition for approval, including requests for additional information or clarification, completion of other significant and time-consuming requirements related to clinical trials, and/or conduct of additional preclinical studies or manufacturing activities. Even if such data and information are submitted, the FDA may determine that the BLA does not satisfy the criteria for approval. FDA approval of a BLA must be obtained before a biologic may be marketed in the United States. The FDA may delay or refuse approval of a BLA, require additional testing or information and/or require post-marketing testing and surveillance to monitor safety or efficacy of a product.</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Expedited Programs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 sponsor may seek to develop and obtain approval of its product candidates under programs designed to accelerate the FDA review and approval of marketing applications for new drugs and biologics that meet certain criteria, such as the Fast Track program, priority review, accelerated approval, breakthrough therapy designation and Real-Time Oncology Review, or RTOR, Program.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Fast Track Designation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FDA Fast Track program is intended to facilitate development and expedite review of new drugs and biologics that are intended to treat a serious or life-threatening disease or condition and that demonstrate potential to address an unmet medical need. For a Fast Track-designated product, there may be more frequent meetings and communication with the FDA, and early and frequent communication between the FDA and sponsor is encouraged throughout the entire development and review process. The FDA may consider sections of a BLA for review on a rolling basis if certain conditions are satisfied, including an agreement with the FDA on the proposed schedule for submission of portions of the application and the payment of applicable user fees before the FDA may initiate a review. The product may also be eligible for priority review and accelerated approval. The sponsor can request the FDA to designate the product for Fast Track status any time before receiving BLA approval, but ideally no later than the pre-BLA meeting.</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Priority Review</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Generally, the FDA follows a two-tiered system of review times, standard review and priority review. For a product that receives priority review designation, the FDA has the goal of taking action on the marketing application within six months of the 60-day filing date, compared to ten months under standard review. However, the FDA does not always meet its PDUFA goal dates for standard and priority BLAs, and the review process is often extended by FDA requests for additional information or clarification. A priority review designation is applicable for products that, if approved, would be significant improvements in the safety or effectiveness of the treatment, diagnosis, or prevention of serious conditions when compared to marketed products. The FDA decides on the review designation for every application; however, an applicant may expressly request priority review. The FDA informs the applicant of a priority review designation within 60 days of the receipt of the original marketing application. If criteria are not met for priority review, the application is subject to the standard FDA review period of ten months after FDA accepts the application for filing. Priority review designation does not change the scientific or medical standard for approval, or the quality of evidence necessary to support approval.</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Accelerated Approval</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addition, the FDA may base accelerated approval for drugs and biologics for serious conditions that fill an unmet medical need on whether the drug or biologic has an effect on a surrogate or an intermediate clinical endpoint. A surrogate endpoint used for accelerated approval is a marker, such as a laboratory measurement, radiographic image, physical sign or other measure that is thought to predict clinical benefit but is not itself a measure of clinical benefit. Likewise, an intermediate clinical endpoint is a measure of a therapeutic effect that is considered reasonably likely to predict the clinical benefit of a product, such as an effect on irreversible morbidity and mortality, or IMM. The FDA bases its decision on whether to accept the proposed surrogate or intermediate clinical endpoint on the scientific support for that endpoint. As a condition of accelerated approval, the FDA will generally require the sponsor to perform and provide regular updates to the agency on adequate and well-controlled post-marketing clinical studies to verify and describe the anticipated effect on IMM or other clinical benefit. Where confirmatory trials verify clinical benefit, the FDA will generally terminate the requirement. Approval of a product may be withdrawn or the labeled indication of the product changed, if trials fail to verify clinical benefit or do not demonstrate sufficient clinical benefit to justify the risks associated with the product, for example, if the product shows a significantly smaller magnitude or duration of benefit than was anticipated based on the observed effect on the surrogate endpoint. In addition, the FDA currently requires as a condition for accelerated approval the pre-approval of promotional materials, which could adversely impact the timing of the commercial launch of the product.</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Breakthrough Therapy Designation</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5" w:name="page26"/>
    <w:bookmarkEnd w:id="2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time to complete and may minimize the number of patients exposed to a potentially less efficacious treatment. Breakthrough therapy designation comes with all of the benefits of Fast Track designation,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Real-Time Oncology Review (RTOR) Program</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RTOR program is for oncology product candidates that are likely to demonstrate substantial improvements over available therapy, which may include drugs previously granted breakthrough therapy designation for the same or other indications and candidates meeting other criteria for other expedited programs, such as Fast Track and priority review. Submissions for RTOR consideration should also have straightforward study designs and endpoints that can be easily interpreted (such as overall survival or progression free survival). Acceptance into the RTOR program does not guarantee or influence approvability of the application, which is subject to the usual benefit-risk evaluation by FDA reviewers, but the program allows FDA to review data earlier, before an applicant formally submits a complete application. The RTOR program does not affect FDA’s PDUFA timelines.</w:t>
      </w:r>
    </w:p>
    <w:p>
      <w:pPr>
        <w:spacing w:after="0" w:line="9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accelerated approval, breakthrough therapy designation and RTOR program acceptance do not change the standards for product approval.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9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Information and Pediatric Exclusivity</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Under the Pediatric Research Equity Act, or PREA, certain BLAs and certain supplements to a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A sponsor who is planning to submit a marketing application for a drug that includes a new active ingredient, new indication, new dosage form, new dosing regimen or new route of administration must submit an initial Pediatric Study Plan, or PSP.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6" w:name="page27"/>
    <w:bookmarkEnd w:id="2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any time if changes to the pediatric plan need to be considered based on data collected from preclinical studies, early phase clinical trials and/or other clinical development programs.</w:t>
      </w:r>
    </w:p>
    <w:p>
      <w:pPr>
        <w:spacing w:after="0" w:line="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FDA regulations that require, among other things, quality control and quality assurance, the maintenance of records and documentation and the obligation to investigate and correct any deviations from cGMP. FDA regulations also impose reporting requirements upon sponsors and their third-party manufacturers. Manufacturers and other entities involved in the manufacture and distribution of approved biologics are required to register their establishments with the FDA and certain state agencies and are subject to periodic unannounced inspections by the FDA and certain state agencies for compliance with cGMP requirements and other laws, which impose certain procedural and documentation requirements upon sponsors and their third-party manufacturers. The discovery of violative conditions, including failure to conform to cGMP regulations, could result in enforcement actions, and the discovery of problems with a product after approval may result in restrictions on a product, manufacturer or holder of an approved BLA, including recall.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sponsors and their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sponsors and their third-party manufacturers.</w:t>
      </w:r>
    </w:p>
    <w:p>
      <w:pPr>
        <w:spacing w:after="0" w:line="9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FDA may also place other conditions on approvals including the requirement for a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303"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studies;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seizure or detention, or refusal of the FDA to permit the import or export of products; or</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4"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7" w:name="page28"/>
    <w:bookmarkEnd w:id="2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accordance with the provisions of the approved label. The FDA and other agencies actively enforce the laws and regulations prohibiting the promotion of off-label uses and misbranding. Failure to comply with these requirements can result in, among other things, adverse publicity, warning letters, corrective actions, including corrective advertising, and potential civil and criminal penalties, including monetary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(or thirty days in advance of their first use if approved via the accelerated approval pathway). Further, if there are any modifications to the drug or biologic,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U.S. Healthcare Laws and Compliance Requirements</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the United States, our current and future operations are subject to regulation by various federal, state and local authorities. For example, our clinical research, sales, marketing and scientific/educational grant programs may have to comply with the anti-fraud and abuse provisions of the Social Security Act, the federal Anti-Kickback Statute, the false claims laws, the privacy and security provisions of the Health Insurance Portability and Accountability Act, or HIPAA, and similar state laws, each as amended, as applicable.</w:t>
      </w:r>
    </w:p>
    <w:p>
      <w:pPr>
        <w:spacing w:after="0" w:line="9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9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as amended by the Health Care and Education Reconciliation Act, collectively referred to as the ACA, to impose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or FCA.</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 xml:space="preserve">The federal false claims and civil monetary penalty laws, including the FCA, which imposes significant penalties and can be enforced by private citizens through civil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8" w:name="page29"/>
    <w:bookmarkEnd w:id="2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certain healthcare fraud statutes under HIPAA such that a person or entity no longer needs to have actual knowledge of the statute or specific intent to violate it in order to have committed a violation.</w:t>
      </w:r>
    </w:p>
    <w:p>
      <w:pPr>
        <w:spacing w:after="0" w:line="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8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HIPAA, as amended by the Health Information Technology for Economic and Clinical Health Act, or HITECH, and its implementing regulations, imposes requirements on covered entities (including certain health care providers, health plans and health care clearinghouses, business associates and their covered subcontractors) relating to the privacy, security and transmission of individually identifiable health information. HIPAA may be enforced by several federal agencies as well as state attorneys general.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physician-administered products, once approved, may be eligible for coverage under Medicare through Medicare Part B. As a condition of receiving Medicare Part B reimbursement for a manufacturer’s eligible drugs, the manufacturer is required to participate in other government healthcare programs, including the Medicaid Drug Rebate Program and the 340B Drug Pricing Program, and would be subject to those requirements as well.</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Additionally, the federal Physician Payments Sunshine Act, or the Sunshine Act, as amended,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w:t>
      </w:r>
    </w:p>
    <w:p>
      <w:pPr>
        <w:spacing w:after="0" w:line="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many states also govern the reporting of such payments or other transfers of value, many of which differ from each other in significant ways, are often not pre-empted and may have a more prohibitive effect than the Sunshine Act, thus further complicating compliance efforts.</w:t>
      </w:r>
    </w:p>
    <w:p>
      <w:pPr>
        <w:spacing w:after="0" w:line="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 xml:space="preserve">The scope and enforcement of each of these laws is uncertain and subject to rapid change in the current environment of healthcare reform, especially in light of the lack of applicable precedent and regulations. 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brought by individual whistleblowers in the name of the government, refusal to allow us to enter into government contracts, contractual damages, reputational harm, administrative burdens, diminished profits and future earnings, additional reporting obligations and oversight if we become subject to a corporate integrity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29" w:name="page30"/>
    <w:bookmarkEnd w:id="2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Foreign Corrupt Practices Act</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Health and Safety Regulation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to the foregoing, state and federal laws regarding safe working conditions,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We may incur significant costs to comply with such laws and regulations now or in the future. If our operations result in contamination of the environment or expose individuals to hazardous substances, we could be liable for damages and governmental fines. We believe that we are in material compliance with applicable environmental laws and regulations and that continued compliance therewith will not have a material adverse effect on our business. We cannot predict, however, how changes in these laws and regulations may affect our future operations.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Union Development of Medicinal Products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the European Economic Area, or EEA, which consists of the 27 Member States of the European Union, or the EU and the EU Member States, as well as Norway, Iceland and Liechtenstein, medicinal products can only be commercialized after a marketing authorization, or MA, has been granted by a competent regulatory authority. This is similar to the approach in the United States. The various phases of preclinical and clinical research in the EEA are currently regulated by Clinical Trials Regulation (EU) No 536/2014, which went into effect on January 31, 2022. The regulation, which is directly applicable in all EEA countries, overhauls the current system of approvals for clinical trials in the EU in an effort to simplify and streamline the approval of clinical trials in the EU.</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Union Review of Marketing Authorization and Approval</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Depending on the type of product and its intended therapeutic indication, related MAs may be granted either by the European Commission at the EU level or by the competent authorities of the EEA countries. An EU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subject to the approval of the EMA, for products containing a new active substance not yet authorized in the EEA, or for products that constitute a significant therapeutic, scientific or technical innovation or which are in the interest of public health in the EU.</w:t>
      </w:r>
    </w:p>
    <w:p>
      <w:pPr>
        <w:spacing w:after="0" w:line="98"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National MAs, which are issued by the competent authorities of the EEA countries, and only cover their respective territory, are available for products not falling within the mandatory scope of the Centralized Procedure. Where a product has already been authorized for marketing in an EEA country, that National MA can be recognized in another EEA country through the Mutual Recognition Procedure. If the product has not received a National MA in any EEA country at the time of application for authorization, it can be approved simultaneously in various EEA countries through the Decentralized Procedure. Under the Decentralized Procedure, an identical dossier is submitted to the competent authorities of each of the EEA countries in which the MA is sought, one of which is selected by the applicant as the Reference Member State, or RMS. The competent authority of the RMS prepares a draft assessment report, a draft Summary of Product Characteristics, or SmPC, the document that provides information to physicians concerning the safe and effective use of the product, and a draft of the labeling and package leaflet, which are sent to the other EEA countries, referred to as the Concerned Member States, or CMSs, for their approval. If the CMSs raise no objections to the assessment, SmPC, labeling or packaging proposed by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0" w:name="page31"/>
    <w:bookmarkEnd w:id="3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RMS, the product is subsequently granted a National MA in the RMS and the Concerned Member States. The RMS or CMSs may only raise objections to authorization that are based on a potential serious risk to public health.</w:t>
      </w:r>
    </w:p>
    <w:p>
      <w:pPr>
        <w:spacing w:after="0" w:line="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the EEA, a MA, whether granted through the Centralized, Decentralized or Mutual Recognition Procedures, may be granted only to an MA applicant that is established within the EEA.</w:t>
      </w:r>
    </w:p>
    <w:p>
      <w:pPr>
        <w:spacing w:after="0" w:line="8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principle, an MA has an initial validity of five years. The MA may be renewed after five years on the basis of a re-evaluation of the risk-benefit balance by the EMA or by the competent authority of the EEA country in which the original MA was granted. The European Commission or the competent authorities of the EEA country may decide, on justified grounds relating to pharmacovigilance, to require one additional five-year period for the MA before it is definitively renewed. Once subsequently definitively renewed, the MA is valid for an unlimited period. Any MA that is not followed by the actual placing of the medicinal product on the EEA market (in case of Centralized Procedure approvals), or on the market of the authorizing EEA country if applicable, within three years after authorization ceases to be valid (the so-called sunset clause).</w:t>
      </w:r>
    </w:p>
    <w:p>
      <w:pPr>
        <w:spacing w:after="0" w:line="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In the EEA, a conditional MA may be granted by the European Commission through the Centralized Procedure in cases where all the required safety and efficacy data are not yet available. The conditional MA is subject to conditions to be fulfilled concerning generation of missing data or ensuring increased safety measures. It is valid for one year and must be renewed annually until all related conditions have been fulfilled. After this, the conditional MA is converted to a normal MA. An MA may also be granted “under exceptional circumstances” by the European Commission through the Centralized Procedure where the MA applicant can show that it is unable to provide comprehensive data on the efficacy and safety of the medicinal product under normal conditions of use even after the product has been authorized and subject to specific procedures after being introduced. These circumstances may arise in particular when the intended therapeutic indications are very rare and, based on the state of scientific knowledge at that time, it is not possible to provide comprehensive information, or when generating data may be contrary to generally accepted ethical principles.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and Market Exclusivity</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EU legislation governing the grant of marketing authorizations for medicinal products also provides opportunities for data and market exclusivity related to MAs in certain circumstances. Upon grant of an MA, innovative medicinal products generally benefit from eight years of data exclusivity and ten years of market exclusivity. Data exclusivity, if granted, prevents regulatory authorities in the EEA from referencing the innovator’s data to assess a biosimilar application for eight years from the date of authorization of the innovative product, after which a biosimilar application for MA can be submitted, and the innovator’s data may be referenced. The market exclusivity period prevents a successful biosimilar applicant from commercializing its product in the EEA until ten years have elapsed from the initial MA of the innovator product in the EEA. The overall ten-year period may, occasionally, be extended for a further year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There is, however, no guarantee that our products will be considered by European regulatory authorities to be a new biological entity. In such circumstances, our products, even if granted MA, may not qualify for data and market exclusivity.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Development</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Regulation (EC) No 1901/2006 provides that all applicants for MA for new medicinal products have to include the results of trials conducted in the pediatric population in compliance with a pediatric investigation plan, or PIP, agreed to with the EMA’s Pediatric Committee, or PDCO. The PDCO can grant a deferral of the obligation to implement some or all of the measures provided in the PIP until there are sufficient data to demonstrate the efficacy and safety of the product in adults. The obligation to provide pediatric clinical trial data can be waived entirely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EEA countries and study results in compliance with the PIP are included in the product information, even when those results are negative, the product may be eligible for a six-month extension to certain patent protections or, in the case of orphan medicinal products, a two-year extension of orphan market exclusivity.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1" w:name="page32"/>
    <w:bookmarkEnd w:id="3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Similar to the United States, both MA holders and manufacturers of medicinal products are subject to comprehensive regulatory oversight by the EMA, the European Commission and/or the competent regulatory authorities of the individual EEA countries and regional authorities within those countries. Legislation adopted at the EU level, such as Directives, may be implemented differently by individual EEA countries. Examples of post-approval requirements include the obligation on the holder of an MA to comply with a range of regulatory requirements applicable to the manufacturing, marketing, promotion and sale of medicinal products,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applicants for MA must include a risk management plan, or RMP, describing the risk management system that the company will put in place and documenting measures to prevent or minimize the risks associated with the product. The regulatory authorities may also impose risk-minimization measures or post-authorization obligations as a condition of the MA, which may include additional safety monitoring, more frequent submission of PSURs or the conduct of additional clinical trials or post-authorization safety studies.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of Medicinal Products in the EEA</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the EEA, the advertising and promotion of medicinal products are subject to both EU law and the national law of individual EEA countries governing promotion of medicinal products, interactions with physicians and other healthcare professionals, misleading and comparative advertising and unfair commercial practices. Although general requirements for advertising and promotion of medicinal products are established at the EU level, the details are governed by rules developed in individual EEA countries and can differ from one country to another. Examples of regulatory obligations include the requirement that promotional materials and advertising in relation to medicinal products comply with the product’s SmPC as approved by the competent authorities in connection with an MA. Promotional activity that does not comply with the SmPC is considered off-label and is prohibited in the EU. Direct-to-consumer advertising of prescription medicinal products is also prohibited in the EU.</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Marketed products in the EEA are subject to substantial continuing regulation. This includes, among other things, requirements relating to record-keeping, reporting of adverse experiences, periodic reporting, product sampling and distribution and advertising and promotion of the product. For example, much like the Anti-Kickback Statute prohibition in the United States, the provision of benefits or advantages to physicians to induce or encourage the prescription, recommendation, endorsement, purchase, supply, order or use of medicinal products is also prohibited in the EEA. The provision of benefits or advantages to physicians is governed by national laws, including anti-bribery laws, industry codes or professional codes of conduct and related national implementing laws. Payments made to physicians in certain EEA countries must also be publicly disclosed, and agreements with physicians are often the subject of prior notification and approval by the physician’s employer, his or her competent professional organization and/or the regulatory authorities of the individual EEA countries. Failure to comply with these requirements could result in reputational risk, public reprimands, administrative penalties, fines or imprisonment.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in the United Kingdom Following Brexit</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withdrawal of the UK from the EU, commonly referred to as “Brexit,” took effect on January 31, 2020. Pursuant to the formal withdrawal arrangements agreed between the UK and the EU, the UK was subject to a transition period that ended December 31, 2020, during which EU rules continued to apply. A Trade and Cooperation Agreement, or the TCA, that outlines the trading relationship between the UK and the EU entered into force provisionally in January 2021, and permanently since May 2021. The TCA primarily focuses on ensuring free trade between the EU and the UK in relation to goods, including medicinal products. Although the body of the TCA includes general terms which apply to medicinal products, greater detail on sector-specific issues is provided in an Annex. Under the TCA, Great Britain (England, Scotland and Wales) is be treated as a third country, except that Northern Ireland will, with regard to EU regulations on free movement of goods, continue to follow the EU regulatory rules. As part of the TCA, the EU and the UK will mutually recognize cGMP inspections and accept official cGMP documents. The UK has unilaterally agreed to accept EU batch testing and batch release. However, the EU continues to apply EU laws that require batch testing and batch release to take place in the EU. This means that medicinal products that are tested and released in the UK must be retested and re-released when entering the EU market for commercial use. The TCA also encourages, although it does not oblige, the parties to consult one another on proposals to introduce significant changes to technical regulations or inspection procedures.</w:t>
      </w:r>
    </w:p>
    <w:p>
      <w:pPr>
        <w:spacing w:after="0" w:line="9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With respect to MAs, Great Britain has a separate regulatory submission and approval process and a national MA implemented through its regulator, the Medicines and Healthcare products Regulatory Agency, 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2" w:name="page33"/>
    <w:bookmarkEnd w:id="3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MHRAs, with certain exceptions for Northern Ireland. Companies established in the UK can no longer use the Centralized Procedure for approval by the European Commission to obtain an MA to market products in the UK and instead must follow one of the UK national authorization procedures. Until the end of 2023, the MHRA may rely on a decision made by the European Commission on the approval of a new Centralized Procedure MA when deciding on an application for a Great Britain MA. Thereafter, a new international recognition process, which will take into consideration decisions made by the EMA and certain other regulatory authorities, is anticipated to be in place. The MHRA has also established its own decentralized or mutual recognition procedures enabling MAs approved in EU Member States through decentralized and mutual recognition procedures to be recognized in the United Kingdom or Great Britain. It is currently unclear to what extent the UK will seek to align its regulations with the EU in the future.</w:t>
      </w:r>
    </w:p>
    <w:p>
      <w:pPr>
        <w:spacing w:after="0" w:line="9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data exclusivity periods in the UK are currently in line with those in the EU, but the TCA provides that the periods for both data and market exclusivity are to be determined by domestic law, so there could be divergence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Privacy and Data Security Laws and Compliance Obligations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the ordinary course of our business, we may process personal or sensitive data. Accordingly, we are, or may become, subject to numerous obligations, including U.S. federal, state and local, as well as foreign, data privacy and security laws, regulations, guidance and industry standards, and other legal obligations related to privacy and data security. The regulatory framework with respect to data privacy and security is stringent and constantly evolving. For example, in addition to laws such as HIPAA that govern the processing of health information, we are or may become subject to numerous other data privacy and security laws and legal obligations, which may include laws such as the Federal Trade Commission Act, the California Consumer Privacy Act of 2018, or CCPA, the California Privacy Rights Act of 2020, or CPRA, and similar laws enacted or proposed in other states in the United States, the EU’s General Data Protection Regulation 2016/679, or EU GDPR, and the EU GDPR as it forms part of UK law by virtue of section 3 of the European Union (Withdrawal) Act 2018, or UK GDPR.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9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These laws and obligations impose on subject entities extensive, costly and complex compliance obligations, which may conflict or be inconsistent with one another, and violations may result in significant fines, penalties and other adverse consequences. 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Also, the CCPA provides for civil penalties and a private right of action for data breaches which may include an award of statutory damages. In addition, the CPRA, effective January 1, 2023, expanded the CCPA to, among other things, give California residents the ability to limit use of certain sensitive personal data, establish restrictions on personal data retention, expand the types of data breaches that are subject to the CCPA’s private right of action and establish a new California Privacy Protection Agency to implement and enforce the new law.</w:t>
      </w:r>
    </w:p>
    <w:p>
      <w:pPr>
        <w:spacing w:after="0" w:line="30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authorities and affected individuals; and mandating the appointment of representatives in the EU in certain circumstances. See “Risk Factors—Risks Related to Our Business and Industry” for additional information about the privacy and data security risks we may face, including in relation to the laws and regulations to which we are or may become subject.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 of the World Regulation</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For other countries outside of the EU, United Kingdom and the United States, such as countries in Eastern Europe, Latin America or Asia, the requirements governing the conduct of clinical trials, product licensing, pricing and reimbursement vary from country to country. Additionally, clinical trials must be conducted in accordance with cGCP requirements and the applicable regulatory requirements and the ethical principles that have their origin in the Declaration of Helsinki. Failure to comply with applicable foreign laws and regulatory requirements may result in, among other things, fines, suspension or withdrawal of regulatory approvals, product recalls, seizure of products and operating restrictions.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Laws and Regulations Governing International Operations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If we further expand our operations outside of the United States, we must dedicate additional resources to comply with numerous laws and regulations in each jurisdiction in which we plan to operate.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Likewise, the UK Bribery Act of 2010 applies to companies that carry on all or part of their business in the UK, and prohibits bribing another person or being bribed, bribing a foreign public official with the intent to influence and obtain or retain business or an advantage, and failure by a commercial party to prevent bribery, including where the prohibited conduct or its effects occurred entirely outside the UK.</w:t>
      </w:r>
    </w:p>
    <w:p>
      <w:pPr>
        <w:spacing w:after="0" w:line="9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Compliance with the FCPA and anti-corruption and anti-bribery laws in other countries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U.S. Securities and Exchange Commission, or SEC, also may suspend or bar issuers from trading securities on U.S. exchanges for violations of the FCPA’s accounting provisions.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Pricing and Reimbursement</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9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Coverage and reimbursement by a third-party payor may depend upon a number of factors, including the third-party payor’s determination that use of a therapeutic is:</w:t>
      </w:r>
    </w:p>
    <w:p>
      <w:pPr>
        <w:spacing w:after="0" w:line="84"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4" w:name="page35"/>
    <w:bookmarkEnd w:id="3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8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have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Before products become available to patients in the EEA, they are generally subject to decisions on pricing and reimbursement by the applicable authorities in a Member State. Key criteria to determine the reimbursement status and pricing of a product may include the product’s therapeutic value, medical need, safety and cost effectiveness. Obtaining pricing and reimbursement approval of a product from a government is a time-consuming and costly process, and significant uncertainty exists as to the pricing and reimbursement status of any product candidates for which we may seek marketing approval in the EEA. Our ability to commercialize any such products successfully in the EEA will depend, in part, on the outcome of these decisions.</w:t>
      </w:r>
    </w:p>
    <w:p>
      <w:pPr>
        <w:spacing w:after="0" w:line="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5" w:name="page36"/>
    <w:bookmarkEnd w:id="3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by the HTA of the specific medicinal product currently varies between EU Member States. In 2021 the European Union Parliament adopted the HTA regulation which, when it enters into application in 2025, will be intended to harmonize the clinical benefit assessment of HTA across the European Union. If we are unable to maintain favorable pricing and reimbursement status in EU Member States for product candidates that we may successfully develop and for which we may obtain regulatory approval, any anticipated revenue from and growth prospects for those products in the European Union could be negatively affected.</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Legislators, policymakers and healthcare insurance funds in the EU and the UK may continue to propose and implement cost-containing measures to keep healthcare costs down; particularly due to the financial strain that the COVID-19 pandemic has placed on national healthcare systems.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Reform</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95"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7"/>
          <w:szCs w:val="17"/>
          <w:color w:val="auto"/>
        </w:rPr>
        <w:t>The ultimate content, timing or effect of any healthcare reform legislation on the U.S. healthcare industry is unclear. For example, on August 16, 2022, President Biden signed the Inflation Reduction Act of 2022, or the IRA, into law, which among other things, (1) directs the U.S. Department of Health and Human Services, or HHS, to negotiate the price of certain single-source drugs and biologics covered under Medicare and</w:t>
      </w:r>
    </w:p>
    <w:p>
      <w:pPr>
        <w:spacing w:after="0" w:line="1" w:lineRule="exact"/>
        <w:rPr>
          <w:sz w:val="20"/>
          <w:szCs w:val="20"/>
          <w:color w:val="auto"/>
        </w:rPr>
      </w:pPr>
    </w:p>
    <w:p>
      <w:pPr>
        <w:jc w:val="both"/>
        <w:ind w:firstLine="3"/>
        <w:spacing w:after="0" w:line="259" w:lineRule="auto"/>
        <w:tabs>
          <w:tab w:leader="none" w:pos="262"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w:t>
      </w:r>
    </w:p>
    <w:p>
      <w:pPr>
        <w:spacing w:after="0" w:line="8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Further, in March 2010, the ACA was signed into law and has substantially changed healthcare financing and delivery by both governmental and private insurers. Among the ACA provisions of importance to the pharmaceutical and biotechnology industries are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There have been legal and political challenges to certain aspects of the ACA. For example, former President Trump signed several executive orders and other directives designed to delay, circumvent or loosen certain requirements mandated by the ACA. On June 17, 2021, the U.S. Supreme Court dismissed a challenge on procedural grounds that argued the ACA is unconstitutional in its entirety because the “individual mandate” was repealed by Congress. However, the ACA may be subject to judicial or Congressional challenges in the future. Additionally, on January 28, 2021,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 IRA,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w:t>
      </w:r>
    </w:p>
    <w:p>
      <w:pPr>
        <w:spacing w:after="0" w:line="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anticipate that the ACA,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6" w:name="page37"/>
    <w:bookmarkEnd w:id="3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healthcare reforms may prevent us from being able to generate revenue, attain profitability or commercialize our products.</w:t>
      </w:r>
    </w:p>
    <w:p>
      <w:pPr>
        <w:spacing w:after="0" w:line="11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legislation or regulation could be passed that could harm our business, financial condition and results of operations. Other legislative changes have been proposed and adopted since the ACA was enacted. Aggregate reductions to Medicare payments to providers of up to 2% per fiscal year, which went into effect beginning on April 1, 2013, will stay in effect through 2031 unless additional Congressional action is taken. Under current legislation. the actual reduction in Medicare payments will vary from 1% in 2022 to up to 4% in later years.</w:t>
      </w:r>
    </w:p>
    <w:p>
      <w:pPr>
        <w:spacing w:after="0" w:line="9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U.S. Congressional inquiries, presidential executive orders and proposed and enacted federal legislation designed to, among other things, bring more transparency to drug pricing, reduce the cost of prescription drugs under Medicare, review the relationship between pricing and manufacturer-patient programs and reform government program reimbursement methodologies for drugs. For example, in July 2021, the Biden administration released an executive order, “Promoting Competition in the American Economy,” with multiple provisions aimed at prescription drugs. In response to President Biden’s executive order, on September 9, 2021, the United States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Human Capital</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team of talented scientists and industry professionals is the foundation of our company and fuels our historical and prospective achievements for patients. We consider the intellectual capital of our employees to be an essential driver of our business and key to our future opportunities. As of December 31, 2022, we had 239 employees, of which approximately 155 (65%) were engaged in R&amp;D activities, 89 hold Ph.D. and/or M.D. degrees and an additional 52 hold a masters or other post-graduate degree. Every NGM team member plays a vital role in furthering our goals and impacting our progress towards fully realizing our mission to develop transformative therapies for patients.</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To succeed in our mission, we must attract, recruit, retain, develop and motivate qualified clinical, nonclinical, scientific, manufacturing, regulatory, management and other personnel needed to support our business and operations. We recruit for talent in the biotechnology and pharmaceutical industry in the San Francisco Bay Area, which is in one of the most competitive and highest cost labor markets in the United States and periodically experiences higher turnover rates than other industries. For example, in 2022, we continued to experience a challenging recruiting environment with relative high rates of employees leaving the company to pursue other opportunities, particularly in the first three quarters of the year. This turnover was mitigated by a robust recruiting effort, including extensive efforts to source and interview a talented and diverse pipeline of candidates. We maintain a comprehensive dashboard of measurements, including recruitment productivity, diversity, equity and inclusion metrics, employee engagement scores, total rewards benchmarking, participation rates and satisfaction scores for internal training, turnover rates and exit interview results, to guide our human capital management efforts.</w:t>
      </w:r>
    </w:p>
    <w:p>
      <w:pPr>
        <w:spacing w:after="0" w:line="9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believe that we can best address competitive challenges by enhancing the reputation of NGM as a great place to work, which includes nurturing our workplace culture, providing competitive compensation and benefits programs and supporting employee career development and related management training. To that end, we continue to invest resources and energy into being an employer of choice – attracting and engaging individuals who are innovative, curious, driven, diligent, collaborative and of the highest integrity and ethics. Some of our key efforts in this area and management of our human capital assets generally are described here.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Benefits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compensation philosophy is to provide pay and benefits that are competitive in the biotechnology and pharmaceutical industry where we compete for talent. We monitor our compensation programs closely and review them throughout the year to provide what we consider a very competitive mix of compensation and health, welfare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7" w:name="page38"/>
    <w:bookmarkEnd w:id="3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and retirement benefits for all our employees. Our compensation package for all employees includes market-competitive base salaries, eligibility for annual performance bonuses and equity grants. Our benefits programs include company-sponsored medical, dental and vision health care coverage, life and AD&amp;D insurance, a 401(k) plan with a matching employer contribution, paid time off and family leave and an employee stock purchase plan, among others benefits. Every year, we undertake a detailed review of our compensation by position and level and make adjustments necessary to ensure that we continue to provide competitive compensation. Our hiring practices and annual compensation reviews are designed to ensure fairness in pay equity across gender and ethnicity among similar roles and responsibilities throughout our organization, after accounting for legitimate business factors that can explain differences, such as performance, time at grade level, education and tenure. In conjunction with the California’s Pay Transparency law (SB 1162), beginning January 1, 2023, we will publish pay ranges in all job postings and we are proactively providing existing employees with the salary range for their positions. In addition, our efforts extend beyond pay equity to include fairness in gender and ethnic representation at all levels in the organization.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Diversity, Equity and Inclusion</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goal is to have a diverse, equitable and inclusive workforce – not just because it is the right thing to do, but because we believe this is key to our long-term success. As of December 31, 2022, NGM employed 136 women (57%) and 103 men (43%), and 59% of our employees self-identify as non-white, including 10% that are from traditionally underrepresented groups. Our leadership, including employees at or above the vice president level and members of our board of directors, includes 43% women and 22% who self-identify as non-white. To champion our efforts in this area, a cross-functional team of employees continues to drive our diversity, equity and inclusion initiatives that have focused on awareness and understanding; diverse candidate pipelines; community outreach; advocacy and career advancement; and business impact. Our efforts, which began in 2020 with a focus on anti-Black racism, have included mandatory unconscious bias and discrimination training, an employee-led diversity page on our intranet updated monthly with fresh content, voluntary participation in a program to encourage allyship, guest speaker programs on Diversity, Equity &amp; Inclusion, or DEI, topics, and conducting a survey to understand employee sentiment around race-related issues to establish a baseline for tracking future progress. We implemented an internship program targeted to students from underrepresented minorities and adopted specific quantitative efforts to provide the company with a diverse candidate pipeline and more diverse interview panels. In addition to internal efforts, our research employees volunteer to teach elementary school students various topics in biology.</w:t>
      </w:r>
    </w:p>
    <w:p>
      <w:pPr>
        <w:spacing w:after="0" w:line="9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2022, we engaged an external consultant with expertise in DEI to help conduct an assessment to understand where improvements could be made in our culture to drive equitable outcomes and foster an inclusive environment, with a particular focus on women scientists. The assessment included cross-organizational interviews, focus group discussions, a detailed review of our policies, programs and business norms, an all-employee inclusion survey and a review of organizational diversity metrics to determine what are the barriers to success and advancement of women and underrepresented groups. The project identified three areas of action that are being shared across the company, and we plan to begin to implement the recommendations in 2023. In addition, we supported an employee-led effort to develop our first employee resource group, N-GAGE (NGM Gathers to Advance Gender Equity). Since its inception, N-GAGE has supported the DEI assessment, created community spaces for engagement and discussions on current topics disproportionately affecting women, and incubated a company-wide mentorship and professional enrichment program starting with speed-mentoring events and guest speakers with a planned roll-out in 2023.</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 and Engagement</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believe that part of what sets NGM apart from other companies is our culture and, in particular, our focus on providing timely and transparent communications and creating a strong sense of belonging and inclusiveness. In 2022, after nearly two years of the COVID-19 pandemic, we were able to reinstate many of the traditions and celebrations that contribute to what makes NGM a special place to work: monthly themed happy hours; weekly group lunch programs, often with employee-led lunch-and-learns with scientific and other updates of interest; quarterly all-hands' meetings; regular coffee chats or other gatherings for small groups with our CEO and other members of senior management; and events including a summer family picnic, Thanksgiving potluck and holiday white elephant party, among many others.</w:t>
      </w:r>
    </w:p>
    <w:p>
      <w:pPr>
        <w:spacing w:after="0" w:line="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survey our employees each year to measure their level of engagement at NGM. Our employee engagement scores have remained relatively steady over the past three years, despite the challenges we faced through the COVID-19 pandemic and disappointing clinical trial readouts. These surveys provide rich feedback each year that helps us to continue to grow our culture and make NGM a great place to work.</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8" w:name="page39"/>
    <w:bookmarkEnd w:id="3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Wellness and Safety</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to specific support relating to health and safety during the COVID-19 pandemic, we continue other activities that continue to promote our employees' whole health and wellness, including an on-site gym, external support from our employee assistance program and mental wellness and health advocacy services.</w:t>
      </w:r>
    </w:p>
    <w:p>
      <w:pPr>
        <w:spacing w:after="0" w:line="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None of our employees is subject to a collective bargaining agreement or represented by a trade or labor union. We consider our relations with our employees to be good.</w:t>
      </w:r>
    </w:p>
    <w:p>
      <w:pPr>
        <w:spacing w:after="0" w:line="16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Corporate and Available Information</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w:t>
      </w:r>
    </w:p>
    <w:p>
      <w:pPr>
        <w:spacing w:after="0" w:line="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file or furnish electronically with the U.S. Securities and Exchange Commission, or the SEC, annual reports on Form 10-K, quarterly reports on Form 10-Q, current reports on Form 8-K and amendments to those reports filed or furnished pursuant to Section 13(a) or 15(d) of the Exchange Act. We make copies of these reports available free of charge through the “SEC Filings” tab on the “Investors &amp; Media” page of our website as soon as reasonably practicable after we file or furnish them with the SEC.</w:t>
      </w:r>
    </w:p>
    <w:p>
      <w:pPr>
        <w:spacing w:after="0" w:line="9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Information contained on or accessible through our website is not incorporated into, and does not form a part of, this Annual Report or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39" w:name="page40"/>
    <w:bookmarkEnd w:id="3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tab/>
        <w:t>Risk Factors.</w:t>
      </w:r>
    </w:p>
    <w:p>
      <w:pPr>
        <w:spacing w:after="0" w:line="21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Annual Report on Form 10-K, including in Part II, Item 7, “Management’s Discussion and Analysis of Financial Condition and Results of Operations” and in our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Annual Report on Form 10-K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spacing w:after="0" w:line="17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Risks Related to Our Financial Condition and Capital Needs</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have incurred net losses every year since our inception and have no source of product revenue. We expect to continue to incur significant operating losses and may never become profitable.</w:t>
      </w:r>
    </w:p>
    <w:p>
      <w:pPr>
        <w:spacing w:after="0" w:line="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no products approved for commercial sale and have not generated any revenue from product sales to date. As a result, we are not profitable and have incurred losses in each year since commencing operations. Our net losses were $162.7 million, $120.3 million and $102.5 million for the years ended December 31, 2022, 2021 and 2020, respectively. As of December 31, 2022, we had an accumulated deficit of $581.6 million.</w:t>
      </w:r>
    </w:p>
    <w:p>
      <w:pPr>
        <w:spacing w:after="0" w:line="2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 xml:space="preserve">We expect to continue to incur significant research and development, or R&amp;D, and other expenses related to our ongoing operations for the foreseeable future, particularly to fund R&amp;D of, and seek regulatory approvals for, our product candidates. We incurred substantial net operating losses in 2022 and expect to continue to incur significant operating losses in 2023 and over the next several years as our research, development, manufacturing, preclinical studies, clinical trial and related activities increase. We expect our accumulated deficit will also increase in future periods. The size of our future net losses will depend, in part, on the amount of our expenses and our ability to generate revenue. All of our revenue from recent periods has been provided under our collaboration with Merck Sharp &amp; Dohme LLC, or Merck, under the amended and restated research collaboration, product development and license agreement we entered into with Merck on June 30, 2021, or the Amended Collaboration Agreement. That revenue will be substantially lower in 2023 than in 2022 and prior years and minimal thereafter. See the risk factor titled </w:t>
      </w:r>
      <w:r>
        <w:rPr>
          <w:rFonts w:ascii="Arial" w:cs="Arial" w:eastAsia="Arial" w:hAnsi="Arial"/>
          <w:sz w:val="17"/>
          <w:szCs w:val="17"/>
          <w:i w:val="1"/>
          <w:iCs w:val="1"/>
          <w:color w:val="auto"/>
        </w:rPr>
        <w:t>“All of our</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for recent periods has been received from a single collaboration partner, and that revenue will be substantially lower going forward as compared to historical periods.”</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prior losses and expected future losses have had and will continue to have an adverse effect on our stockholders’ equity and working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capital.</w:t>
      </w:r>
    </w:p>
    <w:p>
      <w:pPr>
        <w:spacing w:after="0" w:line="11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w:t>
      </w:r>
    </w:p>
    <w:p>
      <w:pPr>
        <w:spacing w:after="0" w:line="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ability to generate any product revenue from our current or future product candidates also depends on a number of additional factors, including our ability or the ability of any potential future third-party partner to:</w:t>
      </w:r>
    </w:p>
    <w:p>
      <w:pPr>
        <w:spacing w:after="0" w:line="84" w:lineRule="exact"/>
        <w:rPr>
          <w:sz w:val="20"/>
          <w:szCs w:val="20"/>
          <w:color w:val="auto"/>
        </w:rPr>
      </w:pPr>
    </w:p>
    <w:p>
      <w:pPr>
        <w:ind w:left="620" w:hanging="307"/>
        <w:spacing w:after="0" w:line="26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successfully complete research and clinical development of current and future product candidates and obtain regulatory approval for those product candidates;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launch and commercialize any product candidates for which marketing approval is obtained, if any, and, if launched independently by us without a partner, successfully establish a sales force and marketing and distribution infrastructure;</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demonstrate the necessary safety data (and, if accelerated approval is obtained, verify the clinical benefit) post-approval to ensure continued regulatory approval;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0" w:name="page41"/>
    <w:bookmarkEnd w:id="4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 coverage and adequate product reimbursement from third-party payors, including government payors, for any approved products;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achieve market acceptance for any approved products;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maintain, protect and enforce our intellectual property rights;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11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w:t>
      </w:r>
    </w:p>
    <w:p>
      <w:pPr>
        <w:spacing w:after="0" w:line="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Even if we successfully complete development and regulatory processes for any product candidates that we take forward,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All of our revenue for recent periods has been received from a single collaboration partner, and that revenue will be substantially lower going forward as compared to historical periods.</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do not have any committed external source of funds, other than pursuant to our collaboration with Merck, which has provided us with substantial financial support since 2015. However, as described under “Management’s Discussion and Analysis of Financial Condition and Results of Operations—Overview of Our Business—Licensing and Collaboration Updates” in Part II, Item 7 of this Annual Report on Form 10-K, in 2023 the R&amp;D funding we receive from Merck under the collaboration will be substantially lower on an annual basis than the research funding previously provided by Merck. In this regard, for the period that started on January 1, 2023 and ends on March 31, 2024, we expect to receive funding of approximately $13.0 million in the aggregate from Merck for the ongoing activities under the Amended Collaboration Agreement and for certain costs and reimbursements related to the NGM621 program. Funding from Merck after December 31, 2023 is expected to be minimal.</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any event, we need to devote a substantial amount of our own financial resources to our R&amp;D programs, particularly with respect to our wholly-owned programs that now include all of our ophthalmology programs and, as described below, once Merck's termination of its license with respect to MK-3655 is effective, MK-3655 (NGM313). In addition, our funding requirements would increase for any preclinical programs that remain within the scope of the collaboration in the event Merck does not elect to license these programs and we decide to continue them, in the event Merck elects to terminate its license to any program it licenses and we decide to continue it or in the event we opt to co-develop any Merck-licensed programs. For example, as a result of Merck’s decision not to exercise its option to license NGM621 and its related compounds, as described below, NGM621 and its related compounds are now wholly-owned by us. Further development of NGM621 is primarily dependent on our ability to secure potential future collaboration, out licensing, partnering or other business development arrangements, or BD Arrangements, with third-party partners and, in the absence of such BD Arrangements, we are unlikely to be able to advance development of NGM621 unless our portfolio prioritization changes and we have access to the necessary capital to fund such development. In addition, as a result of Merck's decision to terminate its license to MK-3655 and its related compounds, once the termination is effective, the license rights granted to Merck in 2018 with respect to MK-3655 will revert to us and the program will become wholly-owned by us. Further development of MK-3655, once the termination is effective, is also primarily dependent on our ability to secure potential future BD Arrangements and, in the absence of such BD Arrangements, we are unlikely to be able to advance development of MK-3655 unless our portfolio prioritization changes and we have access to the necessary capital to fund such development.</w:t>
      </w:r>
    </w:p>
    <w:p>
      <w:pPr>
        <w:spacing w:after="0" w:line="30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Other than our Amended Collaboration Agreement with Merck, which is limited in scope and duration, and may be unilaterally terminated by Merck under certain circumstances, we are not party to any agreements that could provide us with future revenue. Accordingly, we will need to raise significant additional capital and we will need to enter into additional partnering arrangements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or abandon some or all of our product candidates or scale back or discontinue discovery efforts, which could have a material adverse effect on our business, operating results and prospects, or we may be required to cease operations altogether.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41" w:name="page42"/>
    <w:bookmarkEnd w:id="4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will need significant additional capital to proceed with development and commercialization of our current and potential future product candidates and our other operations. We may not be able to access sufficient capital on acceptable terms, if at all, and, as a result, we may be required to delay, scale back or discontinue development of such product candidates or other operations.</w:t>
      </w:r>
    </w:p>
    <w:p>
      <w:pPr>
        <w:spacing w:after="0" w:line="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an R&amp;D company, our operations have consumed substantial amounts of cash since inception, and we will require substantial additional capital to finance our operations and pursue our strategy, both in the short and the long term, and the amount of funding we will need depends on many factors, including:</w:t>
      </w:r>
    </w:p>
    <w:p>
      <w:pPr>
        <w:spacing w:after="0" w:line="89"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initiation, progress, timing, delays, costs and results of preclinical studies and clinical trials for our current and future product candidates;</w:t>
      </w:r>
    </w:p>
    <w:p>
      <w:pPr>
        <w:spacing w:after="0" w:line="62"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United States Food and Drug Administration, or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37"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37"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and timing of selecting, auditing and potentially validating a manufacturing site for later-stage clinical and commercial-scale manufacturing;</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 of products that may compete with our product candidates or other market developments;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 including product pricing and product reimbursement by third-party payors;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Merck exercises its option to license any preclinical candidates that remain within the scope of the collaboration at the license option point as specified in the Amended Collaboration Agreement for each such candidate;</w:t>
      </w:r>
    </w:p>
    <w:p>
      <w:pPr>
        <w:spacing w:after="0" w:line="32" w:lineRule="exact"/>
        <w:rPr>
          <w:rFonts w:ascii="Arial" w:cs="Arial" w:eastAsia="Arial" w:hAnsi="Arial"/>
          <w:sz w:val="17"/>
          <w:szCs w:val="17"/>
          <w:color w:val="auto"/>
        </w:rPr>
      </w:pPr>
    </w:p>
    <w:p>
      <w:pPr>
        <w:jc w:val="both"/>
        <w:ind w:left="62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Merck terminates the research phase of the collaboration under pre-specified circumstances set forth in the Amended Collaboration Agreement or terminates a program that it has licensed, such as its decision to terminate its license for MK-3655 and its related compounds;</w:t>
      </w:r>
    </w:p>
    <w:p>
      <w:pPr>
        <w:spacing w:after="0" w:line="238"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potentially acquiring, licensing or investing in additional businesses, products, product candidates and technologies; and</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of our product candidates for which we may receive regulatory approval and that we determine to commercialize ourselves or in collaboration with partners.</w:t>
      </w:r>
    </w:p>
    <w:p>
      <w:pPr>
        <w:spacing w:after="0" w:line="8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believe that our existing cash, cash equivalents and short-term marketable securities will be sufficient to fund our operations for at least the twelve months from the date of filing of this Annual Report on Form 10-K. Moreover, based on our current development plans and related assumptions, we believe our current cash position is sufficient to fund our key solid tumor oncology programs through generation of proof-of-concept data. We have based these estimates on plans and assumptions that may prove to be insufficient or inaccurate (for example, with respect to anticipated costs, timing or success of certain activities),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pacing w:after="0" w:line="92"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7"/>
          <w:szCs w:val="17"/>
          <w:color w:val="auto"/>
        </w:rPr>
        <w:t>We plan to finance our future cash needs through public or private equity or debt offerings, including under the Open Market Sale Agreement</w:t>
      </w:r>
      <w:r>
        <w:rPr>
          <w:rFonts w:ascii="Arial" w:cs="Arial" w:eastAsia="Arial" w:hAnsi="Arial"/>
          <w:sz w:val="22"/>
          <w:szCs w:val="22"/>
          <w:color w:val="auto"/>
          <w:vertAlign w:val="superscript"/>
        </w:rPr>
        <w:t>SM</w:t>
      </w:r>
      <w:r>
        <w:rPr>
          <w:rFonts w:ascii="Arial" w:cs="Arial" w:eastAsia="Arial" w:hAnsi="Arial"/>
          <w:sz w:val="17"/>
          <w:szCs w:val="17"/>
          <w:color w:val="auto"/>
        </w:rPr>
        <w:t>, or the Sales Agreement, we entered into with Jefferies LLC in June 2020, BD Arrangements or a combination of these potential financing sources. Additional capital may not be available in sufficient amounts, on reasonable terms or when we need it, if at all. While the long-term economic impact of either the COVID-19 pandemic or the conflict between Russia and Ukraine is difficult to assess or predict, each of these events has caused significant disruptions to the global financial markets and contributed to a general global economic slowdown. Furthermore, inflation rates, particularly in the United States and the U.K.,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2" w:name="page43"/>
    <w:bookmarkEnd w:id="4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and heighten these risks. If the financial market disruptions and economic slowdown deepen or persist, we may not be able to access additional capital on favorable terms, or at all, which could in the future negatively affect our financial condition and our ability to pursue our business strategy.</w:t>
      </w:r>
    </w:p>
    <w:p>
      <w:pPr>
        <w:spacing w:after="0" w:line="84"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If adequate funds are not available from public or private equity or debt offerings on acceptable terms when needed, in order to continue the development of product candidates outside of the scope of the collaboration with Merck we may need to:</w:t>
      </w:r>
    </w:p>
    <w:p>
      <w:pPr>
        <w:spacing w:after="0" w:line="84" w:lineRule="exact"/>
        <w:rPr>
          <w:sz w:val="20"/>
          <w:szCs w:val="20"/>
          <w:color w:val="auto"/>
        </w:rPr>
      </w:pPr>
    </w:p>
    <w:p>
      <w:pPr>
        <w:ind w:left="620" w:hanging="307"/>
        <w:spacing w:after="0" w:line="265"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seek strategic alliances for R&amp;D programs when we otherwise would not, at an earlier stage than we would otherwise desire or on terms less favorable than might otherwise be available; or</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18"/>
        </w:numPr>
        <w:rPr>
          <w:rFonts w:ascii="Arial" w:cs="Arial" w:eastAsia="Arial" w:hAnsi="Arial"/>
          <w:sz w:val="17"/>
          <w:szCs w:val="17"/>
          <w:color w:val="0E32E1"/>
        </w:rPr>
      </w:pPr>
      <w:r>
        <w:rPr>
          <w:rFonts w:ascii="Arial" w:cs="Arial" w:eastAsia="Arial" w:hAnsi="Arial"/>
          <w:sz w:val="17"/>
          <w:szCs w:val="17"/>
          <w:color w:val="auto"/>
        </w:rPr>
        <w:t>enter into BD Arrangements that could require us to relinquish, or license, on potentially unfavorable terms, our rights to intellectual property, product candidates or products that we otherwise would develop or seek to commercialize ourselves.</w:t>
      </w:r>
    </w:p>
    <w:p>
      <w:pPr>
        <w:spacing w:after="0" w:line="8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this regard, due to the need to conserve capital and prioritize focused execution, we are actively seeking, or intend to seek, BD Arrangements with third-party partners with sufficient resources and relevant domain expertise in order to further the clinical development, if any, of NGM621, aldafermin, NGM936 and, once termination of Merck's license is effective, MK-3655. Further development of these programs, which are in therapeutic areas where clinical development is relatively resource intensive and can have long timelines to generate proof-of-concept data, is primarily dependent on our ability to secure potential future BD Arrangements. However, we may not be able to enter into such BD Arrangements on acceptable terms, if at all. We face significant competition in seeking appropriate partners. Whether we reach a definitive agreement for a BD Arrangement will depend, among other things, upon the potential partner’s evaluation of the subject product candidate and its market opportunity, our assessment of the partner’s resources and expertise and the terms and conditions of the potential BD Arrangement. In the absence of such BD Arrangements for these programs, we are unlikely to be able to advance their development unless our portfolio prioritization changes and we have access to the necessary capital to fund such development.</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are also restricted under our existing Amended Collaboration Agreement with Merck, and may be restricted under future BD Arrangements, from entering into additional agreements on certain terms with potential partners.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9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may not be able to raise adequate additional capital or negotiate potential future BD Arrangements on a timely basis, on acceptable terms or at all. If we are unable to do so, we may need to significantly delay, scale back or discontinue development of or abandon some or all of our product candidates, or scale back or discontinue discovery research efforts, which could have a material adverse effect on our business, operating results and prospects, or we may be required to cease operations altogether.</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Our ability to raise capital may be adversely impacted by the trading prices of our common stock following the announcement in October 2022 that the CATALINA trial did not meet its primary endpoint.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43" w:name="page44"/>
    <w:bookmarkEnd w:id="4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Funding from Merck under the collaboration after December 31, 2023 is expected to be minimal, and we may never realize the anticipated benefits to us of the collaboration.</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described in more detail under “Business—Licensing and Collaboration Arrangements—Merck Collaboration” in Part I, Item 1 of this Annual Report on Form 10-K and under “Management’s Discussion and Analysis of Financial Condition and Results of Operations—Overview of Our Business—Business Development and Merck Collaboration Updates” in Part II, Item 7 of this Annual Report on Form 10-K, our continuing Merck collaboration involves a complex allocation of rights, provides for certain limited R&amp;D funding and, for remaining collaboration preclinical candidates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share arrangement with the possibility that we would provide sales representatives to co-detail the product candidates that Merck elects to advance in the United States.</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level of R&amp;D funding we expect to receive from Merck will be limited and substantially lower on an annual basis than the funding previously provided by Merck. In this regard, for the period that started on January 1, 2023 and ends on March 31, 2024, we expect to receive funding of approximately $13.0 million in the aggregate from Merck for the ongoing activities under the Amended Collaboration Agreement and for certain costs and reimbursements related to the NGM621 program. Funding from Merck after December 31, 2023 is expected to be minimal.</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in January 2023, we announced that Merck notified us of its decision to terminate the Phase 2b trial of MK-3655 in patients with nonalcoholic steatohepatitis, or NASH, and liver fibrosis stage 2 or 3, or F2/F3, and Merck subsequently provided us with the required 90-days' notice of partial termination of the Amended Collaboration Agreement as it relates to MK-3655 and its related compounds. As a result, in late April 2023, the license rights granted to Merck in 2018 with respect to MK-3655 will revert to us and the program will become wholly-owned by us. Further development of MK-3655, once the termination is effective, is primarily dependent on our ability to secure potential future BD Arrangements and, in the absence of such BD Arrangements, we are unlikely to be able to advance development of MK-3655 unless our portfolio prioritization changes and we have access to the necessary capital to fund such development.</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Similarly, in October 2022, we announced that our Phase 2 CATALINA trial evaluating NGM621 in patients with geographic atrophy, or GA, secondary to age-related macular degeneration, or AMD, did not meet its primary endpoint and, in December 2022, Merck notified us that it would not exercise its option to license NGM621 and its related compounds or the related ophthalmology bundle option and, as a result, those options expired unexercised in January 2023. Further, Merck did not elect for us to continue to conduct R&amp;D on any compounds from our other ophthalmology programs that were subject to the collaboration, which are preclinical and directed to undisclosed targets. Such an election would have resulted in an extended or tail period in which Merck would continue to fund our R&amp;D of such ophthalmology compounds. Because Merck did not make such an election, we do not have any funding from Merck to pursue such ophthalmology programs after we complete certain wind down activities related to NGM621, and if we choose to develop these programs further, we will be responsible for funding them. As a result, while our ophthalmology programs, including NGM621, are now wholly-owned by us, further development of those programs is primarily dependent on our ability to secure potential future BD Arrangements and, in the absence of such BD Arrangements, we are unlikely to be able to advance development of NGM621 or the preclinical ophthalmology programs unless our portfolio prioritization changes and we have access to the necessary capital to fund such development.</w:t>
      </w:r>
    </w:p>
    <w:p>
      <w:pPr>
        <w:spacing w:after="0" w:line="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do not know whether Merck will elect to exercise its option to license any CVM-related preclinical candidates that remain subject to the collaboration. Accordingly, the anticipated benefits to us of the collaboration with Merck may never be realized and it possible that the Amended Collaboration Agreement will be terminated without Merck exercising its option to license any other programs or product candidates.</w:t>
      </w:r>
    </w:p>
    <w:p>
      <w:pPr>
        <w:spacing w:after="0" w:line="8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Moreover, under the Amended Collaboration Agreement, Merck has the unilateral right to terminate all or part of the agreement at certain times and under certain circumstances. Merck also may unilaterally terminate its R&amp;D funding for programs that remain within the scope of the collaboration if we are acquired by a third party or in the event of an uncured material breach by us. Subject to certain limitations, Merck may partially terminate the Amended Collaboration Agreement for convenience as it relates to any future licensed program, as they did with respect to MK-3655 in January 2023 (effective in late April 2023) and with respect to our growth differentiation factor 15, or GDF15, agonist program, which included product candidates NGM395 and NGM386, in 2019. Merck may also unilaterally terminate the Amended Collaboration Agreement as it relates to its rights to research and develop</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4" w:name="page45"/>
    <w:bookmarkEnd w:id="4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If Merck terminates funding or terminates the Amended Collaboration Agreement, it could delay or preclude our ability to further our CVM-related research programs, which could materially and adversely affect our business. In addition, in the event that Merck decides to take over any CVM-related preclinical candidates that remain within the scope of the collaboration for development during any tail period, or exercises its license option for any such preclinical candidate, we could be subject to disputes with Merck with respect to their obligation to use commercially 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spacing w:after="0" w:line="175"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b w:val="1"/>
          <w:bCs w:val="1"/>
          <w:i w:val="1"/>
          <w:iCs w:val="1"/>
          <w:color w:val="auto"/>
        </w:rPr>
        <w:t>We may depend in the future on BD Arrangements with third-party partners for the development and commercialization of our product candidates and for revenue. If we are unable to secure those BD Arrangements on beneficial terms, if at all, or if any such future arrangements are not successful, we may not be able to capitalize on the market potential of our product candidates or continue their development.</w:t>
      </w:r>
    </w:p>
    <w:p>
      <w:pPr>
        <w:spacing w:after="0" w:line="8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Pursuing BD arrangements has been and is expected to continue to be a key component of our strategy, and we are actively seeking, or intend to seek, BD Arrangements with third-party partners to progress, in whole or in part, the development of one or more of our product candidates. While we may opportunistically consider BD Arrangements to advance development of our key solid tumor oncology programs, the further development of other programs in our pipeline, including NGM621, aldafermin, NGM936 and, once termination of Merck's license is effective, MK-3655, is primarily dependent on our ability to secure potential future BD Arrangements for these programs. Due to the need to conserve capital and prioritize focused execution and unless our portfolio prioritization changes, if we are unable to secure BD Arrangements for these programs on beneficial terms, if at all, we are unlikely to be able to advance their development unless our portfolio prioritization changes and may discontinue or abandon any or all of these programs altogether, in which case we will not realize any return on our investments in these programs. Even if we are successful in entering into any BD Arrangements with third-party partners for our programs, we will likely have limited control over the amount and timing of resources that our partners dedicate to the development or commercialization of the applicable product candidates. Our ability to generate revenue from any such arrangement will depend on the specific financial terms we reach with any partner, as well as each of our partners’ abilities to successfully perform the functions assigned to them in such arrangement towards developing, seeking regulatory approval for and commercializing our product candidates.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BD Arrangements involving our product candidates pose risks to us, including the following:</w:t>
      </w:r>
    </w:p>
    <w:p>
      <w:pPr>
        <w:spacing w:after="0" w:line="114" w:lineRule="exact"/>
        <w:rPr>
          <w:sz w:val="20"/>
          <w:szCs w:val="20"/>
          <w:color w:val="auto"/>
        </w:rPr>
      </w:pPr>
    </w:p>
    <w:p>
      <w:pPr>
        <w:jc w:val="both"/>
        <w:ind w:left="620" w:hanging="307"/>
        <w:spacing w:after="0" w:line="256"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Partners have significant discretion in determining the efforts and resources that they will apply to these arrangements. For example, under the terms of the collaboration with Merck, if Merck exercises its option to acquire an exclusive license for any CVM-related preclinical candidate that remains within the scope of the collaboration, our ability to influence the resources Merck devotes to such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spacing w:after="0" w:line="40" w:lineRule="exact"/>
        <w:rPr>
          <w:rFonts w:ascii="Arial" w:cs="Arial" w:eastAsia="Arial" w:hAnsi="Arial"/>
          <w:sz w:val="17"/>
          <w:szCs w:val="17"/>
          <w:color w:val="auto"/>
        </w:rPr>
      </w:pPr>
    </w:p>
    <w:p>
      <w:pPr>
        <w:jc w:val="both"/>
        <w:ind w:left="620" w:hanging="307"/>
        <w:spacing w:after="0" w:line="254"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Partners might opt not to pursue development and commercialization of our product candidates or not to continue or renew development or commercialization programs based on clinical trial results, changes in the partner’s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we entered into with Merck in 2015. In addition, under the terms of the Amended Collaboration Agreement, it is possible for Merck to unilaterally terminate and any other future licensed program, if any, (whether or not we have exercised our cost and profit share option) upon prior written notice, such as it did for NGM386 and NGM395 in 2019 and most recently in its notice of termination for MK-3655 (effective late April 2023), without triggering a termination of the remainder of the Amended Collaboration Agreement. Moreover, Merck might also opt not to designate any collaboration preclinical candidates for further development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5" w:name="page46"/>
    <w:bookmarkEnd w:id="4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spacing w:after="0" w:line="265" w:lineRule="auto"/>
        <w:rPr>
          <w:sz w:val="20"/>
          <w:szCs w:val="20"/>
          <w:color w:val="auto"/>
        </w:rPr>
      </w:pPr>
      <w:r>
        <w:rPr>
          <w:rFonts w:ascii="Arial" w:cs="Arial" w:eastAsia="Arial" w:hAnsi="Arial"/>
          <w:sz w:val="17"/>
          <w:szCs w:val="17"/>
          <w:color w:val="auto"/>
        </w:rPr>
        <w:t>during the tail period following the end of the research phase or exercise any of its options to acquire a license to a product candidate, as it did with respect to the preclinical ophthalmology product candidates.</w:t>
      </w:r>
    </w:p>
    <w:p>
      <w:pPr>
        <w:spacing w:after="0" w:line="32" w:lineRule="exact"/>
        <w:rPr>
          <w:sz w:val="20"/>
          <w:szCs w:val="20"/>
          <w:color w:val="auto"/>
        </w:rPr>
      </w:pPr>
    </w:p>
    <w:p>
      <w:pPr>
        <w:jc w:val="both"/>
        <w:ind w:left="620" w:hanging="307"/>
        <w:spacing w:after="0" w:line="25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Partners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spacing w:after="0" w:line="37"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Partners could independently develop, or develop with third parties, products that compete directly or indirectly with our product candidates if the partners believe that competitive products are more likely to be successfully developed or can be commercialized under terms that are more economically attractive than ours.</w:t>
      </w:r>
    </w:p>
    <w:p>
      <w:pPr>
        <w:spacing w:after="0" w:line="37"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partner with marketing and distribution rights might not commit sufficient resources to the marketing and distribution of our product candidates.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Partners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Disputes may arise between the partners and us that result in the delay or termination of the research, development or commercialization of our product candidates or that result in costly litigation or arbitration that diverts management attention and resources.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BD Arrangements, including, in the case of our collaboration with Merck, if we undergo a change in control.</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BD Arrangements might be terminated and, if terminated, may result in a need for additional capital to pursue further development or commercialization of the applicable product candidates.</w:t>
      </w:r>
    </w:p>
    <w:p>
      <w:pPr>
        <w:spacing w:after="0" w:line="32"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BD Arrangements might not lead to development or commercialization of product candidates in the most efficient manner, or at all. If a present or future partner of ours were to be involved in a business combination, the continued pursuit and emphasis on our product development or commercialization program under such arrangement could be delayed, diminished or terminated.</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may not be able to obtain and maintain the relationships with third parties that are necessary to develop, commercialize and manufacture some or all of our product candidates.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 xml:space="preserve">In addition to our dependence on any potential future partners,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rFonts w:ascii="Arial" w:cs="Arial" w:eastAsia="Arial" w:hAnsi="Arial"/>
          <w:sz w:val="17"/>
          <w:szCs w:val="17"/>
          <w:i w:val="1"/>
          <w:iCs w:val="1"/>
          <w:color w:val="auto"/>
        </w:rPr>
        <w:t>“We rely completely on CMOs for the manufacture of our product candidates, and we are subject to many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manufacturing risks, any of which could substantially increase our costs and limit supply of our product candidates and any future products" </w:t>
      </w:r>
      <w:r>
        <w:rPr>
          <w:rFonts w:ascii="Arial" w:cs="Arial" w:eastAsia="Arial" w:hAnsi="Arial"/>
          <w:sz w:val="17"/>
          <w:szCs w:val="17"/>
          <w:color w:val="auto"/>
        </w:rPr>
        <w:t>and</w:t>
      </w:r>
      <w:r>
        <w:rPr>
          <w:rFonts w:ascii="Arial" w:cs="Arial" w:eastAsia="Arial" w:hAnsi="Arial"/>
          <w:sz w:val="17"/>
          <w:szCs w:val="17"/>
          <w:i w:val="1"/>
          <w:iCs w:val="1"/>
          <w:color w:val="auto"/>
        </w:rPr>
        <w:t xml:space="preserve"> “We have no experience in sales, marketing and distribution and may have to enter into agreements with third parties to perform these functions, which could prevent us from successfully commercializing our product candidates.”</w:t>
      </w:r>
    </w:p>
    <w:p>
      <w:pPr>
        <w:spacing w:after="0" w:line="96"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cannot guarantee that we or, as applicable, any of our partners will be able to successfully negotiate agreements for, and maintain relationships with, third-party partners and service providers on favorable terms, if at all. If we or any of our partners are unable to obtain and maintain these agreements, we may not be able to clinically develop, formulate, manufacture, obtain regulatory approvals for or commercialize our product candidates, which will, in turn, adversely affect our business. If we or any of our partners need to enter into alternative arrangements, it would delay our product development and, if applicable, commercialization activities and such alternative arrangements may not be available on terms acceptable to us.</w:t>
      </w:r>
    </w:p>
    <w:p>
      <w:pPr>
        <w:spacing w:after="0" w:line="9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partners will devote to our R&amp;D programs, product candidates or potential product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6" w:name="page47"/>
    <w:bookmarkEnd w:id="4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rely completely on CMOs for the manufacture of our product candidates, and we are subject to many manufacturing risks, any of which could substantially increase our costs and limit supply of our product candidates and any future products.</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spacing w:after="0" w:line="89" w:lineRule="exact"/>
        <w:rPr>
          <w:sz w:val="20"/>
          <w:szCs w:val="20"/>
          <w:color w:val="auto"/>
        </w:rPr>
      </w:pPr>
    </w:p>
    <w:p>
      <w:pPr>
        <w:ind w:left="620" w:hanging="307"/>
        <w:spacing w:after="0" w:line="26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product loss or other negative consequences due to contamination, equipment failure, improper installation or operation of equipment, vendor or operator error, shortages of qualified personnel or improper delivery or storage conditions;</w:t>
      </w:r>
    </w:p>
    <w:p>
      <w:pPr>
        <w:spacing w:after="0" w:line="32"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spacing w:after="0" w:line="37"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negative consequences of failure to comply with strictly enforced federal, state and foreign regulations;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minor deviations from normal manufacturing processes, which have in the past and may in the future result in reduced production yields, product defects and other supply disruptions;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negative consequences of our CMOs’ failure to qualify upon an audit by regulatory authorities, by us or by our partners;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7" w:name="page48"/>
    <w:bookmarkEnd w:id="4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307"/>
        <w:spacing w:after="0" w:line="265"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CMOs’ changing strategies and business priorities, which can affect the availability of facilities where we intend to manufacture our product candidates; and</w:t>
      </w:r>
    </w:p>
    <w:p>
      <w:pPr>
        <w:spacing w:after="0" w:line="32"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CMOs’ manufacturing facilities being adversely affected by labor, raw material and component shortages, turnover of qualified staff or financial difficulties of their owners or operators, including as a result of the effects of the ongoing COVID-19 pandemic, or by natural disasters, power failures, local political unrest or other factors.</w:t>
      </w:r>
    </w:p>
    <w:p>
      <w:pPr>
        <w:spacing w:after="0" w:line="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spacing w:after="0" w:line="8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transfer of our small-scale manufacturing processes to CMOs for scale up and validation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 addition, for out of specification materials, we may need to undertake costly remediation efforts or manufacture new batches at considerable cost and time delays or, in the longer run, seek more expensive manufacturing alternatives.</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investigational new drug application, or IND,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8" w:name="page49"/>
    <w:bookmarkEnd w:id="4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spacing w:after="0" w:line="96"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 xml:space="preserve">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 w:cs="Arial" w:eastAsia="Arial" w:hAnsi="Arial"/>
          <w:sz w:val="17"/>
          <w:szCs w:val="17"/>
          <w:i w:val="1"/>
          <w:iCs w:val="1"/>
          <w:color w:val="auto"/>
        </w:rPr>
        <w:t>“Our business could be materially and adversely affected in the future by the effects of disease outbreaks,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epidemics and pandemics, including the COVID-19 pandemic.” </w:t>
      </w:r>
      <w:r>
        <w:rPr>
          <w:rFonts w:ascii="Arial" w:cs="Arial" w:eastAsia="Arial" w:hAnsi="Arial"/>
          <w:sz w:val="17"/>
          <w:szCs w:val="17"/>
          <w:color w:val="auto"/>
        </w:rPr>
        <w:t>Changes in economic conditions, supply chain constraints, labor, raw material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shortages and steps taken by governments and central banks, particularly in response to the COVID-19 pandemic as well as other stimulus and spending programs, could also lead to higher inflation than previously experienced or expected, which could, in turn, lead to an increase in costs.</w:t>
      </w:r>
    </w:p>
    <w:p>
      <w:pPr>
        <w:spacing w:after="0" w:line="2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product candidates other than NGM621 and aldafermin are currently solely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9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if any, or for which Merck decides not to exercise its license option, we must either develop our own sales, marketing and distribution capabilities or make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49" w:name="page50"/>
    <w:bookmarkEnd w:id="4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spacing w:after="0" w:line="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spacing w:after="0" w:line="89"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ongoing discussions with the FDA or comparable foreign health authorities regarding the scope or design of our clinical trials;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obtaining, or the inability to obtain, required approvals from IRBs and ethics committees or other governing entities at clinical trial sites selected for participation in our clinical trials;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patient enrollment and other key trial activities, including as a result of the effects of the ongoing COVID-19 pandemic and of the significant competition for recruiting patients with cancer in clinical trials;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CROs and the failure of CROs, testing laboratories and other third parties to satisfy their contractual duties to us or meet expected deadlines;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deviations from the trial protocol by clinical trial sites and investigators, or failures to conduct the trial in accordance with regulatory requirements;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lower than anticipated retention rates of participants in clinical trials, including patients dropping out due to side effects, disease progression or concerns about the COVID-19 pandemic;</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of enrolled patients to complete treatment or to return for post-treatment follow-up;</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implementation of new, or changes to, guidance or interpretations from the FDA or comparable foreign health authorities with respect to approval pathways for product candidates we are pursuing;</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need to repeat clinical trials as a result of inconclusive or negative results, poorly executed testing or changes in required endpoints;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withdrawal of clinical trial sites or investigators from our clinical trials for any reason, including as a result of changing standards of care or the ineligibility of a site to participate in our clinical trials;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FDA or comparable foreign health authority inspection or review of a clinical trial site or records of any clinical or preclinical investigation;</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drug-related adverse effects or tolerability issues experienced by participants in our clinical trials;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government regulations or administrative actions;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hire and retain key R&amp;D personnel; or</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placement of a clinical hold on a trial by the FDA or comparable foreign health authorities.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0" w:name="page51"/>
    <w:bookmarkEnd w:id="5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3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w:t>
      </w:r>
    </w:p>
    <w:p>
      <w:pPr>
        <w:spacing w:after="0" w:line="8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product candidates are in early stages of development, with our most advanced product candidates only in Phase 2 development. Before obtaining marketing approval from health authorities for the sale of our product candidates, we or our partners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there is a high failure rate for drugs and biologic products proceeding through clinical trials and failure can occur at any stage of testing. For example, despite the results of preclinical and Phase 1 studies of NGM621, our Phase 2 CATALINA clinical trial evaluating NGM621 in patients with GA secondary to AMD did not meet its primary endpoint. Since Merck did not elect to exercise its option to license NGM621 and its related compounds, further development of NGM621 is primarily dependent on our ability to secure potential future BD Arrangements and, in the absence of such BD Arrangements, we are unlikely to be able to advance development of NGM621 unless our portfolio prioritization changes and we have access to the necessary capital to fund such development.</w:t>
      </w:r>
    </w:p>
    <w:p>
      <w:pPr>
        <w:spacing w:after="0" w:line="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Similarly, our Phase 2b ALPINE 2/3 trial evaluating aldafermin in patients with F2/F3 NASH did not meet its primary endpoint and, as a result, we decided to suspend further development of aldafermin in patients with F2/F3 NASH, allowing for the reallocation of resources to advancing our other programs. While we continued, and have completed, enrollment in our Phase 2b ALPINE 4 clinical trial of aldafermin in patients with compensated cirrhosis due to NASH (liver fibrosis stage 4, or F4, by the NASH Clinical Research Network classification), we updated the design of the ALPINE 4 trial, elevating the Enhanced Liver Fibrosis, or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 For more information, refer to the risk factor titled “</w:t>
      </w:r>
      <w:r>
        <w:rPr>
          <w:rFonts w:ascii="Arial" w:cs="Arial" w:eastAsia="Arial" w:hAnsi="Arial"/>
          <w:sz w:val="17"/>
          <w:szCs w:val="17"/>
          <w:i w:val="1"/>
          <w:iCs w:val="1"/>
          <w:color w:val="auto"/>
        </w:rPr>
        <w:t>Aldafermin is, and MK-3655 was, being</w:t>
      </w:r>
      <w:r>
        <w:rPr>
          <w:rFonts w:ascii="Arial" w:cs="Arial" w:eastAsia="Arial" w:hAnsi="Arial"/>
          <w:sz w:val="17"/>
          <w:szCs w:val="17"/>
          <w:color w:val="auto"/>
        </w:rPr>
        <w:t xml:space="preserve"> </w:t>
      </w:r>
      <w:r>
        <w:rPr>
          <w:rFonts w:ascii="Arial" w:cs="Arial" w:eastAsia="Arial" w:hAnsi="Arial"/>
          <w:sz w:val="17"/>
          <w:szCs w:val="17"/>
          <w:i w:val="1"/>
          <w:iCs w:val="1"/>
          <w:color w:val="auto"/>
        </w:rPr>
        <w:t>developed, for the treatment of NASH, an indication for which there are no approved products. This makes it difficult to predict the timing, cost and potential success of their continued clinical development, if any, and regulatory approval for the treatment of NASH, or otherwise.</w:t>
      </w:r>
      <w:r>
        <w:rPr>
          <w:rFonts w:ascii="Arial" w:cs="Arial" w:eastAsia="Arial" w:hAnsi="Arial"/>
          <w:sz w:val="17"/>
          <w:szCs w:val="17"/>
          <w:color w:val="auto"/>
        </w:rPr>
        <w:t>”</w:t>
      </w:r>
    </w:p>
    <w:p>
      <w:pPr>
        <w:spacing w:after="0" w:line="9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1" w:name="page52"/>
    <w:bookmarkEnd w:id="5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8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may also not be successful in generating clinical data sufficient to differentiate our product candidates from other products in the same therapeutic area. If our competitors' products are, or are perceived to be, more effective, more convenient, less costly or safer than our products, or we are unable to demonstrate differentiation in any of those factors, we may not be able to achieve a competitive position in the market. For more information, refer to the risk factor titled “</w:t>
      </w:r>
      <w:r>
        <w:rPr>
          <w:rFonts w:ascii="Arial" w:cs="Arial" w:eastAsia="Arial" w:hAnsi="Arial"/>
          <w:sz w:val="17"/>
          <w:szCs w:val="17"/>
          <w:i w:val="1"/>
          <w:iCs w:val="1"/>
          <w:color w:val="auto"/>
        </w:rPr>
        <w:t>We face substantial competition, which may result in others discovering, developing or commercializing</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before or more successfully than us."</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partners to develop drugs that regulatory authorities deem effective and safe in humans, we will not have a viable business.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 in preclinical studies or earlier-stage clinical trials may not be indicative of results in future clinical trials.</w:t>
      </w:r>
    </w:p>
    <w:p>
      <w:pPr>
        <w:spacing w:after="0" w:line="134"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7"/>
          <w:szCs w:val="17"/>
          <w:color w:val="auto"/>
        </w:rPr>
        <w:t>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the data supporting our drug discovery and development programs are derived from laboratory and preclinical studies, and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despite the results of preclinical and Phase 1 studies of NGM621, our Phase 2 CATALINA clinical trial evaluating NGM621 in patients with GA secondary to AMD did not meet its primary endpoint. Similarly, in spite of the results we had obtained in our Phase 1 trials of aldafermin and in our first Phase 2 trial, in May 2021, we announced that our Phase 2b ALPINE 2/3 trial evaluating aldafermin in patients with F2/F3 NASH did not meet its primary endpoint. For more information, refer to the risk factor titled “</w:t>
      </w:r>
      <w:r>
        <w:rPr>
          <w:rFonts w:ascii="Arial" w:cs="Arial" w:eastAsia="Arial" w:hAnsi="Arial"/>
          <w:sz w:val="17"/>
          <w:szCs w:val="17"/>
          <w:i w:val="1"/>
          <w:iCs w:val="1"/>
          <w:color w:val="auto"/>
        </w:rPr>
        <w:t>If clinical trials of our product candidates fail to produce positive results or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 </w:t>
      </w:r>
      <w:r>
        <w:rPr>
          <w:rFonts w:ascii="Arial" w:cs="Arial" w:eastAsia="Arial" w:hAnsi="Arial"/>
          <w:sz w:val="17"/>
          <w:szCs w:val="17"/>
          <w:color w:val="auto"/>
        </w:rPr>
        <w:t>There can be no assurance that any clinical testing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will be successful or will otherwise be supportive of continued development and/or regulatory approvals of such product candidates.</w:t>
      </w:r>
    </w:p>
    <w:p>
      <w:pPr>
        <w:spacing w:after="0" w:line="10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some of our earlier-stage clinical trials involve small patient populations, sometimes at single sites, and the results of these clinical trials may be subject to substantial variability and may not be indicative of either future interim results or final results. As a general matter, there is also a substantial risk that Phase 3 trials with larger numbers of patients and/or longer durations of therapy will fail to replicate efficacy and safety results observed in earlier clinical trials.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6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or with NASH with more advanced fibrosis, often enter our trials with significant comorbidities or advanced life-threatening illness and/or are treated in the trial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2" w:name="page53"/>
    <w:bookmarkEnd w:id="5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9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Patients experienced, and we reported, serious adverse events, or SAEs, in the treatment arms of our completed trials of MK-3655, NGM621 and aldafermin.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ongoing clinical trials of NGM120, NGM707, NGM831 and NGM438, many of whom are suffering from advanced life-threatening illness, have experienced, and we expect will continue to experience, SAEs and other adverse events, which may or may not be drug-related. If patients in any of our clinical trials experience a high or unacceptable severity and prevalence of side effects, including particularly SAEs, it could affect patient recruitment or the ability of enrolled patients to complete their treatment in a clinical trial, it may result in a regulatory authority putting a clinical hold on the clinical trial or it may result in failure to obtain regulatory approval for our product candidates or product liability claims.</w:t>
      </w:r>
    </w:p>
    <w:p>
      <w:pPr>
        <w:spacing w:after="0" w:line="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w:t>
      </w:r>
    </w:p>
    <w:p>
      <w:pPr>
        <w:spacing w:after="0" w:line="30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MK-3655 trial. If we are required to undertake substantial additional testing as a result of the detection of ADAs in subjects using aldafermin, MK-3655 or any other product candidate, the costs of our clinical trials may increase. If we determine that ADAs are causing safety or efficacy concerns when using any of our product candidates, we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30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NGM621 had been delivered to clinical sites in vials and then administered to patients using commercially available single-use syringes. The manufacturer of a commercially available single-use syringe widely used by ophthalmologists for intravitreal, or IVT, injections, including investigators in the Phase 2 CATALINA trial, issued a notice that such single-use syringes should not be used for ocular medications due to an increased potential for adverse eye conditions. While we have not experienced any safety concerns in our completed NGM621 clinical trials relating to syringe use, we communicated with the FDA and our study investigators regarding this issue and this issue could preclude or delay any efforts to partner our NGM621 program.</w:t>
      </w:r>
    </w:p>
    <w:p>
      <w:pPr>
        <w:spacing w:after="0" w:line="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3" w:name="page54"/>
    <w:bookmarkEnd w:id="5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Aldafermin is, and MK-3655 was, being developed for the treatment of NASH, an indication for which there are no approved products. This makes it difficult to predict the timing, cost and potential success of their continued clinical development, if any, and regulatory approval for the treatment of NASH, or otherwise.</w:t>
      </w:r>
    </w:p>
    <w:p>
      <w:pPr>
        <w:spacing w:after="0" w:line="80"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are developing aldafermin, and MK-3655 was in development by Merck, for the treatment of NASH, an indication for which there are no approved products. Implementation of new, or changes to, guidance or interpretations from the FDA or comparable foreign health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We updated the design of the ALPINE 4 trial of aldafermin, elevating the ELF test to be the primary endpoint for the trial. Neither the ELF test, nor any other surrogate biomarker endpoints, are currently endorsed by the FDA or EMA as sufficient for granting regulatory approval of products being developed for the treatment of compensated cirrhosis due to NASH (stage F4) and therefore may not be able to be used as a primary endpoint in potential future Phase 3 trials to support regulatory approval for aldafermin.</w:t>
      </w:r>
    </w:p>
    <w:p>
      <w:pPr>
        <w:spacing w:after="0" w:line="96"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certain of our competitors have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 Moreover, the above factors could make it difficult or preclude altogether our ability to secure potential future partners necessary to further the development of aldafermin and MK-3655 in NASH or otherwise.</w:t>
      </w:r>
    </w:p>
    <w:p>
      <w:pPr>
        <w:spacing w:after="0" w:line="9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As a result of the above, the future development of aldafermin and MK-3655 in patients with NASH is substantially uncertain and could be discontinued altogether, in which case, we will not receive any return on our investments in these programs.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Aldafermin is a modified version of a human hormone that has been associated with liver cancer in rodent testing.</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Concerns about the association between FGF19 and liver cancer could have an adverse effect on our ability to develop and commercialize aldafermin.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identify new product candidates to expand our development pipeline.</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4" w:name="page55"/>
    <w:bookmarkEnd w:id="5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select or capitalize on the most scientifically, clinically and commercially promising or profitable product candidates.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For example, our key pipeline programs in active development include product candidates in solid tumor oncology, and we are focusing most of our execution efforts and resources on these programs, intending to mainly advance them in generation of proof-of-concept data internally. However, our focus on the solid tumor oncology therapeutic area may be unsuccessful and may never lead to the development of viable commercial products. Similarly, our decisions to delay or terminate drug development programs, such as our decision to suspend development activities related to multiple metabolic disease product candidates and for aldafermin in patients with F2/F3 NASH to concentrate our resources elsewhere, also may be incorrect and could cause us to miss valuable opportunities.</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must attract and retain highly skilled employees in order to succeed. If we are not able to retain our current senior management team, especially our Chief Scientific Officer, Dr. Jin-Long Chen, or to continue to attract and retain qualified scientific, technical and business personnel, our business will suffer.</w:t>
      </w:r>
    </w:p>
    <w:p>
      <w:pPr>
        <w:spacing w:after="0" w:line="80"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R&amp;D and other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30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We recruit for talent in the biotechnology and pharmaceutical industry in the San Francisco Bay Area, which is one of the most competitive and highest cost labor market in the United States and periodically experiences higher turnover rates than other industries. For example, in 2022, we continued to experience a challenging recruiting environment with relatively high rates of employees leaving the company to pursue other opportunities, particularly in the first three quarters of the year.</w:t>
      </w:r>
    </w:p>
    <w:p>
      <w:pPr>
        <w:spacing w:after="0" w:line="9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tightened significantly after the beginning of the ongoing COVID-19 pandemic. During the first couple of years of the COVID-19 pandemic, we experienced employee attrition at rates higher than we experienced historically, which may recur and could have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5" w:name="page56"/>
    <w:bookmarkEnd w:id="5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negative impact on our productivity. If we are unable to attract and retain high-quality personnel, the rate and success with which we can discover and develop product candidates and our business will be limited.</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us.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particularly in the oncology field. Some of these pharmaceuticals in development are active, or seek to be active, against the same targets that our product candidates are engineered to effect, including the targets that are the focus of our immuno-oncology candidates, ILT2, ILT3, ILT4 and LAIR1. It is probable that the number of companies seeking to develop products and therapies for the treatment of cancer, retinal diseases and liver and metabolic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collaboration or partnering relationships. Smaller and earlier-stage companies may also prove to be significant competitors, particularly through collaboration or partnering arrangements with large, established companies.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Although we believe there are no FDA- or European Commission-approved therapies that specifically target the signaling pathways that our current product candidates are designed to modulate or inhibit, there are numerous currently approved therapies for treating the same diseases or indications (other than NASH or GA)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“Business-Our Pipeline Programs” in this Annual Report on Form 10-K.</w:t>
      </w:r>
    </w:p>
    <w:p>
      <w:pPr>
        <w:spacing w:after="0" w:line="30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February 2023, Apellis Pharmaceuticals, Inc., or Apellis, announced that the FDA approved SYFOVRE™ (pegcetacoplan injection) for the treatment of GA secondary to AMD. Apellis' regulatory approval for pegcetacoplan injection may affect future late-stage clinical trial designs, if any, and require added clinical development expense. Iveric bio, Inc.’s, or Iveric's, avacincaptad pegol, a PEGylated aptamer inhibitor of complement C5, completed a Phase 2/3 clinical trial that demonstrated statistically significant reductions in the rate of GA lesion area growth in the avacincaptad pegol arm versus the sham arm. In February 2023, Iveric announced that the FDA had accepted its NDA for avacincaptad pegol. Even if we are successful in securing a future BD Arrangement for the NGM621 program, which may not occur in a timely manner or at all, and our partner obtains regulatory approval of NGM621,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6" w:name="page57"/>
    <w:bookmarkEnd w:id="5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which is substantially uncertain given the failure to meet the primary endpoint in the CATALINA trial, NGM621 may not be able to compete effectively against pegcetacoplan and avacincaptad pegol, which could adversely affect our future revenues and business prospects in the event we are able to successfully partner the program.</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1"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efficacy and safety profile of the product candidate as demonstrated in clinical trials;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market introduction of the product candidate, as well as competitive products;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acceptance of the product candidate as a safe and effective treatment by physicians and patients;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actual and perceived advantages of the product candidate over alternative treatments, including any similar generic treatments;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viewpoints of influential physicians with respect to the product candidate;</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inclusion or exclusion of the product candidate from treatment guidelines established by various physician groups;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 of treatment relative to alternative treatments;</w:t>
      </w:r>
    </w:p>
    <w:p>
      <w:pPr>
        <w:spacing w:after="0" w:line="62" w:lineRule="exact"/>
        <w:rPr>
          <w:rFonts w:ascii="Arial" w:cs="Arial" w:eastAsia="Arial" w:hAnsi="Arial"/>
          <w:sz w:val="17"/>
          <w:szCs w:val="17"/>
          <w:color w:val="auto"/>
        </w:rPr>
      </w:pPr>
    </w:p>
    <w:p>
      <w:pPr>
        <w:jc w:val="both"/>
        <w:ind w:left="620" w:hanging="307"/>
        <w:spacing w:after="0" w:line="257"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pricing and the availability of coverage and adequate reimbursement by third parties and government authorities as described in the risk factor titled “</w:t>
      </w:r>
      <w:r>
        <w:rPr>
          <w:rFonts w:ascii="Arial" w:cs="Arial" w:eastAsia="Arial" w:hAnsi="Arial"/>
          <w:sz w:val="17"/>
          <w:szCs w:val="17"/>
          <w:i w:val="1"/>
          <w:iCs w:val="1"/>
          <w:color w:val="auto"/>
        </w:rPr>
        <w:t>Even if we obtain approval to market our products, these products may become subject to unfavorable pricing regulations,</w:t>
      </w:r>
      <w:r>
        <w:rPr>
          <w:rFonts w:ascii="Arial" w:cs="Arial" w:eastAsia="Arial" w:hAnsi="Arial"/>
          <w:sz w:val="17"/>
          <w:szCs w:val="17"/>
          <w:color w:val="auto"/>
        </w:rPr>
        <w:t xml:space="preserve"> </w:t>
      </w:r>
      <w:r>
        <w:rPr>
          <w:rFonts w:ascii="Arial" w:cs="Arial" w:eastAsia="Arial" w:hAnsi="Arial"/>
          <w:sz w:val="17"/>
          <w:szCs w:val="17"/>
          <w:i w:val="1"/>
          <w:iCs w:val="1"/>
          <w:color w:val="auto"/>
        </w:rPr>
        <w:t>reimbursement practices from third-party payors or healthcare reform initiatives in the United States and abroad, which could harm our business</w:t>
      </w:r>
      <w:r>
        <w:rPr>
          <w:rFonts w:ascii="Arial" w:cs="Arial" w:eastAsia="Arial" w:hAnsi="Arial"/>
          <w:sz w:val="17"/>
          <w:szCs w:val="17"/>
          <w:color w:val="auto"/>
        </w:rPr>
        <w:t>”;</w:t>
      </w:r>
    </w:p>
    <w:p>
      <w:pPr>
        <w:spacing w:after="0" w:line="39"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relative convenience and ease of administration;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frequency and severity of adverse events;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effectiveness of sales and marketing efforts;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unfavorable publicity relating to the product candidate.</w:t>
      </w:r>
    </w:p>
    <w:p>
      <w:pPr>
        <w:spacing w:after="0" w:line="11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For example, aldafermin is currently administered via a once-daily subcutaneous injection, which may negatively impact market acceptance of an approved aldafermin product, if any. In addition, refer to the risk factor titled “</w:t>
      </w:r>
      <w:r>
        <w:rPr>
          <w:rFonts w:ascii="Arial" w:cs="Arial" w:eastAsia="Arial" w:hAnsi="Arial"/>
          <w:sz w:val="17"/>
          <w:szCs w:val="17"/>
          <w:i w:val="1"/>
          <w:iCs w:val="1"/>
          <w:color w:val="auto"/>
        </w:rPr>
        <w:t>Our product candidates may cause undesirable side effects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adverse events or have other properties or safety risks, which could delay or prevent continued clinical development or their regulatory approval or limit the commercial profile of any approved label." </w:t>
      </w:r>
      <w:r>
        <w:rPr>
          <w:rFonts w:ascii="Arial" w:cs="Arial" w:eastAsia="Arial" w:hAnsi="Arial"/>
          <w:sz w:val="17"/>
          <w:szCs w:val="17"/>
          <w:color w:val="auto"/>
        </w:rPr>
        <w:t>If any product candidate is approved but does not achieve an adequate level of acceptance by</w:t>
      </w:r>
      <w:r>
        <w:rPr>
          <w:rFonts w:ascii="Arial" w:cs="Arial" w:eastAsia="Arial" w:hAnsi="Arial"/>
          <w:sz w:val="17"/>
          <w:szCs w:val="17"/>
          <w:i w:val="1"/>
          <w:iCs w:val="1"/>
          <w:color w:val="auto"/>
        </w:rPr>
        <w:t xml:space="preserve"> </w:t>
      </w:r>
      <w:r>
        <w:rPr>
          <w:rFonts w:ascii="Arial" w:cs="Arial" w:eastAsia="Arial" w:hAnsi="Arial"/>
          <w:sz w:val="17"/>
          <w:szCs w:val="17"/>
          <w:color w:val="auto"/>
        </w:rPr>
        <w:t>such parties, we may not generate or derive sufficient revenue from that product candidate and may not become or remain profitable.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spacing w:after="0" w:line="28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European Union, or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7" w:name="page58"/>
    <w:bookmarkEnd w:id="5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9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advancement of healthcare reform may negatively impact our ability to profitably sell our product candidates, if approved.</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1"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7"/>
          <w:szCs w:val="17"/>
          <w:color w:val="auto"/>
        </w:rPr>
        <w:t>For example, on August 16, 2022, President Biden signed the Inflation Reduction Act of 2022, or the IRA, into law, which among other things, (1) directs the U.S. Department of Health and Human Services, or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or the 2017 Tax Act, repealed the tax-based shared responsibility payment imposed by the ACA on certain individuals who fail to maintain qualifying health coverage that is commonly referred to as the “individual mandate.” On June 17, 2021, the U.S.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8" w:name="page59"/>
    <w:bookmarkEnd w:id="5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through Medicaid or the ACA.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our product candidates, which would adversely affect our business.</w:t>
      </w:r>
    </w:p>
    <w:p>
      <w:pPr>
        <w:spacing w:after="0" w:line="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Many countries implement health technology assessment, or HTA, procedures that use formal economic metrics such as cost-effectiveness to determine prices, coverage and reimbursement of new therapies. These assessments are increasingly implemented in established and emerging markets. In the EU, the newly-adopted Regulation (EU) 2021/2282 on Health Technology Assessment, or HTA Regulation, which will become effective in January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9" w:name="page60"/>
    <w:bookmarkEnd w:id="5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clinical trial sites are located outside of the United States. Furthermore, if we, Merck or any future partner succeeds in developing any of our product candidates, we intend to market them in the EU and other jurisdictions in addition to the United States. If approved, we, Merck or any future partner may hire sales representatives and conduct physician and patient association outreach activities outside of the United States. Doing business internationally involves a number of challenges and risks, including but not limited to:</w:t>
      </w:r>
    </w:p>
    <w:p>
      <w:pPr>
        <w:spacing w:after="0" w:line="92" w:lineRule="exact"/>
        <w:rPr>
          <w:sz w:val="20"/>
          <w:szCs w:val="20"/>
          <w:color w:val="auto"/>
        </w:rPr>
      </w:pPr>
    </w:p>
    <w:p>
      <w:pPr>
        <w:ind w:left="620" w:hanging="307"/>
        <w:spacing w:after="0" w:line="265"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protection regulations, tax laws, export and import restrictions, employment laws, regulatory requirements and other governmental approvals, permits and licenses;</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or interruptions in the supply of clinical trial material resulting from any events affecting raw material or component supply or manufacturing capabilities abroad, including those that may result from the ongoing COVID-19 pandemic;</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additional potentially relevant third-party patent rights;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complexities and difficulties in obtaining, maintaining, protecting and enforcing our intellectual property;</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impact of inflation and local and regional financial crises on demand and payment for our products and exposure to foreign currency exchange rate fluctuations;</w:t>
      </w:r>
    </w:p>
    <w:p>
      <w:pPr>
        <w:spacing w:after="0" w:line="32"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natural disasters, political, geopolitical and economic instability, including wars such as the conflict between Russia and Ukraine, terrorism and political unrest, disease outbreaks, epidemics and pandemics, including COVID-19 and related shelter-in-place orders, travel, social distancing and quarantine policies, boycotts, curtailment of trade and other business restrictions; and</w:t>
      </w:r>
    </w:p>
    <w:p>
      <w:pPr>
        <w:spacing w:after="0" w:line="37"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any products that we may develop.</w:t>
      </w:r>
    </w:p>
    <w:p>
      <w:pPr>
        <w:spacing w:after="0" w:line="6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or our partner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0" w:name="page61"/>
    <w:bookmarkEnd w:id="6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decreased demand for any product candidates or products that we may develop;</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substantial monetary awards to trial subjects or patients;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11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0"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92" w:lineRule="exact"/>
        <w:rPr>
          <w:sz w:val="20"/>
          <w:szCs w:val="20"/>
          <w:color w:val="auto"/>
        </w:rPr>
      </w:pPr>
    </w:p>
    <w:p>
      <w:pPr>
        <w:jc w:val="both"/>
        <w:ind w:left="620" w:hanging="307"/>
        <w:spacing w:after="0" w:line="257"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21" w:lineRule="exact"/>
        <w:rPr>
          <w:rFonts w:ascii="Arial" w:cs="Arial" w:eastAsia="Arial" w:hAnsi="Arial"/>
          <w:sz w:val="17"/>
          <w:szCs w:val="17"/>
          <w:color w:val="auto"/>
        </w:rPr>
      </w:pPr>
    </w:p>
    <w:p>
      <w:pPr>
        <w:jc w:val="both"/>
        <w:ind w:left="620" w:hanging="307"/>
        <w:spacing w:after="0" w:line="270"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the federal False Claims Act, or FCA, imposes criminal and civil penalties, including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8" w:lineRule="exact"/>
        <w:rPr>
          <w:rFonts w:ascii="Arial" w:cs="Arial" w:eastAsia="Arial" w:hAnsi="Arial"/>
          <w:sz w:val="17"/>
          <w:szCs w:val="17"/>
          <w:color w:val="auto"/>
        </w:rPr>
      </w:pPr>
    </w:p>
    <w:p>
      <w:pPr>
        <w:jc w:val="both"/>
        <w:ind w:left="620" w:hanging="307"/>
        <w:spacing w:after="0" w:line="25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243" w:lineRule="exact"/>
        <w:rPr>
          <w:rFonts w:ascii="Arial" w:cs="Arial" w:eastAsia="Arial" w:hAnsi="Arial"/>
          <w:sz w:val="17"/>
          <w:szCs w:val="17"/>
          <w:color w:val="auto"/>
        </w:rPr>
      </w:pPr>
    </w:p>
    <w:p>
      <w:pPr>
        <w:jc w:val="both"/>
        <w:ind w:left="620" w:hanging="307"/>
        <w:spacing w:after="0" w:line="256"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1" w:name="page62"/>
    <w:bookmarkEnd w:id="6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20" w:hanging="307"/>
        <w:spacing w:after="0" w:line="255"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43" w:lineRule="exact"/>
        <w:rPr>
          <w:rFonts w:ascii="Arial" w:cs="Arial" w:eastAsia="Arial" w:hAnsi="Arial"/>
          <w:sz w:val="17"/>
          <w:szCs w:val="17"/>
          <w:color w:val="auto"/>
        </w:rPr>
      </w:pPr>
    </w:p>
    <w:p>
      <w:pPr>
        <w:jc w:val="both"/>
        <w:ind w:left="620" w:hanging="307"/>
        <w:spacing w:after="0" w:line="254"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business could be materially and adversely affected in the future by the effects of disease outbreaks, epidemics and pandemics, including the COVID-19 pandemic.</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Disease outbreaks, epidemics and pandemics, such as the COVID-19 pandemic, in regions where we have concentrations of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For example, our ability to attract additional clinical trial sites and principal investigators to conduct our clinical trials and to conduct the necessary clinical trial site initiation procedures was impacted by COVID-19 quarantines, shelter-in-place and similar restrictions imposed by federal, state and local governments. In addition, during the COVID-19 pandemic, we experienced, from time to time, a slower pace of clinical site initiation and clinical trial enrollment and a higher subject dropout rate than originally anticipated in certain of our clinical trials, which we believe may have been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spacing w:after="0" w:line="9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General supply chain issues may be exacerbated during disease outbreaks, epidemics and pandemics and may also impact the ability of our clinical trial sites to obtain basic medical supplies used in our trials in a timely fashion, if at all. For example, in 2022 we were made aware of a shortage of tubes required for taking blood samples, requiring the use of tubes of a different size from those specified in one of our protocols. In addition, our CMOs’ facilities and operations have been adversely affected by labor, raw material and component shortages, high</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62" w:name="page63"/>
    <w:bookmarkEnd w:id="6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turnover of staff and difficulties in hiring trained and qualified replacement staff during the COVID-19 pandemic. These difficulties have resulted in some delays in early development timelines and we could experience more significant disruptions to our supply chain and operations as a result of disease outbreaks, epidemics or pandemics in the future.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For example, early in the COVID-19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Moreover, COVID-19 continues to evolve, and the extent to which COVID-19 may impact our business, results of operations and financial position will depend on future developments, which are highly uncertain and cannot be predicted with confidence, such as the emergence, infectiousness and severity of new variants, travel restrictions, quarantines and social distancing in the United States and other countries, business closures or business disruptions, global supply challenges, and the effectiveness of actions in the United States and other countries to contain and treat the disease. New health epidemics or pandemics may emerge that result in similar or more severe disruptions to our business. To the extent the effects of the continuing COVID-19 pandemic, or any future disease outbreak, epidemic or pandemic, adversely affects our business and results of operations, it also may have the effect of heightening many of the other risks and uncertainties described elsewhere in this ‘‘Risk Factors’’ section.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Regulatory Approvals</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health authorities are lengthy and inherently unpredictable. Our inability to obtain regulatory approval for our product candidates would substantially harm our business.</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product candidates could fail to receive regulatory approval from the FDA or a comparable foreign health authority for many reasons, including:</w:t>
      </w:r>
    </w:p>
    <w:p>
      <w:pPr>
        <w:spacing w:after="0" w:line="84"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disagreement with the design or implementation of our clinical trials;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demonstrate that a product candidate is safe and effective for its proposed indication;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of results of clinical trials to meet the level of statistical significance required for approval;</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demonstrate that a product candidate’s clinical and other benefits outweigh its safety risks;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disagreement with our interpretation of data from preclinical studies or clinical trials;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insufficiency of data collected from clinical trials to support the submission and filing of a BLA or other submission or to obtain regulatory approval;</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obtain approval of the manufacturing processes or facilities of third-party manufacturers with whom we contract for clinical and commercial supplies;</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unfavorable quality review or audit/inspection findings; or</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approval policies or regulations that render our preclinical and clinical data insufficient for approval.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3" w:name="page64"/>
    <w:bookmarkEnd w:id="6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or conditional marketing authorization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spacing w:after="0" w:line="9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Many agents in development for NASH have, or are expected to, opt for an accelerated approval pathway and rely on surrogate endpoints for initial approval. If we or a future partner seek accelerated approval for one of our product candidates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or NDA,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 In addition, if full approval is granted for another product in the same indication for which we are seeking accelerated approval for one of our product candidates, the accelerated approval pathway may no longer be available to us or a future partner for our product candidate.</w:t>
      </w:r>
    </w:p>
    <w:p>
      <w:pPr>
        <w:spacing w:after="0" w:line="9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w:t>
      </w:r>
    </w:p>
    <w:p>
      <w:pPr>
        <w:spacing w:after="0" w:line="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Sponsors that benefit from PRIME designation are potentially eligible for accelerated assessment of their marketing authorization applications, although this is not guaranteed. If a product for which PRIME designation was granted is the subject of an accelerated assessment, the product may be placed on the market in the EU before our product candidate with a similar therapeutic indication.</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failure to obtain health authority approval in foreign jurisdictions would prevent us from marketing our product candidates outside the United States.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If we or our partners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4" w:name="page65"/>
    <w:bookmarkEnd w:id="6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may still face future development and regulatory difficulties.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R&amp;D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or the manufacturing facilities for our product candidates fail to comply with applicable regulatory requirements, or if our product candidates are found to cause undesirable or unacceptable side effects, a regulatory agency may:</w:t>
      </w:r>
    </w:p>
    <w:p>
      <w:pPr>
        <w:spacing w:after="0" w:line="93"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issue safety alerts, Dear Healthcare Provider letters, press releases or other communications containing warnings about such product;</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mandate modifications to promotional materials or require us to provide corrective information to healthcare practitioners;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that we conduct and complete post-marketing studies;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enter into a consent decree, which can include imposition of various fines, reimbursements for inspection costs, required due dates for specific actions and penalties for noncompliance;</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seek an injunction or impose civil or criminal penalties or monetary fines;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suspend marketing of, withdraw regulatory approval of or initiate a recall of such product;</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applications filed by us;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suspend or impose restrictions on operations, including costly new manufacturing requirements; or</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seize or detain products or refuse to permit the import or export of products.</w:t>
      </w:r>
    </w:p>
    <w:p>
      <w:pPr>
        <w:spacing w:after="0" w:line="113"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The occurrence of any event or penalty described above may inhibit our ability to commercialize our products and generate revenue.</w:t>
      </w:r>
    </w:p>
    <w:p>
      <w:pPr>
        <w:spacing w:after="0" w:line="11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spacing w:after="0" w:line="9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subject us to false claims litigation under federal and state statutes, which can lead to civil and criminal penalties and fines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5" w:name="page66"/>
    <w:bookmarkEnd w:id="6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the EU, the advertising and promotion of medicinal products are subject to both EU and EU member state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Failure to comply with EU, EU member state, and other country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In addition, legislation adopted at the EU level may be implemented differently by individual member states. These regulations, and their differing implementations in member states, increase our legal and financial compliance costs and may make some activities more time-consuming and expensive.</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our product candidates. Equivalent obligations could be imposed by the foreign health authorities.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6" w:name="page67"/>
    <w:bookmarkEnd w:id="6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success depends in significant part upon our ability to obtain and maintain intellectual property protection for our products and technologies.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success depends in significant part on our ability and the ability of our current or future licensors, licensees, partners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partners or collaborators may not be able to prepare, file and prosecute all necessary or desirable patent applications at a reasonable cost or in a timely manner. It is also possible that we or our current or future licensors, licensees, partners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partners'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Similar to other biotechnology companies, our patent position is generally highly uncertain and involves complex legal and factual questions. In this regard, we cannot be certain that we or our current or future licensors, licensees, partners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partners or collaborators to obtain new patents or to enforce existing patents and patents we may obtain in the future. In any event, the issuance, scope, validity, enforceability and commercial value of our patent rights and those of our current or future licensors, licensees, partners or collaborators are highly uncertain and may not effectively prevent others from commercializing competitive technologies and products.</w:t>
      </w:r>
    </w:p>
    <w:p>
      <w:pPr>
        <w:spacing w:after="0" w:line="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partners or collaborators to perform these activities, which means that these patent applications may not be prosecuted, and these patents may not be enforced, in a manner consistent with the best interests of our business. If our current or future licensors, licensees, partners or collaborators fail to establish, maintain, protect or enforce such patents and other intellectual property rights, such rights may be reduced or eliminated. If our current or future licensors, licensees, partners or collaborators are not fully cooperative or disagree with us as to the prosecution, maintenance or enforcement of any patent rights, such patent rights could be compromised.</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partners or collaborators, to enforce intellectual property rights around the world may be inadequate to obtain a significant commercial advantage from the intellectual property that we own or license.</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own one issued United States patent that covers our NGM621 product candidate, although the product and related compositions-of-matter and methods of use are disclosed and claimed in other pending U.S. non-provisional and/or national stage applications in particular foreign countries. We do not currently own or have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7" w:name="page68"/>
    <w:bookmarkEnd w:id="6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license to any issued patents that cover our NGM707, NGM831 and NGM438 product candidates, although these product candidates are disclosed and claimed in our pending U.S. non-provisional and international applications.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intellectual property rights or technologies necessary to develop and commercialize our product candidates.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commercial success depends upon our ability, and the ability of our current and future licensors, licensees, partners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9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68" w:name="page69"/>
    <w:bookmarkEnd w:id="6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Third parties may infringe patents or misappropriate or otherwise violate intellectual property rights owned or controlled by us or our current or future licensors, licensees, partners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partners or collaborators. Litigation could result in substantial costs and diversion of management resources, which could harm our business and financial results.</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If we or our current or future licensors, licensees, partners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partners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Third parties may initiate legal proceedings against us or our current or future licensors, licensees, partners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partners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partners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7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Third-party pre-issuance submission of prior art to the USPTO,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partners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partners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Third parties may initiate legal proceedings against us or our current or future licensors, licensees, partners or collaborators alleging that we infringe their intellectual property rights. Alternatively, we may initiate legal proceedings to challenge the validity or scope of intellectual property rights controlled by third parties, including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69" w:name="page70"/>
    <w:bookmarkEnd w:id="6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oppositions, interferences, revocations,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spacing w:after="0" w:line="90"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partners or collaborators may be subject to claims that former employees, partners, collaborators or other third parties have an interest in our owned or in-licensed patents, trade secrets or other intellectual property as an inventor or co-inventor. Litigation may be necessary to defend against these claims.</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spacing w:after="0" w:line="9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An unfavorable outcome in any such proceeding could require us and our current or future licensors, licensees, partners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United States.</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Europe, expected by the end of 2023, European applications will soon have the option, upon grant of a patent, of becoming a Unitary Patent which will be subject to the jurisdiction of the Unitary Patent Court, or the UPC. This will be a significant change in European patent practice. As the UPC is a new court system, there is no precedent for the court, increasing the uncertainty of any litigation. It is our initial belief that the UPC, while offering a cheaper streamlined process, has potential disadvantages to patent holders, such as making a single European patent vulnerable in all jurisdictions when challenged in a single jurisdiction.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has been and may continue to be volatile, and you could lose all or part of your investment.</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market price for our common stock has fluctuated significantly from time to time, for example, varying between a high of $32.12 on March 17, 2021 and a low of $2.92 on October 17, 2022. The trading price of our common stock has been and may continue to be highly volatile and subject to wide fluctuations in response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0" w:name="page71"/>
    <w:bookmarkEnd w:id="7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various factors, some of which we cannot control. In addition to the factors discussed in this “Risk Factors” section, these factors include:</w:t>
      </w:r>
    </w:p>
    <w:p>
      <w:pPr>
        <w:spacing w:after="0" w:line="114"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raise adequate capital through public or private equity or debt offerings or negotiate potential future BD Arrangements;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 including disclosure of data by our competitors;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actions with respect to our product candidates or our competitors’ product candidates or products;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timeline delays in our clinical trials, including delays resulting from the effects of the ongoing global COVID-19 pandemic or otherwise;</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announcements by us or our competitors or partners of significant acquisitions, strategic collaborations, joint ventures or capital commitments;</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legal or payor developments in the United States and other countries;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results of our efforts to in-license or acquire additional product candidates or products;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purchases or sales of our common stock by us, our insiders or our other stockholders;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11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and the conflict between Russia and Ukraine,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effects of the ongoing COVID-19 pandemic, macroeconomic factors including inflation and rising interest rates, and geopolitical instability, including instability resulting from the conflict between Russia and Ukraine and the related sanctions imposed against Russia,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of volatility in our trading price and trading volume, we may incur significant costs from class action securities litigation.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to the risk factor titled “</w:t>
      </w:r>
      <w:r>
        <w:rPr>
          <w:rFonts w:ascii="Arial" w:cs="Arial" w:eastAsia="Arial" w:hAnsi="Arial"/>
          <w:sz w:val="17"/>
          <w:szCs w:val="17"/>
          <w:i w:val="1"/>
          <w:iCs w:val="1"/>
          <w:color w:val="auto"/>
        </w:rPr>
        <w:t>An active trading market for</w:t>
      </w:r>
      <w:r>
        <w:rPr>
          <w:rFonts w:ascii="Arial" w:cs="Arial" w:eastAsia="Arial" w:hAnsi="Arial"/>
          <w:sz w:val="17"/>
          <w:szCs w:val="17"/>
          <w:color w:val="auto"/>
        </w:rPr>
        <w:t xml:space="preserve"> </w:t>
      </w:r>
      <w:r>
        <w:rPr>
          <w:rFonts w:ascii="Arial" w:cs="Arial" w:eastAsia="Arial" w:hAnsi="Arial"/>
          <w:sz w:val="17"/>
          <w:szCs w:val="17"/>
          <w:i w:val="1"/>
          <w:iCs w:val="1"/>
          <w:color w:val="auto"/>
        </w:rPr>
        <w:t>our common stock may not be sustained and sales of a substantial number of shares of our common stock in the public market could cause our stock price to fall.</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1" w:name="page72"/>
    <w:bookmarkEnd w:id="7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principal stockholders, including entities affiliated with The Column Group, Merck and management, own a substantial percentage of our stock and collectively will be able to exert significant control over matters subject to stockholder approval.</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executive officers, directors, significant stockholders, including entities affiliated with The Column Group and Merck, and their respective affiliates, beneficially own a substantial amount of our voting stock. These stockholders collectively may be able to determine all matters requiring stockholder approval. For example, these stockholders collectively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An active trading market for our common stock may not be sustained and sales of a substantial number of shares of our common stock in the public market could cause our stock price to fall.</w:t>
      </w:r>
    </w:p>
    <w:p>
      <w:pPr>
        <w:spacing w:after="0" w:line="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For the trading days during the nine months ended September 30, 2022, the average daily trading volume for our common stock on The Nasdaq Global Select Market was only 376,739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89" w:lineRule="exact"/>
        <w:rPr>
          <w:sz w:val="20"/>
          <w:szCs w:val="20"/>
          <w:color w:val="auto"/>
        </w:rPr>
      </w:pPr>
    </w:p>
    <w:p>
      <w:pPr>
        <w:ind w:left="620" w:hanging="307"/>
        <w:spacing w:after="0" w:line="265"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the terms of which we may establish and shares of which we may issue without stockholder approval;</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prohibiting cumulative voting in the election of directors, which would otherwise allow for less than a majority of stockholders to elect director candidates;</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eliminating the ability of stockholders to call a special meeting of stockholders;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72" w:name="page73"/>
    <w:bookmarkEnd w:id="7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307"/>
        <w:spacing w:after="0" w:line="265"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the board of directors or for proposing matters that can be acted upon at stockholder meetings.</w:t>
      </w:r>
    </w:p>
    <w:p>
      <w:pPr>
        <w:spacing w:after="0" w:line="8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which may discourage, delay or prevent someone from acquiring us or merging with us whether or not it is desired by or beneficial to our stockholders. In addition, Section 203 of the Delaware General Corporation Law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Certain provisions in our agreement with Merck may also deter a change of control. For example, under the Amended Collaboration Agreement,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 if any.</w:t>
      </w:r>
    </w:p>
    <w:p>
      <w:pPr>
        <w:spacing w:after="0" w:line="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owed by any director, officer or other employee to us or our stockholders; any action asserting a claim against us or any director or officer or other employee arising pursuant to the Delaware General Corporation Law, our amended and restated certificate of incorporation or our amended and restated bylaws; any action with respect to the validity of our amended and restated certificate of incorporation or amended and restated bylaws; any action as to which the Delaware General Corporation Law confers jurisdiction to the Court of Chancery of the State of Delaware; or any action asserting a claim against us or any director or officer or other employee that is governed by the internal affairs doctrine. This provision would not apply to suits brought to enforce a duty or liability created by the Securities and Exchange Act of 1934, as amended, or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7"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3" w:name="page74"/>
    <w:bookmarkEnd w:id="7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Risk Factors</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our CROs, our CMOs, our current and potential future partners and other third parties we rely on or partner with could experience a cybersecurity incident that could harm our business.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collect, store and transmit proprietary, confidential and sensitive information, including personal information (such as health-related data), in the course of our business. Our technology systems and the information and data processed and stored in our technology systems or otherwise by us or on our behalf, and the technology systems of, and data accessed on our behalf by, our research collaborators, partners,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 Supply-chain attacks have also increased in frequency and severity, and we cannot guarantee that third parties’ infrastructure in our supply chain or our third-party partners’ supply chains have not been compromised. Our ability to monitor third parties on whom we rely to operate our business is limited, and these third parties may be subject to, and may expose us to, cyberattacks and other security incidents.</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may, under certain data privacy and security obligations, be required to, or we may choose to, expend significant resources or modify our business activities (including our clinical trial activities) in an effort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Certain functional areas of our workforce work remotely on a full- or part-time basis outside of our corporate network security protection boundaries or otherwise utilize network connections, computers and devices outside of our premises or network,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w:t>
      </w:r>
    </w:p>
    <w:p>
      <w:pPr>
        <w:spacing w:after="0" w:line="91"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since 2020, none of which, to date, have caused material disruption to our business, or to our knowledge, involved a material security breach. For example,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4" w:name="page75"/>
    <w:bookmarkEnd w:id="7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security obligations requiring us to notify relevant stakeholders. These disclosures are costly, and the disclosures or the failure to comply with such requirements could lead to adverse consequences.</w:t>
      </w:r>
    </w:p>
    <w:p>
      <w:pPr>
        <w:spacing w:after="0" w:line="8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The withdrawal of the United Kingdom from the EU, commonly referred to as Brexit, could increase our cost of doing business, reduce our gross margins or otherwise negatively impact our business and our financial results.</w:t>
      </w:r>
    </w:p>
    <w:p>
      <w:pPr>
        <w:spacing w:after="0" w:line="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United Kingdom’s, or UK, withdrawal from the EU on January 31, 2020, commonly referred to as Brexit, has created significant uncertainty concerning the future relationship between the UK and the EU. The Medicines and Healthcare products Regulatory Agency, or MHRA, is now the UK’s standalone regulator.</w:t>
      </w:r>
    </w:p>
    <w:p>
      <w:pPr>
        <w:spacing w:after="0" w:line="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December 24, 2020, the EU and UK reached an agreement in principle on the framework for their future relationship, the EU-U.K. Trade and Cooperation Agreement, or the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Among the changes that are now applied are that Great Britain (England, Scotland and Wales) are treated as a third country. Northern Ireland, with regard to EU regulations, continues to follow many aspects of EU regulatory rules. As part of the TCA, the EU and the UK recognize GMP inspections carried out by the other party and accept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eventual adoption of the Retained EU Law (Revocation and Reform) Bill that is currently going through the UK adoption procedure may, however, result in substantial change to the extent to which EU laws influence these and other actions in the UK.</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After running a public consultation which ended in December 2022, the UK government unilaterally agreed to permanently accept EU batch testing and batch release. However, it is not certain whether the UK will continue this approach, particularly following adoption of the current Retained EU Law (Revocation and Reform) Bill. If the UK were to adopt an approach whereby re-testing and/or re-release in the UK would be required, this could result in increased costs. Furthermore,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a separate regulatory submission process, approval process and a national marketing authorization. Northern Ireland, however, continues to be covered by the marketing authorizations granted by the European Commission.</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UK regulatory framework in relation to clinical trials is derived from existing EU legislation (as implemented into UK law, through secondary legislation) and, as such, it falls within the scope of the Retained EU Law (Revocation and Reform) Bill as currently drafted. Adoption of the Retained EU Law (Revocation and Reform) Bill as currently drafted would result in the regulatory framework governing clinical trials in the UK being revoked unless Ministerial action were taken to retain or replace it. It is currently unclear to what extent the UK will seek to align its regulations with the EU following entry into application of the Clinical Trials Regulation in the EU which occurred on January 31, 2022.</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Since January 1, 2021, an applicant for a marketing authorization granted by the European Commission in accordance with the centralized procedure based on the opinion of the Committee for Medicinal Products for Human Use, or CHMP, of the EMA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two-year period from January 1, 2021, MHRA could rely on a decision taken by the European Commission on the approval of a new centralized procedure marketing authorization when determining an application for a Great Britain marketing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5" w:name="page76"/>
    <w:bookmarkEnd w:id="7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authorization, or use the MHRA’s decentralized or mutual recognition procedures which enable marketing authorizations approved in EEA countries to be granted in Great Britain.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 In September 2022, the MHRA extended the procedure whereby it may rely on a decision taken by the European Commission when determining an application for a Great Britain marketing authorization until December 31, 2023.</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Orphan designation in Great Britain following Brexit is, unlike in the EU, not a pre-marketing authorization. Applications for orphan designation are made at the same time as an application for a marketing authorization. The criteria to be granted an orphan drug designation are essentially identical to those in the EU but based on the prevalence of the condition in Great Britain. It is therefore possible that medical conditions that were or would have been designated as orphan conditions in Great Britain prior to the end of the Transition Period are or would no longer be and that conditions that were not or would not have been designated as orphan conditions in the EU will be designated as such in Great Britain.</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Since a significant part of the regulatory framework in the UK applicable to our business and our product candidates is derived from EU legislation, Brexit has the potential of materially impacting the regulatory framework with respect to the development, manufacture, approval, import and placement of our product candidates on the market in the UK and the EU. The changes effected by the TCA, as well as any future changes in the regulatory framework governing medicinal products, including the adoption of the Retain EU Law (Revocation and Reform) Bill, could increase the costs and complexity of doing business in or with the UK, which could adversely affect our business.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spacing w:after="0" w:line="80"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7"/>
          <w:szCs w:val="17"/>
          <w:color w:val="auto"/>
        </w:rPr>
        <w:t>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information. For example, the EU GDPR, UK GDPR and other relevant laws that govern patient confidentiality and storage of personal health data may apply to our processing of personal information from clinical trials participants and other individuals located in the European Economic Area, or EEA, and/or the UK and, if any of our product candidates are approved, we may seek to commercialize those products in the EEA and/or the UK (as applicable).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at present materially aligned with, the EU GDPR, which together with the UK Data Protection Act of 2018, or UK DPA, covers the processing of personal information of UK residents. Non-compliance with UK GDPR may result in substantially similar adverse consequences to those in relation to the EU GDPR, including monetary penalties of up to £17.5 million or 4% of worldwide revenue, whichever is higher.</w:t>
      </w:r>
    </w:p>
    <w:p>
      <w:pPr>
        <w:spacing w:after="0" w:line="10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On June 28, 2021, the European Commission adopted an adequacy decision permitting flows of personal data between the EU and the UK to continue without additional requirements. The UK Government also adopted a reciprocal adequacy decision in respect of EEA member states permitting flows of personal data from the UK to the EEA. However, the European Commission's UK adequacy decision will automatically expire in June 2025 unless the European Commission re-assesses and renews/extends that decision and remains under review by the European Commission during this period. The entry into force of the US-UK Data Access Agreement on October 3, 2022 may put at risk the European Commission’s adequacy decision granted to the UK. If such adequacy decision were to be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6" w:name="page77"/>
    <w:bookmarkEnd w:id="7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withdrawn, personal data could not flow freely between the UK and the EU and additional safeguards would need to be adopted, which could result in additional costs for us.</w:t>
      </w:r>
    </w:p>
    <w:p>
      <w:pPr>
        <w:spacing w:after="0" w:line="8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relationship between the UK and the EU in relation to certain aspects of data protection laws remains unclear, and it is unclear how UK data protection laws and regulations will develop in the medium to longer term, and how data transfers to and from the UK will be regulated in the long term. The UK’s Data Protection and Digital Information Bill, or the Bill, was laid before the UK Parliament on July 18, 2022, introducing reforms intended to update and simplify the UK’s data protection framework, deviating from the EU GDPR. However, the Bill’s progress through Parliament is currently on pause following changes to the UK Government’s leadership. The Bill is expected to re-enter the legislative process in due course.</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Certain jurisdictions have enacted data localization laws and laws restricting cross-border transfers of personal information. In particular, regulators and courts in the EEA and the UK have significantly restricted the transfer of personal information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standard contractual clauses and the UK's international data transfer agreement, these mechanisms are subject to legal challenges, and there is no assurance that we can satisfy or rely on these measures to lawfully transfer personal information to the United States.</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continue to monitor changes in data protection laws related to the cross-border transfer of personal information; however, uncertainty remains regarding any future regulations, interpretations of existing law or guidance that may be issued, particularly by the EU authorities. If we are unable to implement a valid compliance solution for cross-border transfers of personal information, or if the requirements for a legally-compliant transfer are too onerous, we will face increased exposure to significant adverse consequences, including substantial fines, regulatory actions, as well as injunctions against the export and processing of personal information from the EEA.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that regulate cybersecurity and non-personal data, such as data collected through the internet of things. Depending on how these laws are interpreted, we may have to make changes to our business practices and products to comply with such obligations.</w:t>
      </w:r>
    </w:p>
    <w:p>
      <w:pPr>
        <w:spacing w:after="0" w:line="30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8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the California Consumer Privacy Act of 2018, or CCPA,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In addition, the California Privacy Rights Act of 2020, or CPRA, which becomes operative January 1, 2023, will expand the CCPA’s requirements, including in that it applies to personal information of business representatives and employees and establishes a new regulatory agency to implement and enforce the law. While the CCPA contains an exemption for certain personal information processed in connection with clinical trials, we may process other personal information that is subject to the CCPA and forthcoming CPRA. Other states, such as Virginia and Colorado, have also passed comprehensive privacy laws, and similar laws are being considered in several other states, as well as at the federal and local levels. The evolving patchwork of differing state and federal privacy and data security laws increases the cost and complexity of operating our business and increase our exposure to liability.</w:t>
      </w:r>
    </w:p>
    <w:p>
      <w:pPr>
        <w:spacing w:after="0" w:line="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may also be bound by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7" w:name="page78"/>
    <w:bookmarkEnd w:id="7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unfair or misrepresentative of our practices, we may be subject to investigation, enforcement actions by regulators or other adverse consequences.</w:t>
      </w:r>
    </w:p>
    <w:p>
      <w:pPr>
        <w:spacing w:after="0" w:line="11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9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If we (or third parties on which we rely) fail, or are perceived to have failed, to address or comply with data privacy and security obligations, we could face significant consequences, including (without limitation):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substances for NGM120, NGM707, NGM831, NGM438 and MK-3655 is located in Lithuania, a region that has experienced political unrest. Refer to the risk factor titled “</w:t>
      </w:r>
      <w:r>
        <w:rPr>
          <w:rFonts w:ascii="Arial" w:cs="Arial" w:eastAsia="Arial" w:hAnsi="Arial"/>
          <w:sz w:val="17"/>
          <w:szCs w:val="17"/>
          <w:i w:val="1"/>
          <w:iCs w:val="1"/>
          <w:color w:val="auto"/>
        </w:rPr>
        <w:t>We rely completely on</w:t>
      </w:r>
      <w:r>
        <w:rPr>
          <w:rFonts w:ascii="Arial" w:cs="Arial" w:eastAsia="Arial" w:hAnsi="Arial"/>
          <w:sz w:val="17"/>
          <w:szCs w:val="17"/>
          <w:color w:val="auto"/>
        </w:rPr>
        <w:t xml:space="preserve"> </w:t>
      </w:r>
      <w:r>
        <w:rPr>
          <w:rFonts w:ascii="Arial" w:cs="Arial" w:eastAsia="Arial" w:hAnsi="Arial"/>
          <w:sz w:val="17"/>
          <w:szCs w:val="17"/>
          <w:i w:val="1"/>
          <w:iCs w:val="1"/>
          <w:color w:val="auto"/>
        </w:rPr>
        <w:t>CMOs for the manufacture of our product candidates and are subject to many manufacturing risks, any of which could substantially increase our costs and limit supply of our product candidates and any future products</w:t>
      </w:r>
      <w:r>
        <w:rPr>
          <w:rFonts w:ascii="Arial" w:cs="Arial" w:eastAsia="Arial" w:hAnsi="Arial"/>
          <w:sz w:val="17"/>
          <w:szCs w:val="17"/>
          <w:color w:val="auto"/>
        </w:rPr>
        <w:t>.” If our operations or the operations of third parties providing services to us</w:t>
      </w:r>
      <w:r>
        <w:rPr>
          <w:rFonts w:ascii="Arial" w:cs="Arial" w:eastAsia="Arial" w:hAnsi="Arial"/>
          <w:sz w:val="17"/>
          <w:szCs w:val="17"/>
          <w:i w:val="1"/>
          <w:iCs w:val="1"/>
          <w:color w:val="auto"/>
        </w:rPr>
        <w:t xml:space="preserve"> </w:t>
      </w:r>
      <w:r>
        <w:rPr>
          <w:rFonts w:ascii="Arial" w:cs="Arial" w:eastAsia="Arial" w:hAnsi="Arial"/>
          <w:sz w:val="17"/>
          <w:szCs w:val="17"/>
          <w:color w:val="auto"/>
        </w:rPr>
        <w:t>are disrupted by any such occurrences, our business and future prospects may be negatively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use and generate materials that may expose us to material liability.</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certain other tax attributes to offset taxable income could be limited.</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including BD Arrangements. To the extent that our taxable income exceeds any current year operating losses, we plan to use our net operating loss carryforwards to offset income that would otherwise be taxable. Our federal net operating loss carryforwards generated in tax years beginning before January 1, 2018 are only permitted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8" w:name="page79"/>
    <w:bookmarkEnd w:id="7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under Sections 382 and 383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and certain other pre-change tax attributes (such as R&amp;D tax credits)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and certain other tax attributes could be limited. State net operating loss carryforwards may be similarly limited. In addition, at the state level, there may be periods during which the use of net operating losses is suspended or otherwise limited, which could accelerate or permanently increase state taxes owed.</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recently enacted IRA imposes, among other rules, a 15% minimum tax on the book income of certain large corporations and a 1% excise tax on certain corporate stock repurchases. In addition, for certain research and experimental, or R&amp;E, expenses incurred in tax years beginning after December 31, 2021, the 2017 Tax Act requires the capitalization and amortization of such expenses over five years if incurred in the United States and fifteen years if incurred outside the United States, rather than deducting such expenses currently. Although there have been legislative proposals to repeal or defer the capitalization requirement, there can be no assurance that such requirement will be repealed, deferred or otherwise modified. Changes in corporate tax rates, the realization of net deferred tax assets relating to our operations, the taxation of foreign earnings and the deductibility of expenses under the 2017 Tax Act, as amended by the CARES Act or any future tax reform legislation could have a material impact on the value of our deferred tax assets, result in significant one-time charges and increase our future U.S. tax expense.</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Future changes in financial accounting standards or practices may cause adverse and unexpected revenue fluctuations and adversely affect our reported results of operations.</w:t>
      </w:r>
    </w:p>
    <w:p>
      <w:pPr>
        <w:spacing w:after="0" w:line="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We continue to incur increased costs as a result of operating as a public company, and our management devotes substantial time to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spacing w:after="0" w:line="8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79" w:name="page80"/>
    <w:bookmarkEnd w:id="7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Act of 2002, or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9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404(b) of the Sarbanes-Oxley Act, and to allow our independent registered public accounting firm to issue an attestation report on the effectiveness of our internal control over financial reporting. Our compliance with Section 404(b) of the Sarbanes-Oxley Act requires that we incur substantial accounting expense and expend significant management efforts. We currently do not have an internal audit staff and outsource this function to a third party. We have hired and will need to retain our current accounting and financial staff who have the appropriate public company experience and technical accounting knowledge.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9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ability to successfully implement our business plan and comply with Section 404(b)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attestation report from our independent registered public accounting firm as required under Section 404(b) of the Sarbanes-Oxley Act. This, in turn, could have an adverse impact on the price for our common stock and could adversely affect our ability to access the capital markets.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stock price and trading volume is heavily influenced by the way analysts and investors interpret our clinical trial results, any BD Arrangements we may enter into, our financial information and other disclosures. If securities or industry analysts do not publish research or reports about our business, delay publishing reports about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0" w:name="page81"/>
    <w:bookmarkEnd w:id="8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our business or publish negative reports about our business, regardless of accuracy, our stock price and trading volume could decline.</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9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Properties.</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lease and occupy approximately 122,000 square feet of office space and facilities in South San Francisco, California. In July 2022, we entered into an operating lease agreement, or the 2024 Lease Agreement, for our existing corporate office space and facilities at 333 Oyster Point Boulevard, South San Francisco, California, that we currently occupy pursuant to a sublease agreement scheduled to expire on December 31, 2023. The initial term of the 2024 Lease Agreement will commence on January 1, 2024 and expire on December 31, 2033.</w:t>
      </w:r>
    </w:p>
    <w:p>
      <w:pPr>
        <w:spacing w:after="0" w:line="17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Legal Proceedings.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9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1" w:name="page82"/>
    <w:bookmarkEnd w:id="8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tab/>
        <w:t>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common stock has been listed on the Nasdaq Global Select Market under the symbol “NGM” since April 4, 2019.</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34" w:lineRule="exact"/>
        <w:rPr>
          <w:sz w:val="20"/>
          <w:szCs w:val="20"/>
          <w:color w:val="auto"/>
        </w:rPr>
      </w:pPr>
    </w:p>
    <w:p>
      <w:pPr>
        <w:jc w:val="both"/>
        <w:ind w:right="100" w:firstLine="619"/>
        <w:spacing w:after="0" w:line="257" w:lineRule="auto"/>
        <w:rPr>
          <w:sz w:val="20"/>
          <w:szCs w:val="20"/>
          <w:color w:val="auto"/>
        </w:rPr>
      </w:pPr>
      <w:r>
        <w:rPr>
          <w:rFonts w:ascii="Arial" w:cs="Arial" w:eastAsia="Arial" w:hAnsi="Arial"/>
          <w:sz w:val="17"/>
          <w:szCs w:val="17"/>
          <w:color w:val="auto"/>
        </w:rPr>
        <w:t>As of the close of business on February 22, 2023, there were 38 stockholders of record of our common stock. The actual number of stockholders is greater than the number of stockholders of record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stock performance graph compares the value of an investment in (i) our common stock, (ii) the Nasdaq Composite Index and</w:t>
      </w:r>
    </w:p>
    <w:p>
      <w:pPr>
        <w:spacing w:after="0" w:line="11" w:lineRule="exact"/>
        <w:rPr>
          <w:sz w:val="20"/>
          <w:szCs w:val="20"/>
          <w:color w:val="auto"/>
        </w:rPr>
      </w:pPr>
    </w:p>
    <w:p>
      <w:pPr>
        <w:jc w:val="both"/>
        <w:ind w:right="100" w:firstLine="3"/>
        <w:spacing w:after="0" w:line="256" w:lineRule="auto"/>
        <w:tabs>
          <w:tab w:leader="none" w:pos="27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Nasdaq Biotechnology Index for the period from April 4, 2019 (the date our common stock commenced trading on the Nasdaq Global Select Market) through December 31, 2022. The figures represented below assume an investment of $100 in our common stock at the closing price on April 4, 2019 and in the Nasdaq Composite Index and Nasdaq Biotechnology Index on April 4, 2019 and the reinvestment of dividends into shares of common stock. However, no dividends have been declared on our common stock to date. The comparisons in the table are required by the Securities and Exchange Commission, or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5599430" cy="2693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9943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20" w:type="dxa"/>
        <w:tblCellMar>
          <w:top w:w="0" w:type="dxa"/>
          <w:left w:w="0" w:type="dxa"/>
          <w:bottom w:w="0" w:type="dxa"/>
          <w:right w:w="0" w:type="dxa"/>
        </w:tblCellMar>
      </w:tblPr>
      <w:tr>
        <w:trPr>
          <w:trHeight w:val="186"/>
        </w:trPr>
        <w:tc>
          <w:tcPr>
            <w:tcW w:w="52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4/4/2019</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12/31/2019</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12/31/</w:t>
            </w:r>
          </w:p>
        </w:tc>
      </w:tr>
      <w:tr>
        <w:trPr>
          <w:trHeight w:val="205"/>
        </w:trPr>
        <w:tc>
          <w:tcPr>
            <w:tcW w:w="5280" w:type="dxa"/>
            <w:vAlign w:val="bottom"/>
            <w:shd w:val="clear" w:color="auto" w:fill="CFF0FC"/>
          </w:tcPr>
          <w:p>
            <w:pPr>
              <w:ind w:left="20"/>
              <w:spacing w:after="0"/>
              <w:rPr>
                <w:sz w:val="20"/>
                <w:szCs w:val="20"/>
                <w:color w:val="auto"/>
              </w:rPr>
            </w:pPr>
            <w:r>
              <w:rPr>
                <w:rFonts w:ascii="Arial" w:cs="Arial" w:eastAsia="Arial" w:hAnsi="Arial"/>
                <w:sz w:val="15"/>
                <w:szCs w:val="15"/>
                <w:color w:val="auto"/>
              </w:rPr>
              <w:t>NGM Biopharmaceuticals, Inc.</w:t>
            </w:r>
          </w:p>
        </w:tc>
        <w:tc>
          <w:tcPr>
            <w:tcW w:w="20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125.78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206.09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rPr>
              <w:t>120.48</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95"/>
              </w:rPr>
              <w:t>$</w:t>
            </w:r>
          </w:p>
        </w:tc>
      </w:tr>
      <w:tr>
        <w:trPr>
          <w:trHeight w:val="203"/>
        </w:trPr>
        <w:tc>
          <w:tcPr>
            <w:tcW w:w="5280" w:type="dxa"/>
            <w:vAlign w:val="bottom"/>
          </w:tcPr>
          <w:p>
            <w:pPr>
              <w:ind w:left="20"/>
              <w:spacing w:after="0"/>
              <w:rPr>
                <w:sz w:val="20"/>
                <w:szCs w:val="20"/>
                <w:color w:val="auto"/>
              </w:rPr>
            </w:pPr>
            <w:r>
              <w:rPr>
                <w:rFonts w:ascii="Arial" w:cs="Arial" w:eastAsia="Arial" w:hAnsi="Arial"/>
                <w:sz w:val="15"/>
                <w:szCs w:val="15"/>
                <w:color w:val="auto"/>
              </w:rPr>
              <w:t>NASDAQ Composite Index</w:t>
            </w:r>
          </w:p>
        </w:tc>
        <w:tc>
          <w:tcPr>
            <w:tcW w:w="20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113.70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163.31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198.24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5"/>
                <w:szCs w:val="15"/>
                <w:color w:val="auto"/>
              </w:rPr>
              <w:t>NASDAQ Biotechnology Index</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rPr>
              <w:t>133.20</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bl>
    <w:p>
      <w:pPr>
        <w:spacing w:after="0" w:line="175"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i w:val="1"/>
          <w:iCs w:val="1"/>
          <w:color w:val="auto"/>
        </w:rPr>
        <w:t>The information under “Performance Graph” is not deemed to be “soliciting material” or “filed” with the SEC or subject to Regulation 14A or 14C, or to the liabilities of Section 18 of the Securities Exchange Act of 1934, as amended, or the Exchange Act, and is not to be incorporated by reference in any filing of NGM under the Securities</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44" w:right="239" w:bottom="1440" w:gutter="0" w:footer="0" w:header="0"/>
        </w:sectPr>
      </w:pPr>
    </w:p>
    <w:bookmarkStart w:id="82" w:name="page83"/>
    <w:bookmarkEnd w:id="8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Act of 1933, as amended, or the Securities Act, or the Exchange Act, whether made before or after the date of this Annual Report on Form 10-K and irrespective of any general incorporation language in those filings.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year ended December 31, 2022, we did not issue or sell any unregistered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three-month period ended December 31, 2022, we did not repurchase shares of our common stock.</w:t>
      </w:r>
    </w:p>
    <w:p>
      <w:pPr>
        <w:spacing w:after="0" w:line="19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[Reserved]</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1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related notes appearing elsewhere in this Annual Report.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 Item 1A in this Annual Report on Form 10-K. In some cases, you can identify forward-looking statements by terminology such as “anticipate,” "aspire," “believe,” “continue,” “could,” “estimate,” “expect,” “intend,” “may,” “plan,” “potentially,” “predict,” “should,” “will” or the negative of these terms or other similar expressions. See “Special Note Regarding Forward-Looking Statements” in this Annual Report on Form 10-K.</w:t>
      </w:r>
    </w:p>
    <w:p>
      <w:pPr>
        <w:spacing w:after="0" w:line="179"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i w:val="1"/>
          <w:iCs w:val="1"/>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 of Our Business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Currently, we have five programs in active clinical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spacing w:after="0" w:line="98"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pipeline is currently divided into two categories with separate approaches to development strategy and resource allocation in an effort to enable more of the product candidates in our pipeline to be advanced as effectively and efficiently as possible. To that end, we are currently focusing most of our execution efforts and resources on advancing our clinical-stage solid tumor oncology programs to potentially rapid proof of concept. For our other programs that are in therapeutic areas where clinical development is relatively resource intensive and can have long timelines to generate proof-of-concept data, due to the need to conserve capital and prioritize focused execution, we are actively seeking, or intend to seek, collaboration, out licensing, partnership or other business development arrangements, or BD Arrangements, with third-party partners with sufficient resources and relevant domain expertise in order to further their development.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3" w:name="page84"/>
    <w:bookmarkEnd w:id="8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Pipeline Programs and Operational Updates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Programs in Active Development</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pipeline includes four solid tumor oncology programs in active ongoing clinical development. We are currently focusing most of our execution efforts and resources on these key programs. We have intentionally built our clinical capabilities primarily in areas such as solid tumor oncology that offer development paths that are relatively resource efficient and have the potential to generate clinical proof-of-concept data more rapidly than certain other indications, although we may in the future pursue development of programs in other therapeutic areas. While we will opportunistically consider BD Arrangements to advance development of our key programs, we intend to invest our resources in their development even in the absence of BD Arrangements.</w:t>
      </w:r>
    </w:p>
    <w:p>
      <w:pPr>
        <w:spacing w:after="0" w:line="75" w:lineRule="exact"/>
        <w:rPr>
          <w:sz w:val="20"/>
          <w:szCs w:val="20"/>
          <w:color w:val="auto"/>
        </w:rPr>
      </w:pPr>
    </w:p>
    <w:p>
      <w:pPr>
        <w:ind w:left="460" w:hanging="302"/>
        <w:spacing w:after="0" w:line="290" w:lineRule="auto"/>
        <w:tabs>
          <w:tab w:leader="none" w:pos="45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Solid Tumor Oncology</w:t>
      </w:r>
      <w:r>
        <w:rPr>
          <w:rFonts w:ascii="Arial" w:cs="Arial" w:eastAsia="Arial" w:hAnsi="Arial"/>
          <w:sz w:val="17"/>
          <w:szCs w:val="17"/>
          <w:color w:val="auto"/>
        </w:rPr>
        <w:t>. Our solid tumor oncology product candidates NGM707, NGM831, NGM438 and NGM120 and their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compounds are wholly-owned by us.</w:t>
      </w:r>
    </w:p>
    <w:p>
      <w:pPr>
        <w:spacing w:after="0" w:line="43" w:lineRule="exact"/>
        <w:rPr>
          <w:rFonts w:ascii="Arial" w:cs="Arial" w:eastAsia="Arial" w:hAnsi="Arial"/>
          <w:sz w:val="17"/>
          <w:szCs w:val="17"/>
          <w:b w:val="1"/>
          <w:bCs w:val="1"/>
          <w:color w:val="auto"/>
        </w:rPr>
      </w:pPr>
    </w:p>
    <w:p>
      <w:pPr>
        <w:jc w:val="both"/>
        <w:ind w:left="1080" w:hanging="303"/>
        <w:spacing w:after="0" w:line="260" w:lineRule="auto"/>
        <w:tabs>
          <w:tab w:leader="none" w:pos="1076" w:val="left"/>
        </w:tabs>
        <w:numPr>
          <w:ilvl w:val="1"/>
          <w:numId w:val="35"/>
        </w:numPr>
        <w:rPr>
          <w:rFonts w:ascii="Arial" w:cs="Arial" w:eastAsia="Arial" w:hAnsi="Arial"/>
          <w:sz w:val="17"/>
          <w:szCs w:val="17"/>
          <w:color w:val="auto"/>
        </w:rPr>
      </w:pPr>
      <w:r>
        <w:rPr>
          <w:rFonts w:ascii="Arial" w:cs="Arial" w:eastAsia="Arial" w:hAnsi="Arial"/>
          <w:sz w:val="17"/>
          <w:szCs w:val="17"/>
          <w:b w:val="1"/>
          <w:bCs w:val="1"/>
          <w:color w:val="auto"/>
        </w:rPr>
        <w:t>NGM707</w:t>
      </w:r>
      <w:r>
        <w:rPr>
          <w:rFonts w:ascii="Arial" w:cs="Arial" w:eastAsia="Arial" w:hAnsi="Arial"/>
          <w:sz w:val="17"/>
          <w:szCs w:val="17"/>
          <w:color w:val="auto"/>
        </w:rPr>
        <w:t>. NGM707, the lead asset in our myeloid reprogramming and checkpoint inhibition portfolio, is a dual antagonist monoclonal</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w:t>
      </w:r>
    </w:p>
    <w:p>
      <w:pPr>
        <w:spacing w:after="0" w:line="90" w:lineRule="exact"/>
        <w:rPr>
          <w:rFonts w:ascii="Arial" w:cs="Arial" w:eastAsia="Arial" w:hAnsi="Arial"/>
          <w:sz w:val="17"/>
          <w:szCs w:val="17"/>
          <w:color w:val="auto"/>
        </w:rPr>
      </w:pPr>
    </w:p>
    <w:p>
      <w:pPr>
        <w:jc w:val="both"/>
        <w:ind w:left="1700" w:hanging="305"/>
        <w:spacing w:after="0" w:line="259" w:lineRule="auto"/>
        <w:tabs>
          <w:tab w:leader="none" w:pos="1696" w:val="left"/>
        </w:tabs>
        <w:numPr>
          <w:ilvl w:val="2"/>
          <w:numId w:val="35"/>
        </w:numPr>
        <w:rPr>
          <w:rFonts w:ascii="Arial" w:cs="Arial" w:eastAsia="Arial" w:hAnsi="Arial"/>
          <w:sz w:val="17"/>
          <w:szCs w:val="17"/>
          <w:color w:val="auto"/>
        </w:rPr>
      </w:pPr>
      <w:r>
        <w:rPr>
          <w:rFonts w:ascii="Arial" w:cs="Arial" w:eastAsia="Arial" w:hAnsi="Arial"/>
          <w:sz w:val="17"/>
          <w:szCs w:val="17"/>
          <w:color w:val="auto"/>
        </w:rPr>
        <w:t>We are conducting an open-label Phase 1/2 clinical trial evaluating NGM707 as a monotherapy and in combination with KEYTRUDA® (pembrolizumab) for the treatment of patients with advanced or metastatic solid tumors. We expect to enroll approximately 220 patients in this trial.</w:t>
      </w:r>
    </w:p>
    <w:p>
      <w:pPr>
        <w:spacing w:after="0" w:line="37" w:lineRule="exact"/>
        <w:rPr>
          <w:rFonts w:ascii="Arial" w:cs="Arial" w:eastAsia="Arial" w:hAnsi="Arial"/>
          <w:sz w:val="17"/>
          <w:szCs w:val="17"/>
          <w:color w:val="auto"/>
        </w:rPr>
      </w:pPr>
    </w:p>
    <w:p>
      <w:pPr>
        <w:jc w:val="both"/>
        <w:ind w:left="1700" w:hanging="305"/>
        <w:spacing w:after="0" w:line="257" w:lineRule="auto"/>
        <w:tabs>
          <w:tab w:leader="none" w:pos="1696" w:val="left"/>
        </w:tabs>
        <w:numPr>
          <w:ilvl w:val="2"/>
          <w:numId w:val="35"/>
        </w:numPr>
        <w:rPr>
          <w:rFonts w:ascii="Arial" w:cs="Arial" w:eastAsia="Arial" w:hAnsi="Arial"/>
          <w:sz w:val="17"/>
          <w:szCs w:val="17"/>
          <w:color w:val="auto"/>
        </w:rPr>
      </w:pPr>
      <w:r>
        <w:rPr>
          <w:rFonts w:ascii="Arial" w:cs="Arial" w:eastAsia="Arial" w:hAnsi="Arial"/>
          <w:sz w:val="17"/>
          <w:szCs w:val="17"/>
          <w:color w:val="auto"/>
        </w:rPr>
        <w:t>A Phase 1, Part 1a cohort evaluating NGM707 as a monotherapy was initiated in the second quarter of 2021. A Phase 1, Part 1b cohort evaluating NGM707 in combination with pembrolizumab was initiated in the second quarter of 2022. Both cohorts are ongoing and will be followed by Phase 2 expansion cohorts evaluating NGM707 in combination with pembrolizumab in specific tumor types.</w:t>
      </w:r>
    </w:p>
    <w:p>
      <w:pPr>
        <w:spacing w:after="0" w:line="39" w:lineRule="exact"/>
        <w:rPr>
          <w:rFonts w:ascii="Arial" w:cs="Arial" w:eastAsia="Arial" w:hAnsi="Arial"/>
          <w:sz w:val="17"/>
          <w:szCs w:val="17"/>
          <w:color w:val="auto"/>
        </w:rPr>
      </w:pPr>
    </w:p>
    <w:p>
      <w:pPr>
        <w:jc w:val="both"/>
        <w:ind w:left="1700" w:hanging="305"/>
        <w:spacing w:after="0" w:line="255" w:lineRule="auto"/>
        <w:tabs>
          <w:tab w:leader="none" w:pos="1696" w:val="left"/>
        </w:tabs>
        <w:numPr>
          <w:ilvl w:val="2"/>
          <w:numId w:val="35"/>
        </w:numPr>
        <w:rPr>
          <w:rFonts w:ascii="Arial" w:cs="Arial" w:eastAsia="Arial" w:hAnsi="Arial"/>
          <w:sz w:val="17"/>
          <w:szCs w:val="17"/>
          <w:color w:val="auto"/>
        </w:rPr>
      </w:pPr>
      <w:r>
        <w:rPr>
          <w:rFonts w:ascii="Arial" w:cs="Arial" w:eastAsia="Arial" w:hAnsi="Arial"/>
          <w:sz w:val="17"/>
          <w:szCs w:val="17"/>
          <w:color w:val="auto"/>
        </w:rPr>
        <w:t>In December 2022, we presented initial data from the Part 1a cohort at the European Society for Medical Oncology Immuno-Oncology, or ESMO I-O, Annual Congress. The data indicated that NGM707 was generally well tolerated across all dose cohorts and demonstrated promising early signals of anti-tumor activity. In the presentation, we disclosed that of 24 response-evaluable patients as of November 23, 2022, best overall responses were a partial response in one patient, stable disease in six patients and non-complete response/non-progressive disease in one patient, and that potential proof-of-mechanism (myeloid reprogramming) was observed in peripheral blood and tumor biopsies.</w:t>
      </w:r>
    </w:p>
    <w:p>
      <w:pPr>
        <w:spacing w:after="0" w:line="74" w:lineRule="exact"/>
        <w:rPr>
          <w:rFonts w:ascii="Arial" w:cs="Arial" w:eastAsia="Arial" w:hAnsi="Arial"/>
          <w:sz w:val="17"/>
          <w:szCs w:val="17"/>
          <w:color w:val="auto"/>
        </w:rPr>
      </w:pPr>
    </w:p>
    <w:p>
      <w:pPr>
        <w:jc w:val="both"/>
        <w:ind w:left="1080" w:hanging="303"/>
        <w:spacing w:after="0" w:line="260" w:lineRule="auto"/>
        <w:tabs>
          <w:tab w:leader="none" w:pos="1076" w:val="left"/>
        </w:tabs>
        <w:numPr>
          <w:ilvl w:val="1"/>
          <w:numId w:val="35"/>
        </w:numPr>
        <w:rPr>
          <w:rFonts w:ascii="Arial" w:cs="Arial" w:eastAsia="Arial" w:hAnsi="Arial"/>
          <w:sz w:val="17"/>
          <w:szCs w:val="17"/>
          <w:color w:val="auto"/>
        </w:rPr>
      </w:pPr>
      <w:r>
        <w:rPr>
          <w:rFonts w:ascii="Arial" w:cs="Arial" w:eastAsia="Arial" w:hAnsi="Arial"/>
          <w:sz w:val="17"/>
          <w:szCs w:val="17"/>
          <w:b w:val="1"/>
          <w:bCs w:val="1"/>
          <w:color w:val="auto"/>
        </w:rPr>
        <w:t>NGM831</w:t>
      </w:r>
      <w:r>
        <w:rPr>
          <w:rFonts w:ascii="Arial" w:cs="Arial" w:eastAsia="Arial" w:hAnsi="Arial"/>
          <w:sz w:val="17"/>
          <w:szCs w:val="17"/>
          <w:color w:val="auto"/>
        </w:rPr>
        <w:t>. NGM831 is an antagonist antibody that is designed to block the interaction of the Immunoglobulin-like transcript 3, or ILT3</w:t>
      </w:r>
      <w:r>
        <w:rPr>
          <w:rFonts w:ascii="Arial" w:cs="Arial" w:eastAsia="Arial" w:hAnsi="Arial"/>
          <w:sz w:val="17"/>
          <w:szCs w:val="17"/>
          <w:b w:val="1"/>
          <w:bCs w:val="1"/>
          <w:color w:val="auto"/>
        </w:rPr>
        <w:t xml:space="preserve"> </w:t>
      </w:r>
      <w:r>
        <w:rPr>
          <w:rFonts w:ascii="Arial" w:cs="Arial" w:eastAsia="Arial" w:hAnsi="Arial"/>
          <w:sz w:val="17"/>
          <w:szCs w:val="17"/>
          <w:color w:val="auto"/>
        </w:rPr>
        <w:t>(also known as LILRB4) receptor, with fibronectin, as well as other cognate ligands. 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spacing w:after="0" w:line="90" w:lineRule="exact"/>
        <w:rPr>
          <w:rFonts w:ascii="Arial" w:cs="Arial" w:eastAsia="Arial" w:hAnsi="Arial"/>
          <w:sz w:val="17"/>
          <w:szCs w:val="17"/>
          <w:color w:val="auto"/>
        </w:rPr>
      </w:pPr>
    </w:p>
    <w:p>
      <w:pPr>
        <w:jc w:val="both"/>
        <w:ind w:left="1700" w:hanging="305"/>
        <w:spacing w:after="0" w:line="256" w:lineRule="auto"/>
        <w:tabs>
          <w:tab w:leader="none" w:pos="1696" w:val="left"/>
        </w:tabs>
        <w:numPr>
          <w:ilvl w:val="2"/>
          <w:numId w:val="35"/>
        </w:numPr>
        <w:rPr>
          <w:rFonts w:ascii="Arial" w:cs="Arial" w:eastAsia="Arial" w:hAnsi="Arial"/>
          <w:sz w:val="17"/>
          <w:szCs w:val="17"/>
          <w:color w:val="auto"/>
        </w:rPr>
      </w:pPr>
      <w:r>
        <w:rPr>
          <w:rFonts w:ascii="Arial" w:cs="Arial" w:eastAsia="Arial" w:hAnsi="Arial"/>
          <w:sz w:val="17"/>
          <w:szCs w:val="17"/>
          <w:color w:val="auto"/>
        </w:rPr>
        <w:t>In the first quarter of 2022, we initiated an open-label Phase 1/1b clinical trial to evaluate NGM831 as a monotherapy and in combination with pembrolizumab for the treatment of patients with advanced or metastatic solid tumors. A Phase 1, Part 1a cohort evaluating NGM831 as a monotherapy was initiated in the first quarter of 2022 and is ongoing. In addition, a Phase 1, Part 1b cohort evaluating NGM831 in combination with pembrolizumab was initiated in the third quarter of 2022 and is ongoing. We expect to enroll up to approximately 80 patients in these two cohorts.</w:t>
      </w:r>
    </w:p>
    <w:p>
      <w:pPr>
        <w:spacing w:after="0" w:line="71" w:lineRule="exact"/>
        <w:rPr>
          <w:rFonts w:ascii="Arial" w:cs="Arial" w:eastAsia="Arial" w:hAnsi="Arial"/>
          <w:sz w:val="17"/>
          <w:szCs w:val="17"/>
          <w:color w:val="auto"/>
        </w:rPr>
      </w:pPr>
    </w:p>
    <w:p>
      <w:pPr>
        <w:jc w:val="both"/>
        <w:ind w:left="1080" w:hanging="303"/>
        <w:spacing w:after="0" w:line="271" w:lineRule="auto"/>
        <w:tabs>
          <w:tab w:leader="none" w:pos="1076" w:val="left"/>
        </w:tabs>
        <w:numPr>
          <w:ilvl w:val="1"/>
          <w:numId w:val="35"/>
        </w:numPr>
        <w:rPr>
          <w:rFonts w:ascii="Arial" w:cs="Arial" w:eastAsia="Arial" w:hAnsi="Arial"/>
          <w:sz w:val="17"/>
          <w:szCs w:val="17"/>
          <w:color w:val="auto"/>
        </w:rPr>
      </w:pPr>
      <w:r>
        <w:rPr>
          <w:rFonts w:ascii="Arial" w:cs="Arial" w:eastAsia="Arial" w:hAnsi="Arial"/>
          <w:sz w:val="17"/>
          <w:szCs w:val="17"/>
          <w:b w:val="1"/>
          <w:bCs w:val="1"/>
          <w:color w:val="auto"/>
        </w:rPr>
        <w:t>NGM438</w:t>
      </w:r>
      <w:r>
        <w:rPr>
          <w:rFonts w:ascii="Arial" w:cs="Arial" w:eastAsia="Arial" w:hAnsi="Arial"/>
          <w:sz w:val="17"/>
          <w:szCs w:val="17"/>
          <w:color w:val="auto"/>
        </w:rPr>
        <w:t>. NGM438 is an antagonist antibody that is designed to inhibit leukocyte-associated immunoglobulin-like receptor 1, or</w:t>
      </w:r>
      <w:r>
        <w:rPr>
          <w:rFonts w:ascii="Arial" w:cs="Arial" w:eastAsia="Arial" w:hAnsi="Arial"/>
          <w:sz w:val="17"/>
          <w:szCs w:val="17"/>
          <w:b w:val="1"/>
          <w:bCs w:val="1"/>
          <w:color w:val="auto"/>
        </w:rPr>
        <w:t xml:space="preserve"> </w:t>
      </w:r>
      <w:r>
        <w:rPr>
          <w:rFonts w:ascii="Arial" w:cs="Arial" w:eastAsia="Arial" w:hAnsi="Arial"/>
          <w:sz w:val="17"/>
          <w:szCs w:val="17"/>
          <w:color w:val="auto"/>
        </w:rPr>
        <w:t>LAIR1, and thereby promote anti-tumor immune responses. NGM438 has the potential to potently block the binding of all collagens to LAIR1, including tumor-derived collagens. Collagens produced by the tumor stroma, meaning the non-malignant, non-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4" w:name="page85"/>
    <w:bookmarkEnd w:id="8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080"/>
        <w:spacing w:after="0" w:line="257" w:lineRule="auto"/>
        <w:rPr>
          <w:sz w:val="20"/>
          <w:szCs w:val="20"/>
          <w:color w:val="auto"/>
        </w:rPr>
      </w:pPr>
      <w:r>
        <w:rPr>
          <w:rFonts w:ascii="Arial" w:cs="Arial" w:eastAsia="Arial" w:hAnsi="Arial"/>
          <w:sz w:val="17"/>
          <w:szCs w:val="17"/>
          <w:color w:val="auto"/>
        </w:rPr>
        <w:t>immune components of the tumor,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91" w:lineRule="exact"/>
        <w:rPr>
          <w:sz w:val="20"/>
          <w:szCs w:val="20"/>
          <w:color w:val="auto"/>
        </w:rPr>
      </w:pPr>
    </w:p>
    <w:p>
      <w:pPr>
        <w:jc w:val="both"/>
        <w:ind w:left="1700" w:hanging="305"/>
        <w:spacing w:after="0" w:line="256" w:lineRule="auto"/>
        <w:tabs>
          <w:tab w:leader="none" w:pos="16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the second quarter of 2022, we initiated an open-label, Phase 1/1b clinical trial to evaluate NGM438 as a monotherapy and in combination with pembrolizumab for the treatment of patients with advanced or metastatic solid tumors. A Phase 1, Part 1a cohort evaluating NGM438 as a monotherapy commenced in the second quarter of 2022 and is ongoing. In addition, a Phase 1, Part 1b cohort evaluating NGM438 in combination with pembrolizumab commenced in the fourth quarter of 2022 and is ongoing. We expect to enroll up to approximately 80 patients in these two cohorts.</w:t>
      </w:r>
    </w:p>
    <w:p>
      <w:pPr>
        <w:spacing w:after="0" w:line="71" w:lineRule="exact"/>
        <w:rPr>
          <w:rFonts w:ascii="Arial" w:cs="Arial" w:eastAsia="Arial" w:hAnsi="Arial"/>
          <w:sz w:val="17"/>
          <w:szCs w:val="17"/>
          <w:color w:val="auto"/>
        </w:rPr>
      </w:pPr>
    </w:p>
    <w:p>
      <w:pPr>
        <w:jc w:val="both"/>
        <w:ind w:left="1080" w:hanging="303"/>
        <w:spacing w:after="0" w:line="263" w:lineRule="auto"/>
        <w:tabs>
          <w:tab w:leader="none" w:pos="1076"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NGM120</w:t>
      </w:r>
      <w:r>
        <w:rPr>
          <w:rFonts w:ascii="Arial" w:cs="Arial" w:eastAsia="Arial" w:hAnsi="Arial"/>
          <w:sz w:val="17"/>
          <w:szCs w:val="17"/>
          <w:color w:val="auto"/>
        </w:rPr>
        <w:t>. NGM120 is an antagonist antibody that binds to glial cell-derived neurotrophic factor receptor alpha-like, or GFRAL, and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 in mice.</w:t>
      </w:r>
    </w:p>
    <w:p>
      <w:pPr>
        <w:spacing w:after="0" w:line="297" w:lineRule="exact"/>
        <w:rPr>
          <w:rFonts w:ascii="Arial" w:cs="Arial" w:eastAsia="Arial" w:hAnsi="Arial"/>
          <w:sz w:val="17"/>
          <w:szCs w:val="17"/>
          <w:color w:val="auto"/>
        </w:rPr>
      </w:pPr>
    </w:p>
    <w:p>
      <w:pPr>
        <w:jc w:val="both"/>
        <w:ind w:left="1700" w:hanging="305"/>
        <w:spacing w:after="0" w:line="259" w:lineRule="auto"/>
        <w:tabs>
          <w:tab w:leader="none" w:pos="16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We are currently conducting a Phase 1/2 clinical trial to assess NGM120’s effect on cancer and cancer-related cachexia in patients with select advanced solid tumors, metastatic pancreatic cancer and metastatic castration-resistant prostate cancer, or mCRPC.</w:t>
      </w:r>
    </w:p>
    <w:p>
      <w:pPr>
        <w:spacing w:after="0" w:line="37" w:lineRule="exact"/>
        <w:rPr>
          <w:rFonts w:ascii="Arial" w:cs="Arial" w:eastAsia="Arial" w:hAnsi="Arial"/>
          <w:sz w:val="17"/>
          <w:szCs w:val="17"/>
          <w:color w:val="auto"/>
        </w:rPr>
      </w:pPr>
    </w:p>
    <w:p>
      <w:pPr>
        <w:ind w:left="1700"/>
        <w:spacing w:after="0"/>
        <w:rPr>
          <w:rFonts w:ascii="Arial" w:cs="Arial" w:eastAsia="Arial" w:hAnsi="Arial"/>
          <w:sz w:val="17"/>
          <w:szCs w:val="17"/>
          <w:color w:val="auto"/>
        </w:rPr>
      </w:pPr>
      <w:r>
        <w:rPr>
          <w:rFonts w:ascii="Arial" w:cs="Arial" w:eastAsia="Arial" w:hAnsi="Arial"/>
          <w:sz w:val="17"/>
          <w:szCs w:val="17"/>
          <w:color w:val="auto"/>
        </w:rPr>
        <w:t>The trial includes:</w:t>
      </w:r>
    </w:p>
    <w:p>
      <w:pPr>
        <w:spacing w:after="0" w:line="62" w:lineRule="exact"/>
        <w:rPr>
          <w:rFonts w:ascii="Arial" w:cs="Arial" w:eastAsia="Arial" w:hAnsi="Arial"/>
          <w:sz w:val="17"/>
          <w:szCs w:val="17"/>
          <w:color w:val="auto"/>
        </w:rPr>
      </w:pPr>
    </w:p>
    <w:p>
      <w:pPr>
        <w:ind w:left="2160" w:hanging="146"/>
        <w:spacing w:after="0"/>
        <w:tabs>
          <w:tab w:leader="none" w:pos="2160" w:val="left"/>
        </w:tabs>
        <w:numPr>
          <w:ilvl w:val="2"/>
          <w:numId w:val="36"/>
        </w:numPr>
        <w:rPr>
          <w:rFonts w:ascii="Arial" w:cs="Arial" w:eastAsia="Arial" w:hAnsi="Arial"/>
          <w:sz w:val="17"/>
          <w:szCs w:val="17"/>
          <w:color w:val="auto"/>
        </w:rPr>
      </w:pPr>
      <w:r>
        <w:rPr>
          <w:rFonts w:ascii="Arial" w:cs="Arial" w:eastAsia="Arial" w:hAnsi="Arial"/>
          <w:sz w:val="17"/>
          <w:szCs w:val="17"/>
          <w:color w:val="auto"/>
        </w:rPr>
        <w:t>a Phase 1a cohort evaluating NGM120 as a monotherapy in patients with select advanced solid tumors,</w:t>
      </w:r>
    </w:p>
    <w:p>
      <w:pPr>
        <w:spacing w:after="0" w:line="62" w:lineRule="exact"/>
        <w:rPr>
          <w:rFonts w:ascii="Arial" w:cs="Arial" w:eastAsia="Arial" w:hAnsi="Arial"/>
          <w:sz w:val="17"/>
          <w:szCs w:val="17"/>
          <w:color w:val="auto"/>
        </w:rPr>
      </w:pPr>
    </w:p>
    <w:p>
      <w:pPr>
        <w:ind w:left="2160" w:hanging="146"/>
        <w:spacing w:after="0" w:line="265" w:lineRule="auto"/>
        <w:tabs>
          <w:tab w:leader="none" w:pos="2156" w:val="left"/>
        </w:tabs>
        <w:numPr>
          <w:ilvl w:val="2"/>
          <w:numId w:val="36"/>
        </w:numPr>
        <w:rPr>
          <w:rFonts w:ascii="Arial" w:cs="Arial" w:eastAsia="Arial" w:hAnsi="Arial"/>
          <w:sz w:val="17"/>
          <w:szCs w:val="17"/>
          <w:color w:val="auto"/>
        </w:rPr>
      </w:pPr>
      <w:r>
        <w:rPr>
          <w:rFonts w:ascii="Arial" w:cs="Arial" w:eastAsia="Arial" w:hAnsi="Arial"/>
          <w:sz w:val="17"/>
          <w:szCs w:val="17"/>
          <w:color w:val="auto"/>
        </w:rPr>
        <w:t>a Phase 1b cohort evaluating NGM120 in combination with gemcitabine and Nab-paclitaxel in patients with metastatic pancreatic cancer,</w:t>
      </w:r>
    </w:p>
    <w:p>
      <w:pPr>
        <w:spacing w:after="0" w:line="32" w:lineRule="exact"/>
        <w:rPr>
          <w:rFonts w:ascii="Arial" w:cs="Arial" w:eastAsia="Arial" w:hAnsi="Arial"/>
          <w:sz w:val="17"/>
          <w:szCs w:val="17"/>
          <w:color w:val="auto"/>
        </w:rPr>
      </w:pPr>
    </w:p>
    <w:p>
      <w:pPr>
        <w:ind w:left="2160" w:hanging="146"/>
        <w:spacing w:after="0" w:line="265" w:lineRule="auto"/>
        <w:tabs>
          <w:tab w:leader="none" w:pos="2156" w:val="left"/>
        </w:tabs>
        <w:numPr>
          <w:ilvl w:val="2"/>
          <w:numId w:val="36"/>
        </w:numPr>
        <w:rPr>
          <w:rFonts w:ascii="Arial" w:cs="Arial" w:eastAsia="Arial" w:hAnsi="Arial"/>
          <w:sz w:val="17"/>
          <w:szCs w:val="17"/>
          <w:color w:val="auto"/>
        </w:rPr>
      </w:pPr>
      <w:r>
        <w:rPr>
          <w:rFonts w:ascii="Arial" w:cs="Arial" w:eastAsia="Arial" w:hAnsi="Arial"/>
          <w:sz w:val="17"/>
          <w:szCs w:val="17"/>
          <w:color w:val="auto"/>
        </w:rPr>
        <w:t>an additional Phase 1b cohort testing NGM120 in combination with one or more lines of hormone therapies in patients with mCRPC, and</w:t>
      </w:r>
    </w:p>
    <w:p>
      <w:pPr>
        <w:spacing w:after="0" w:line="32" w:lineRule="exact"/>
        <w:rPr>
          <w:rFonts w:ascii="Arial" w:cs="Arial" w:eastAsia="Arial" w:hAnsi="Arial"/>
          <w:sz w:val="17"/>
          <w:szCs w:val="17"/>
          <w:color w:val="auto"/>
        </w:rPr>
      </w:pPr>
    </w:p>
    <w:p>
      <w:pPr>
        <w:ind w:left="2160" w:right="420" w:hanging="146"/>
        <w:spacing w:after="0" w:line="265" w:lineRule="auto"/>
        <w:tabs>
          <w:tab w:leader="none" w:pos="2156" w:val="left"/>
        </w:tabs>
        <w:numPr>
          <w:ilvl w:val="2"/>
          <w:numId w:val="36"/>
        </w:numPr>
        <w:rPr>
          <w:rFonts w:ascii="Arial" w:cs="Arial" w:eastAsia="Arial" w:hAnsi="Arial"/>
          <w:sz w:val="17"/>
          <w:szCs w:val="17"/>
          <w:color w:val="auto"/>
        </w:rPr>
      </w:pPr>
      <w:r>
        <w:rPr>
          <w:rFonts w:ascii="Arial" w:cs="Arial" w:eastAsia="Arial" w:hAnsi="Arial"/>
          <w:sz w:val="17"/>
          <w:szCs w:val="17"/>
          <w:color w:val="auto"/>
        </w:rPr>
        <w:t>a Phase 2 cohort evaluating NGM120 in combination with gemcitabine and Nab-paclitaxel as first-line treatment in patients with metastatic pancreatic cancer (referred to as the PINNACLES trial).</w:t>
      </w:r>
    </w:p>
    <w:p>
      <w:pPr>
        <w:spacing w:after="0" w:line="32" w:lineRule="exact"/>
        <w:rPr>
          <w:rFonts w:ascii="Arial" w:cs="Arial" w:eastAsia="Arial" w:hAnsi="Arial"/>
          <w:sz w:val="17"/>
          <w:szCs w:val="17"/>
          <w:color w:val="auto"/>
        </w:rPr>
      </w:pPr>
    </w:p>
    <w:p>
      <w:pPr>
        <w:ind w:left="1700" w:hanging="305"/>
        <w:spacing w:after="0" w:line="265" w:lineRule="auto"/>
        <w:tabs>
          <w:tab w:leader="none" w:pos="16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August 2022, we initiated the Phase 1b cohort testing NGM120 in combination with one or more lines of hormone therapies in patients with mCRPC.</w:t>
      </w:r>
    </w:p>
    <w:p>
      <w:pPr>
        <w:spacing w:after="0" w:line="32" w:lineRule="exact"/>
        <w:rPr>
          <w:rFonts w:ascii="Arial" w:cs="Arial" w:eastAsia="Arial" w:hAnsi="Arial"/>
          <w:sz w:val="17"/>
          <w:szCs w:val="17"/>
          <w:color w:val="auto"/>
        </w:rPr>
      </w:pPr>
    </w:p>
    <w:p>
      <w:pPr>
        <w:ind w:left="1700" w:right="140" w:hanging="305"/>
        <w:spacing w:after="0" w:line="256" w:lineRule="auto"/>
        <w:tabs>
          <w:tab w:leader="none" w:pos="16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September 2022, at the European Society for Medical Oncology, or ESMO, Annual Congress, we reported updated preliminary findings for a subgroup of patients with advanced prostate cancer from the Phase 1a cohort evaluating NGM120 as a monotherapy in patients with select advanced solid tumors. The updated preliminary results reported at ESMO demonstrated that NGM120 was well tolerated with no dose-limiting toxicities and provided encouraging signals of anti-cancer activity in patients with advanced prostate cancer.</w:t>
      </w:r>
    </w:p>
    <w:p>
      <w:pPr>
        <w:spacing w:after="0" w:line="40" w:lineRule="exact"/>
        <w:rPr>
          <w:rFonts w:ascii="Arial" w:cs="Arial" w:eastAsia="Arial" w:hAnsi="Arial"/>
          <w:sz w:val="17"/>
          <w:szCs w:val="17"/>
          <w:color w:val="auto"/>
        </w:rPr>
      </w:pPr>
    </w:p>
    <w:p>
      <w:pPr>
        <w:jc w:val="both"/>
        <w:ind w:left="1700" w:hanging="305"/>
        <w:spacing w:after="0" w:line="256" w:lineRule="auto"/>
        <w:tabs>
          <w:tab w:leader="none" w:pos="16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In September 2022, at the American Association for Cancer Research, or AACR, Special Conference: Pancreatic Cancer, we reported updated preliminary findings from the Phase 1b cohort evaluating NGM120 in combination with gemcitabine and Nab-paclitaxel in patients with metastatic pancreatic cancer. The updated preliminary results reported at AACR demonstrated that NGM120 was well tolerated with no dose-limiting toxicities and provided encouraging signals of anti-cancer activity in patients with metastatic pancreatic cancer.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Programs Currently Without Significant Resource Allocation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Due to the need to conserve capital and prioritize focused execution, the remainder of our pipeline includes programs whose further development is primarily dependent on our ability to secure potential future BD Arrangements. These programs are in therapeutic areas where clinical development is relatively resource intensive and can have long timelines to generate proof-of-concept data. As a result, we are actively seeking, or intend to seek,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5" w:name="page86"/>
    <w:bookmarkEnd w:id="8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prioritization changes and we have access to the necessary capital to fund such development. These programs are set forth below:</w:t>
      </w:r>
    </w:p>
    <w:p>
      <w:pPr>
        <w:spacing w:after="0" w:line="94" w:lineRule="exact"/>
        <w:rPr>
          <w:sz w:val="20"/>
          <w:szCs w:val="20"/>
          <w:color w:val="auto"/>
        </w:rPr>
      </w:pPr>
    </w:p>
    <w:p>
      <w:pPr>
        <w:ind w:left="620" w:hanging="307"/>
        <w:spacing w:after="0"/>
        <w:tabs>
          <w:tab w:leader="none" w:pos="620"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Retinal diseases</w:t>
      </w:r>
      <w:r>
        <w:rPr>
          <w:rFonts w:ascii="Arial" w:cs="Arial" w:eastAsia="Arial" w:hAnsi="Arial"/>
          <w:sz w:val="17"/>
          <w:szCs w:val="17"/>
          <w:color w:val="auto"/>
        </w:rPr>
        <w:t>.</w:t>
      </w:r>
    </w:p>
    <w:p>
      <w:pPr>
        <w:spacing w:after="0" w:line="113" w:lineRule="exact"/>
        <w:rPr>
          <w:rFonts w:ascii="Arial" w:cs="Arial" w:eastAsia="Arial" w:hAnsi="Arial"/>
          <w:sz w:val="17"/>
          <w:szCs w:val="17"/>
          <w:b w:val="1"/>
          <w:bCs w:val="1"/>
          <w:color w:val="auto"/>
        </w:rPr>
      </w:pPr>
    </w:p>
    <w:p>
      <w:pPr>
        <w:jc w:val="both"/>
        <w:ind w:left="1080" w:hanging="303"/>
        <w:spacing w:after="0" w:line="271" w:lineRule="auto"/>
        <w:tabs>
          <w:tab w:leader="none" w:pos="1076" w:val="left"/>
        </w:tabs>
        <w:numPr>
          <w:ilvl w:val="2"/>
          <w:numId w:val="37"/>
        </w:numPr>
        <w:rPr>
          <w:rFonts w:ascii="Arial" w:cs="Arial" w:eastAsia="Arial" w:hAnsi="Arial"/>
          <w:sz w:val="17"/>
          <w:szCs w:val="17"/>
          <w:color w:val="auto"/>
        </w:rPr>
      </w:pPr>
      <w:r>
        <w:rPr>
          <w:rFonts w:ascii="Arial" w:cs="Arial" w:eastAsia="Arial" w:hAnsi="Arial"/>
          <w:sz w:val="17"/>
          <w:szCs w:val="17"/>
          <w:b w:val="1"/>
          <w:bCs w:val="1"/>
          <w:color w:val="auto"/>
        </w:rPr>
        <w:t>NGM621</w:t>
      </w:r>
      <w:r>
        <w:rPr>
          <w:rFonts w:ascii="Arial" w:cs="Arial" w:eastAsia="Arial" w:hAnsi="Arial"/>
          <w:sz w:val="17"/>
          <w:szCs w:val="17"/>
          <w:color w:val="auto"/>
        </w:rPr>
        <w:t>. NGM621 is a humanized Immunoglobulin 1, or IgG1, monoclonal antibody administered via intravitreal, or IVT, injection.</w:t>
      </w:r>
      <w:r>
        <w:rPr>
          <w:rFonts w:ascii="Arial" w:cs="Arial" w:eastAsia="Arial" w:hAnsi="Arial"/>
          <w:sz w:val="17"/>
          <w:szCs w:val="17"/>
          <w:b w:val="1"/>
          <w:bCs w:val="1"/>
          <w:color w:val="auto"/>
        </w:rPr>
        <w:t xml:space="preserve"> </w:t>
      </w:r>
      <w:r>
        <w:rPr>
          <w:rFonts w:ascii="Arial" w:cs="Arial" w:eastAsia="Arial" w:hAnsi="Arial"/>
          <w:sz w:val="17"/>
          <w:szCs w:val="17"/>
          <w:color w:val="auto"/>
        </w:rPr>
        <w:t>NGM621 was engineered to potently bind to, and be a long-acting inhibitor of, complement C3 with the treatment goal of reducing the rate of disease progression in patients with geographic atrophy, or GA, secondary to age-related macular degeneration, or AMD.</w:t>
      </w:r>
    </w:p>
    <w:p>
      <w:pPr>
        <w:spacing w:after="0" w:line="79" w:lineRule="exact"/>
        <w:rPr>
          <w:rFonts w:ascii="Arial" w:cs="Arial" w:eastAsia="Arial" w:hAnsi="Arial"/>
          <w:sz w:val="17"/>
          <w:szCs w:val="17"/>
          <w:color w:val="auto"/>
        </w:rPr>
      </w:pPr>
    </w:p>
    <w:p>
      <w:pPr>
        <w:jc w:val="both"/>
        <w:ind w:left="1700" w:hanging="305"/>
        <w:spacing w:after="0" w:line="255" w:lineRule="auto"/>
        <w:tabs>
          <w:tab w:leader="none" w:pos="1696" w:val="left"/>
        </w:tabs>
        <w:numPr>
          <w:ilvl w:val="3"/>
          <w:numId w:val="37"/>
        </w:numPr>
        <w:rPr>
          <w:rFonts w:ascii="Arial" w:cs="Arial" w:eastAsia="Arial" w:hAnsi="Arial"/>
          <w:sz w:val="17"/>
          <w:szCs w:val="17"/>
          <w:color w:val="auto"/>
        </w:rPr>
      </w:pPr>
      <w:r>
        <w:rPr>
          <w:rFonts w:ascii="Arial" w:cs="Arial" w:eastAsia="Arial" w:hAnsi="Arial"/>
          <w:sz w:val="17"/>
          <w:szCs w:val="17"/>
          <w:color w:val="auto"/>
        </w:rPr>
        <w:t>In October 2022, we announced topline results from the Phase 2 CATALINA clinical trial, which evaluated the efficacy and safety of NGM621 when given to patients with GA every four weeks or every eight weeks via IVT injections compared to sham control. The trial did not meet its primary endpoint of a statistically significant rate of change in GA lesion area using slope analysis over 52 weeks of treatment with NGM621 versus sham. NGM621 demonstrated a favorable safety profile, with no evidence of increased choroidal neovascularization in NGM621-treated patients compared to sham. In addition, there were no serious adverse events deemed treatment-related by an investigator.</w:t>
      </w:r>
    </w:p>
    <w:p>
      <w:pPr>
        <w:spacing w:after="0" w:line="43" w:lineRule="exact"/>
        <w:rPr>
          <w:rFonts w:ascii="Arial" w:cs="Arial" w:eastAsia="Arial" w:hAnsi="Arial"/>
          <w:sz w:val="17"/>
          <w:szCs w:val="17"/>
          <w:color w:val="auto"/>
        </w:rPr>
      </w:pPr>
    </w:p>
    <w:p>
      <w:pPr>
        <w:ind w:left="1700" w:hanging="305"/>
        <w:spacing w:after="0" w:line="265" w:lineRule="auto"/>
        <w:tabs>
          <w:tab w:leader="none" w:pos="1696" w:val="left"/>
        </w:tabs>
        <w:numPr>
          <w:ilvl w:val="3"/>
          <w:numId w:val="37"/>
        </w:numPr>
        <w:rPr>
          <w:rFonts w:ascii="Arial" w:cs="Arial" w:eastAsia="Arial" w:hAnsi="Arial"/>
          <w:sz w:val="17"/>
          <w:szCs w:val="17"/>
          <w:color w:val="auto"/>
        </w:rPr>
      </w:pPr>
      <w:r>
        <w:rPr>
          <w:rFonts w:ascii="Arial" w:cs="Arial" w:eastAsia="Arial" w:hAnsi="Arial"/>
          <w:sz w:val="17"/>
          <w:szCs w:val="17"/>
          <w:color w:val="auto"/>
        </w:rPr>
        <w:t>In November 2022, we presented additional findings from the CATALINA trial at The Retina Society Annual Scientific Meeting and we intend to continue to evaluate various pre-specified secondary endpoints and post-hoc analyses relating to NGM621.</w:t>
      </w:r>
    </w:p>
    <w:p>
      <w:pPr>
        <w:spacing w:after="0" w:line="32" w:lineRule="exact"/>
        <w:rPr>
          <w:rFonts w:ascii="Arial" w:cs="Arial" w:eastAsia="Arial" w:hAnsi="Arial"/>
          <w:sz w:val="17"/>
          <w:szCs w:val="17"/>
          <w:color w:val="auto"/>
        </w:rPr>
      </w:pPr>
    </w:p>
    <w:p>
      <w:pPr>
        <w:jc w:val="both"/>
        <w:ind w:left="1700" w:hanging="305"/>
        <w:spacing w:after="0" w:line="257" w:lineRule="auto"/>
        <w:tabs>
          <w:tab w:leader="none" w:pos="1696" w:val="left"/>
        </w:tabs>
        <w:numPr>
          <w:ilvl w:val="3"/>
          <w:numId w:val="37"/>
        </w:numPr>
        <w:rPr>
          <w:rFonts w:ascii="Arial" w:cs="Arial" w:eastAsia="Arial" w:hAnsi="Arial"/>
          <w:sz w:val="17"/>
          <w:szCs w:val="17"/>
          <w:color w:val="auto"/>
        </w:rPr>
      </w:pPr>
      <w:r>
        <w:rPr>
          <w:rFonts w:ascii="Arial" w:cs="Arial" w:eastAsia="Arial" w:hAnsi="Arial"/>
          <w:sz w:val="17"/>
          <w:szCs w:val="17"/>
          <w:color w:val="auto"/>
        </w:rPr>
        <w:t>Merck had a one-time option to license NGM621 and its related compounds upon completion of the CATALINA trial. In December 2022, Merck notified us that it would not exercise its option to license NGM621 and its related compounds, nor would Merck exercise the related ophthalmology bundle option; accordingly, these options expired unexercised in January 2023 and these programs are now wholly-owned by us.</w:t>
      </w:r>
    </w:p>
    <w:p>
      <w:pPr>
        <w:spacing w:after="0" w:line="39" w:lineRule="exact"/>
        <w:rPr>
          <w:rFonts w:ascii="Arial" w:cs="Arial" w:eastAsia="Arial" w:hAnsi="Arial"/>
          <w:sz w:val="17"/>
          <w:szCs w:val="17"/>
          <w:color w:val="auto"/>
        </w:rPr>
      </w:pPr>
    </w:p>
    <w:p>
      <w:pPr>
        <w:jc w:val="both"/>
        <w:ind w:left="1700" w:hanging="305"/>
        <w:spacing w:after="0" w:line="259" w:lineRule="auto"/>
        <w:tabs>
          <w:tab w:leader="none" w:pos="1696" w:val="left"/>
        </w:tabs>
        <w:numPr>
          <w:ilvl w:val="3"/>
          <w:numId w:val="37"/>
        </w:numPr>
        <w:rPr>
          <w:rFonts w:ascii="Arial" w:cs="Arial" w:eastAsia="Arial" w:hAnsi="Arial"/>
          <w:sz w:val="17"/>
          <w:szCs w:val="17"/>
          <w:b w:val="1"/>
          <w:bCs w:val="1"/>
          <w:i w:val="1"/>
          <w:iCs w:val="1"/>
          <w:color w:val="auto"/>
        </w:rPr>
      </w:pPr>
      <w:r>
        <w:rPr>
          <w:rFonts w:ascii="Arial" w:cs="Arial" w:eastAsia="Arial" w:hAnsi="Arial"/>
          <w:sz w:val="17"/>
          <w:szCs w:val="17"/>
          <w:color w:val="auto"/>
        </w:rPr>
        <w:t>Further development of NGM621 is primarily dependent on our ability to secure potential future BD Arrangements and, in the absence of such BD Arrangements, we are unlikely to be able to advance development of NGM621 unless our portfolio prioritization changes and we have access to the necessary capital to fund such development.</w:t>
      </w:r>
    </w:p>
    <w:p>
      <w:pPr>
        <w:spacing w:after="0" w:line="69" w:lineRule="exact"/>
        <w:rPr>
          <w:rFonts w:ascii="Arial" w:cs="Arial" w:eastAsia="Arial" w:hAnsi="Arial"/>
          <w:sz w:val="17"/>
          <w:szCs w:val="17"/>
          <w:b w:val="1"/>
          <w:bCs w:val="1"/>
          <w:i w:val="1"/>
          <w:iCs w:val="1"/>
          <w:color w:val="auto"/>
        </w:rPr>
      </w:pPr>
    </w:p>
    <w:p>
      <w:pPr>
        <w:ind w:left="460" w:hanging="302"/>
        <w:spacing w:after="0"/>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Liver and metabolic diseases.</w:t>
      </w:r>
    </w:p>
    <w:p>
      <w:pPr>
        <w:spacing w:after="0" w:line="113" w:lineRule="exact"/>
        <w:rPr>
          <w:rFonts w:ascii="Arial" w:cs="Arial" w:eastAsia="Arial" w:hAnsi="Arial"/>
          <w:sz w:val="17"/>
          <w:szCs w:val="17"/>
          <w:b w:val="1"/>
          <w:bCs w:val="1"/>
          <w:color w:val="auto"/>
        </w:rPr>
      </w:pPr>
    </w:p>
    <w:p>
      <w:pPr>
        <w:jc w:val="both"/>
        <w:ind w:left="1080" w:hanging="303"/>
        <w:spacing w:after="0" w:line="258" w:lineRule="auto"/>
        <w:tabs>
          <w:tab w:leader="none" w:pos="1076" w:val="left"/>
        </w:tabs>
        <w:numPr>
          <w:ilvl w:val="2"/>
          <w:numId w:val="37"/>
        </w:numPr>
        <w:rPr>
          <w:rFonts w:ascii="Arial" w:cs="Arial" w:eastAsia="Arial" w:hAnsi="Arial"/>
          <w:sz w:val="17"/>
          <w:szCs w:val="17"/>
          <w:color w:val="auto"/>
        </w:rPr>
      </w:pPr>
      <w:r>
        <w:rPr>
          <w:rFonts w:ascii="Arial" w:cs="Arial" w:eastAsia="Arial" w:hAnsi="Arial"/>
          <w:sz w:val="17"/>
          <w:szCs w:val="17"/>
          <w:b w:val="1"/>
          <w:bCs w:val="1"/>
          <w:color w:val="auto"/>
        </w:rPr>
        <w:t>Aldafermin</w:t>
      </w:r>
      <w:r>
        <w:rPr>
          <w:rFonts w:ascii="Arial" w:cs="Arial" w:eastAsia="Arial" w:hAnsi="Arial"/>
          <w:sz w:val="17"/>
          <w:szCs w:val="17"/>
          <w:color w:val="auto"/>
        </w:rPr>
        <w:t>. Aldafermin is an engineered analog of human hormone fibroblast growth factor 19, or FGF19, that is administered</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 once-daily subcutaneous injection. Aldafermin is wholly-owned by us. Aldafermin remains in Phase 2b development for the treatment of patients with compensated cirrhosis due to non-alcoholic steatohepatitis, or NASH (liver fibrosis stage 4, or F4, by the NASH Clinical Research Network classification). The Phase 2b ALPINE 4 clinical trial, which is fully enrolled, is designed to evaluate the treatment effect of aldafermin over 48 weeks. The primary endpoint for the trial is the Enhanced Liver Fibrosis, or ELF, test, a reproducible, quantitative non-invasive liver prognostic test that evaluates liver fibrosis and correlates to liver-related outcomes. The ELF test is a composite blood test measuring the presence of three biomarkers associated with liver matrix metabolism. Liver biopsy data will also be measured and reported as a secondary endpoint upon completion of the trial.</w:t>
      </w:r>
    </w:p>
    <w:p>
      <w:pPr>
        <w:spacing w:after="0" w:line="92" w:lineRule="exact"/>
        <w:rPr>
          <w:rFonts w:ascii="Arial" w:cs="Arial" w:eastAsia="Arial" w:hAnsi="Arial"/>
          <w:sz w:val="17"/>
          <w:szCs w:val="17"/>
          <w:color w:val="auto"/>
        </w:rPr>
      </w:pPr>
    </w:p>
    <w:p>
      <w:pPr>
        <w:jc w:val="both"/>
        <w:ind w:left="1700" w:hanging="305"/>
        <w:spacing w:after="0" w:line="259" w:lineRule="auto"/>
        <w:tabs>
          <w:tab w:leader="none" w:pos="1696" w:val="left"/>
        </w:tabs>
        <w:numPr>
          <w:ilvl w:val="3"/>
          <w:numId w:val="37"/>
        </w:numPr>
        <w:rPr>
          <w:rFonts w:ascii="Arial" w:cs="Arial" w:eastAsia="Arial" w:hAnsi="Arial"/>
          <w:sz w:val="17"/>
          <w:szCs w:val="17"/>
          <w:b w:val="1"/>
          <w:bCs w:val="1"/>
          <w:i w:val="1"/>
          <w:iCs w:val="1"/>
          <w:color w:val="auto"/>
        </w:rPr>
      </w:pPr>
      <w:r>
        <w:rPr>
          <w:rFonts w:ascii="Arial" w:cs="Arial" w:eastAsia="Arial" w:hAnsi="Arial"/>
          <w:sz w:val="17"/>
          <w:szCs w:val="17"/>
          <w:color w:val="auto"/>
        </w:rPr>
        <w:t>Further development of aldafermin is primarily dependent on our ability to secure potential future BD Arrangements and, in the absence of such BD Arrangements, we are unlikely to be able to advance development of aldafermin unless our portfolio prioritization changes and we have access to the necessary capital to fund such development.</w:t>
      </w:r>
    </w:p>
    <w:p>
      <w:pPr>
        <w:spacing w:after="0" w:line="69" w:lineRule="exact"/>
        <w:rPr>
          <w:rFonts w:ascii="Arial" w:cs="Arial" w:eastAsia="Arial" w:hAnsi="Arial"/>
          <w:sz w:val="17"/>
          <w:szCs w:val="17"/>
          <w:b w:val="1"/>
          <w:bCs w:val="1"/>
          <w:i w:val="1"/>
          <w:iCs w:val="1"/>
          <w:color w:val="auto"/>
        </w:rPr>
      </w:pPr>
    </w:p>
    <w:p>
      <w:pPr>
        <w:ind w:left="1700" w:hanging="305"/>
        <w:spacing w:after="0"/>
        <w:tabs>
          <w:tab w:leader="none" w:pos="1700" w:val="left"/>
        </w:tabs>
        <w:numPr>
          <w:ilvl w:val="3"/>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Looking forward: </w:t>
      </w:r>
      <w:r>
        <w:rPr>
          <w:rFonts w:ascii="Arial" w:cs="Arial" w:eastAsia="Arial" w:hAnsi="Arial"/>
          <w:sz w:val="17"/>
          <w:szCs w:val="17"/>
          <w:color w:val="auto"/>
        </w:rPr>
        <w:t>We expect to report topline data from the Phase 2b ALPINE 4 trial in the second quarter of 2023.</w:t>
      </w:r>
    </w:p>
    <w:p>
      <w:pPr>
        <w:spacing w:after="0" w:line="113" w:lineRule="exact"/>
        <w:rPr>
          <w:rFonts w:ascii="Arial" w:cs="Arial" w:eastAsia="Arial" w:hAnsi="Arial"/>
          <w:sz w:val="17"/>
          <w:szCs w:val="17"/>
          <w:color w:val="auto"/>
        </w:rPr>
      </w:pPr>
    </w:p>
    <w:p>
      <w:pPr>
        <w:jc w:val="both"/>
        <w:ind w:left="1080" w:hanging="303"/>
        <w:spacing w:after="0" w:line="271" w:lineRule="auto"/>
        <w:tabs>
          <w:tab w:leader="none" w:pos="1076" w:val="left"/>
        </w:tabs>
        <w:numPr>
          <w:ilvl w:val="2"/>
          <w:numId w:val="37"/>
        </w:numPr>
        <w:rPr>
          <w:rFonts w:ascii="Arial" w:cs="Arial" w:eastAsia="Arial" w:hAnsi="Arial"/>
          <w:sz w:val="17"/>
          <w:szCs w:val="17"/>
          <w:color w:val="auto"/>
        </w:rPr>
      </w:pPr>
      <w:r>
        <w:rPr>
          <w:rFonts w:ascii="Arial" w:cs="Arial" w:eastAsia="Arial" w:hAnsi="Arial"/>
          <w:sz w:val="17"/>
          <w:szCs w:val="17"/>
          <w:b w:val="1"/>
          <w:bCs w:val="1"/>
          <w:color w:val="auto"/>
        </w:rPr>
        <w:t>MK-3655 (NGM313)</w:t>
      </w:r>
      <w:r>
        <w:rPr>
          <w:rFonts w:ascii="Arial" w:cs="Arial" w:eastAsia="Arial" w:hAnsi="Arial"/>
          <w:sz w:val="17"/>
          <w:szCs w:val="17"/>
          <w:color w:val="auto"/>
        </w:rPr>
        <w:t>. MK-3655 is an agonistic antibody discovered by us that selectively activates fibroblast growth factor receptor</w:t>
      </w:r>
      <w:r>
        <w:rPr>
          <w:rFonts w:ascii="Arial" w:cs="Arial" w:eastAsia="Arial" w:hAnsi="Arial"/>
          <w:sz w:val="17"/>
          <w:szCs w:val="17"/>
          <w:b w:val="1"/>
          <w:bCs w:val="1"/>
          <w:color w:val="auto"/>
        </w:rPr>
        <w:t xml:space="preserve"> </w:t>
      </w:r>
      <w:r>
        <w:rPr>
          <w:rFonts w:ascii="Arial" w:cs="Arial" w:eastAsia="Arial" w:hAnsi="Arial"/>
          <w:sz w:val="17"/>
          <w:szCs w:val="17"/>
          <w:color w:val="auto"/>
        </w:rPr>
        <w:t>1c-beta-klotho, or FGFR1c/KLB, which regulates insulin sensitivity, blood glucose and liver fat and is administered every four weeks through a subcutaneous injection. MK-3655 was licensed by Merck in November 2018.</w:t>
      </w:r>
    </w:p>
    <w:p>
      <w:pPr>
        <w:spacing w:after="0" w:line="79" w:lineRule="exact"/>
        <w:rPr>
          <w:rFonts w:ascii="Arial" w:cs="Arial" w:eastAsia="Arial" w:hAnsi="Arial"/>
          <w:sz w:val="17"/>
          <w:szCs w:val="17"/>
          <w:color w:val="auto"/>
        </w:rPr>
      </w:pPr>
    </w:p>
    <w:p>
      <w:pPr>
        <w:jc w:val="both"/>
        <w:ind w:left="1700" w:hanging="305"/>
        <w:spacing w:after="0" w:line="259" w:lineRule="auto"/>
        <w:tabs>
          <w:tab w:leader="none" w:pos="1696" w:val="left"/>
        </w:tabs>
        <w:numPr>
          <w:ilvl w:val="3"/>
          <w:numId w:val="37"/>
        </w:numPr>
        <w:rPr>
          <w:rFonts w:ascii="Arial" w:cs="Arial" w:eastAsia="Arial" w:hAnsi="Arial"/>
          <w:sz w:val="17"/>
          <w:szCs w:val="17"/>
          <w:b w:val="1"/>
          <w:bCs w:val="1"/>
          <w:i w:val="1"/>
          <w:iCs w:val="1"/>
          <w:color w:val="auto"/>
        </w:rPr>
      </w:pPr>
      <w:r>
        <w:rPr>
          <w:rFonts w:ascii="Arial" w:cs="Arial" w:eastAsia="Arial" w:hAnsi="Arial"/>
          <w:sz w:val="17"/>
          <w:szCs w:val="17"/>
          <w:color w:val="auto"/>
        </w:rPr>
        <w:t>In January 2023, we announced that Merck notified us of its decision to terminate the Phase 2b trial of MK-3655 in patients with NASH and liver fibrosis stage 2 or 3 based on the results of an interim analysis of safety and reduction in liver fat at Week 24. Although it was not the primary endpoint of the trial, the percent reduction from baseline in liver fat for MK-3655,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6" w:name="page87"/>
    <w:bookmarkEnd w:id="8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700"/>
        <w:spacing w:after="0" w:line="256" w:lineRule="auto"/>
        <w:rPr>
          <w:sz w:val="20"/>
          <w:szCs w:val="20"/>
          <w:color w:val="auto"/>
        </w:rPr>
      </w:pPr>
      <w:r>
        <w:rPr>
          <w:rFonts w:ascii="Arial" w:cs="Arial" w:eastAsia="Arial" w:hAnsi="Arial"/>
          <w:sz w:val="17"/>
          <w:szCs w:val="17"/>
          <w:color w:val="auto"/>
        </w:rPr>
        <w:t>while greater than placebo across multiple dose arms, did not reach Merck’s threshold for continuing the trial. The trial was not discontinued for safety concerns. Later in January 2023, Merck also provided us with the required 90-days' notice of partial termination of our collaboration with Merck as it relates to MK-3655 and its related compounds. As a result, in late April 2023, the license rights granted to Merck in 2018 with respect to MK-3655 will revert to us and the program will become wholly-owned by us.</w:t>
      </w:r>
    </w:p>
    <w:p>
      <w:pPr>
        <w:spacing w:after="0" w:line="40" w:lineRule="exact"/>
        <w:rPr>
          <w:sz w:val="20"/>
          <w:szCs w:val="20"/>
          <w:color w:val="auto"/>
        </w:rPr>
      </w:pPr>
    </w:p>
    <w:p>
      <w:pPr>
        <w:jc w:val="both"/>
        <w:ind w:left="1700" w:hanging="305"/>
        <w:spacing w:after="0" w:line="257" w:lineRule="auto"/>
        <w:tabs>
          <w:tab w:leader="none" w:pos="1696" w:val="left"/>
        </w:tabs>
        <w:numPr>
          <w:ilvl w:val="2"/>
          <w:numId w:val="38"/>
        </w:numPr>
        <w:rPr>
          <w:rFonts w:ascii="Arial" w:cs="Arial" w:eastAsia="Arial" w:hAnsi="Arial"/>
          <w:sz w:val="17"/>
          <w:szCs w:val="17"/>
          <w:b w:val="1"/>
          <w:bCs w:val="1"/>
          <w:i w:val="1"/>
          <w:iCs w:val="1"/>
          <w:color w:val="auto"/>
        </w:rPr>
      </w:pPr>
      <w:r>
        <w:rPr>
          <w:rFonts w:ascii="Arial" w:cs="Arial" w:eastAsia="Arial" w:hAnsi="Arial"/>
          <w:sz w:val="17"/>
          <w:szCs w:val="17"/>
          <w:color w:val="auto"/>
        </w:rPr>
        <w:t>Further development of MK-3655 once termination of Merck's license is effective is primarily dependent on our ability to secure potential future BD Arrangements and, in the absence of such BD Arrangements, we are unlikely to be able to advance development of MK-3655 unless our portfolio prioritization changes and we have access to the necessary capital to fund such development.</w:t>
      </w:r>
    </w:p>
    <w:p>
      <w:pPr>
        <w:spacing w:after="0" w:line="70" w:lineRule="exact"/>
        <w:rPr>
          <w:rFonts w:ascii="Arial" w:cs="Arial" w:eastAsia="Arial" w:hAnsi="Arial"/>
          <w:sz w:val="17"/>
          <w:szCs w:val="17"/>
          <w:b w:val="1"/>
          <w:bCs w:val="1"/>
          <w:i w:val="1"/>
          <w:iCs w:val="1"/>
          <w:color w:val="auto"/>
        </w:rPr>
      </w:pPr>
    </w:p>
    <w:p>
      <w:pPr>
        <w:ind w:left="460" w:hanging="302"/>
        <w:spacing w:after="0"/>
        <w:tabs>
          <w:tab w:leader="none" w:pos="4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Hematologic cancer diseases.</w:t>
      </w:r>
    </w:p>
    <w:p>
      <w:pPr>
        <w:spacing w:after="0" w:line="113" w:lineRule="exact"/>
        <w:rPr>
          <w:rFonts w:ascii="Arial" w:cs="Arial" w:eastAsia="Arial" w:hAnsi="Arial"/>
          <w:sz w:val="17"/>
          <w:szCs w:val="17"/>
          <w:b w:val="1"/>
          <w:bCs w:val="1"/>
          <w:color w:val="auto"/>
        </w:rPr>
      </w:pPr>
    </w:p>
    <w:p>
      <w:pPr>
        <w:jc w:val="both"/>
        <w:ind w:left="1080" w:hanging="303"/>
        <w:spacing w:after="0" w:line="260" w:lineRule="auto"/>
        <w:tabs>
          <w:tab w:leader="none" w:pos="1076"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NGM936. </w:t>
      </w:r>
      <w:r>
        <w:rPr>
          <w:rFonts w:ascii="Arial" w:cs="Arial" w:eastAsia="Arial" w:hAnsi="Arial"/>
          <w:sz w:val="17"/>
          <w:szCs w:val="17"/>
          <w:color w:val="auto"/>
        </w:rPr>
        <w:t>NGM936 is a bispecific T cell engager therapeutic candidate for the treatment of hematologic malignancies that targets</w:t>
      </w:r>
      <w:r>
        <w:rPr>
          <w:rFonts w:ascii="Arial" w:cs="Arial" w:eastAsia="Arial" w:hAnsi="Arial"/>
          <w:sz w:val="17"/>
          <w:szCs w:val="17"/>
          <w:b w:val="1"/>
          <w:bCs w:val="1"/>
          <w:color w:val="auto"/>
        </w:rPr>
        <w:t xml:space="preserve"> </w:t>
      </w:r>
      <w:r>
        <w:rPr>
          <w:rFonts w:ascii="Arial" w:cs="Arial" w:eastAsia="Arial" w:hAnsi="Arial"/>
          <w:sz w:val="17"/>
          <w:szCs w:val="17"/>
          <w:color w:val="auto"/>
        </w:rPr>
        <w:t>ILT3 and cluster of differentiation 3, or CD3. NGM936 is designed to direct T cell mediated killing of ILT3-positive cancer cells while sparing normal hematopoietic stem cells, or HSCs, and minimizing CD3-driven cytokine release. ILT3, a myeloid-cell restricted receptor, has enriched expression in myelomonocytic leukemia, monocytic leukemia and leukemia stem cells but is not expressed on healthy HSCs. This expression profile of ILT3 may make it an effective target for the treatment of monocytic acute myeloid leukemia, or AML, and multiple myeloma.</w:t>
      </w:r>
    </w:p>
    <w:p>
      <w:pPr>
        <w:spacing w:after="0" w:line="90" w:lineRule="exact"/>
        <w:rPr>
          <w:rFonts w:ascii="Arial" w:cs="Arial" w:eastAsia="Arial" w:hAnsi="Arial"/>
          <w:sz w:val="17"/>
          <w:szCs w:val="17"/>
          <w:color w:val="auto"/>
        </w:rPr>
      </w:pPr>
    </w:p>
    <w:p>
      <w:pPr>
        <w:ind w:left="1700" w:hanging="305"/>
        <w:spacing w:after="0" w:line="265" w:lineRule="auto"/>
        <w:tabs>
          <w:tab w:leader="none" w:pos="1696" w:val="left"/>
        </w:tabs>
        <w:numPr>
          <w:ilvl w:val="2"/>
          <w:numId w:val="38"/>
        </w:numPr>
        <w:rPr>
          <w:rFonts w:ascii="Arial" w:cs="Arial" w:eastAsia="Arial" w:hAnsi="Arial"/>
          <w:sz w:val="17"/>
          <w:szCs w:val="17"/>
          <w:color w:val="auto"/>
        </w:rPr>
      </w:pPr>
      <w:r>
        <w:rPr>
          <w:rFonts w:ascii="Arial" w:cs="Arial" w:eastAsia="Arial" w:hAnsi="Arial"/>
          <w:sz w:val="17"/>
          <w:szCs w:val="17"/>
          <w:color w:val="auto"/>
        </w:rPr>
        <w:t>NGM936 has been evaluated in preclinical studies, where it has demonstrated the ability to potently kill ILT3+ AML cells, kill ILT3+ multiple myeloma cells and preserve healthy bone marrow cells.</w:t>
      </w:r>
    </w:p>
    <w:p>
      <w:pPr>
        <w:spacing w:after="0" w:line="32" w:lineRule="exact"/>
        <w:rPr>
          <w:rFonts w:ascii="Arial" w:cs="Arial" w:eastAsia="Arial" w:hAnsi="Arial"/>
          <w:sz w:val="17"/>
          <w:szCs w:val="17"/>
          <w:color w:val="auto"/>
        </w:rPr>
      </w:pPr>
    </w:p>
    <w:p>
      <w:pPr>
        <w:ind w:left="1700" w:right="80" w:hanging="305"/>
        <w:spacing w:after="0" w:line="259" w:lineRule="auto"/>
        <w:tabs>
          <w:tab w:leader="none" w:pos="1696" w:val="left"/>
        </w:tabs>
        <w:numPr>
          <w:ilvl w:val="2"/>
          <w:numId w:val="38"/>
        </w:numPr>
        <w:rPr>
          <w:rFonts w:ascii="Arial" w:cs="Arial" w:eastAsia="Arial" w:hAnsi="Arial"/>
          <w:sz w:val="17"/>
          <w:szCs w:val="17"/>
          <w:b w:val="1"/>
          <w:bCs w:val="1"/>
          <w:i w:val="1"/>
          <w:iCs w:val="1"/>
          <w:color w:val="auto"/>
        </w:rPr>
      </w:pPr>
      <w:r>
        <w:rPr>
          <w:rFonts w:ascii="Arial" w:cs="Arial" w:eastAsia="Arial" w:hAnsi="Arial"/>
          <w:sz w:val="17"/>
          <w:szCs w:val="17"/>
          <w:color w:val="auto"/>
        </w:rPr>
        <w:t>Further development of NGM936 is primarily dependent on our ability to secure potential future BD Arrangements and, in the absence of such BD Arrangements, we are unlikely to be able to advance development of NGM936 unless our portfolio prioritization changes and we have access to the necessary capital to fund such development.</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additional programs that are in various stages of development ranging from functional validation to preclinical development.</w:t>
      </w:r>
    </w:p>
    <w:p>
      <w:pPr>
        <w:spacing w:after="0" w:line="11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success of each of our product candidates may be affected by numerous factors, including preclinical data, clinical data, competition, manufacturing capability, sales capability, any future partners, the sufficiency of our cash resources, regulatory matters, third-party payor matters and commercial viability. We do not have any products approved for sale and do not anticipate generating revenue from product sales for the foreseeable future, if ever.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Development and Merck Collaboration Updates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Pursuing BD Arrangements has been and is expected to continue to be a key component of our strategy. Given the breadth of opportunities that have been, and may in the future be, produced by our discovery engine, we are actively seeking, or intend to seek, BD Arrangements with third-party partners to progress, in whole or in part, the development of one or more of our product candidates. We believe that this strategy, if successfully implemented, may enable more of the programs in our pipeline, including those in active development by us, to be advanced as effectively and efficiently as possible. Further development of NGM621, aldafermin, NGM936 and, once termination of Merck's license is effective, MK-3655, is primarily dependent on our ability to secure potential future BD Arrangements and, in the absence of such BD Arrangements, we are unlikely to be able to advance development of those programs unless our portfolio prioritization changes and we have access to the necessary capital to fund such development.</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collaboration with Merck, described in "Business — Licensing and Collaboration Arrangements — Merck Collaboration" in Part I, Item 1 of this Annual Report on Form 10-K and Note 5, “Research Collaboration and License Agreements,” of the notes to audited consolidated financial statements included in Part II, Item 8 of this Annual Report on Form 10-K, historically provided us with robust financial support that enabled us to broaden and accelerate our research efforts and to develop more product candidates for major indications than we likely could have advanced on our own. We do not have any committed external source of funds, other than pursuant to our collaboration with Merck under the amended and restated research collaboration, product development and license agreement we entered into with Merck on June 30, 2021, or the Amended Collaboration Agreement. Currently, the only ongoing activities funded under the Amended Collaboration Agreement are ongoing cardiovascular or metabolic-, or CVM-, related activities and remaining laboratory testing and other activities on compounds that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7" w:name="page88"/>
    <w:bookmarkEnd w:id="8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directed to one of up to two undisclosed targets outside of the fields of ophthalmology and CVM disease, or the Lab Programs, collectively referred to as the Remaining Research Programs. In 2023, the R&amp;D funding we receive from Merck under the Amended Collaboration Agreement will be limited and substantially lower on an annual basis than the research funding previously provided by Merck. In this regard, for the period that started on January 1, 2023 and ends on March 31, 2024, we expect to receive funding of approximately $13.0 million in the aggregate from Merck for activities under the Remaining Research Programs and for certain costs and reimbursements related to the NGM621 program. Funding from Merck after December 31, 2023 is expected to be minimal. The research phase for the CVM-related programs under the Amended Collaboration Agreement will continue through March 31, 2024, unless the parties mutually agree to extend the research phase through March 31, 2026, in which case Merck would provide up to a total of $20.0 million in R&amp;D funding during the additional two years of the CVM program research phase.</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December 2022, Merck notified us that it would not exercise its option to license NGM621 and its related compounds or the related ophthalmology bundle option and, as a result, those options expired unexercised in January 2023. Further, Merck did not elect for us to continue to conduct R&amp;D on any compounds from our other ophthalmology programs that were subject to the collaboration, which are preclinical and directed to undisclosed targets. Such an election would have resulted in an extended or tail period in which Merck would continue to fund our R&amp;D of such ophthalmology compounds. Because Merck did not make such an election, we do not have any funding from Merck to pursue such ophthalmology programs. Similarly, in January 2023, as described above, we announced that Merck notified us of its decision to terminate the Phase 2b trial of MK-3655. Later in January 2023, Merck provided us with the required 90-days' notice of partial termination of the Amended Collaboration Agreement as it relates to MK-3655 and its related compounds. After the license rights granted to Merck with respect to MK-3655 revert to us, we will be responsible for funding further development of the program, if 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Operational Updates</w:t>
      </w:r>
    </w:p>
    <w:p>
      <w:pPr>
        <w:spacing w:after="0" w:line="134"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7"/>
          <w:szCs w:val="17"/>
          <w:color w:val="auto"/>
        </w:rPr>
        <w:t>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or R&amp;D, resources are focused, and will continue to be focused, on the manufacture and testing of clinical trial materials. If our CROs and CMOs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ongoing COVID-19 pandemic or otherwise, our ongoing and planned trials and possible acceleration or expansion of those trials may be delayed, perhaps substantially, or abandoned, which could materially and adversely affect our business. For example, while we initiated the Phase 1/1b clinical trial of NGM831 in March 2022 and the Phase 1/1b clinical trial of NGM438 in May 2022, our planned individual new drug application, or IND, submissions for NGM831 and NGM438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 goods and services may negatively impact our business operations and our financial results</w:t>
      </w:r>
      <w:r>
        <w:rPr>
          <w:rFonts w:ascii="Arial" w:cs="Arial" w:eastAsia="Arial" w:hAnsi="Arial"/>
          <w:sz w:val="17"/>
          <w:szCs w:val="17"/>
          <w:color w:val="008080"/>
        </w:rPr>
        <w:t>.</w:t>
      </w:r>
    </w:p>
    <w:p>
      <w:pPr>
        <w:spacing w:after="0" w:line="10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all of our product candidates other than NGM621 and aldafermin are currently manufactured solely at a facility in Lithuania. Following Russia's invasion of Ukraine in February 2022, NATO deployed additional military forces to Eastern Europe, including to Lithuania. The ongoing conflict between Russia and Ukraine and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8" w:name="page89"/>
    <w:bookmarkEnd w:id="8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July 2022, we entered into an operating lease agreement, or the 2024 Lease Agreement, for our existing corporate office space and facilities at 333 Oyster Point Blvd., South San Francisco, California, which allows us to remain in our existing facilities through December 31, 2033, subject to our compliance with the 2024 Lease Agreement. We also have an option to extend the 2024 Lease Agreement for a period of either eight or ten years after the initial ten-year term of January 1, 2024 to December 31, 2033.</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seek to allocate our capital efficiently and strategically and fund our portfolio based on each program’s scientific and other merits. Our discipline has been demonstrated by our decision not to proceed with development activities on multiple potentially viable product candidates for portfolio management and capital conservation reasons to concentrate our resources and focus our execution on our solid tumor oncology programs. Given the substantial decrease in research funding, we will now receive from Merck as compared to historical periods commensurate with the decreased collaboration scope described below, going forward we will need to devote a substantial amount of our own financial resources to fund our R&amp;D programs, and we may need to delay or suspend development activities on product candidates that we consider promising unless and until we are able to raise sufficient additional capital and/or we will need to enter into additional BD Arrangements in order to proceed with such development through to regulatory approval.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Since inception, we have funded our operations primarily through:</w:t>
      </w:r>
    </w:p>
    <w:p>
      <w:pPr>
        <w:spacing w:after="0" w:line="62" w:lineRule="exact"/>
        <w:rPr>
          <w:sz w:val="20"/>
          <w:szCs w:val="20"/>
          <w:color w:val="auto"/>
        </w:rPr>
      </w:pPr>
    </w:p>
    <w:p>
      <w:pPr>
        <w:jc w:val="both"/>
        <w:ind w:left="1240" w:hanging="309"/>
        <w:spacing w:after="0" w:line="259"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fees received from collaboration partners which since inception through December 31, 2022 includes reimbursement of R&amp;D expenses of $533.0 million, and upfront cash licensing fees of $123.0 million, primarily from Merck, and a payment of $20.0 million from Merck to license MK-3655 and related compounds;</w:t>
      </w:r>
    </w:p>
    <w:p>
      <w:pPr>
        <w:spacing w:after="0" w:line="37" w:lineRule="exact"/>
        <w:rPr>
          <w:rFonts w:ascii="Arial" w:cs="Arial" w:eastAsia="Arial" w:hAnsi="Arial"/>
          <w:sz w:val="17"/>
          <w:szCs w:val="17"/>
          <w:color w:val="auto"/>
        </w:rPr>
      </w:pPr>
    </w:p>
    <w:p>
      <w:pPr>
        <w:ind w:left="1240" w:hanging="309"/>
        <w:spacing w:after="0" w:line="265"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proceeds from private placements of convertible preferred stock prior to our initial public offering, or IPO, including approximately $106.0 million of our Series E convertible preferred stock purchased by Merck;</w:t>
      </w:r>
    </w:p>
    <w:p>
      <w:pPr>
        <w:spacing w:after="0" w:line="32" w:lineRule="exact"/>
        <w:rPr>
          <w:rFonts w:ascii="Arial" w:cs="Arial" w:eastAsia="Arial" w:hAnsi="Arial"/>
          <w:sz w:val="17"/>
          <w:szCs w:val="17"/>
          <w:color w:val="auto"/>
        </w:rPr>
      </w:pPr>
    </w:p>
    <w:p>
      <w:pPr>
        <w:ind w:left="1240" w:hanging="309"/>
        <w:spacing w:after="0" w:line="265"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net proceeds from our IPO in 2019 of approximately $107.8 million, together with proceeds from the concurrent private placement of shares of common stock to Merck of $65.9 million;</w:t>
      </w:r>
    </w:p>
    <w:p>
      <w:pPr>
        <w:spacing w:after="0" w:line="32" w:lineRule="exact"/>
        <w:rPr>
          <w:rFonts w:ascii="Arial" w:cs="Arial" w:eastAsia="Arial" w:hAnsi="Arial"/>
          <w:sz w:val="17"/>
          <w:szCs w:val="17"/>
          <w:color w:val="auto"/>
        </w:rPr>
      </w:pPr>
    </w:p>
    <w:p>
      <w:pPr>
        <w:jc w:val="both"/>
        <w:ind w:left="1240" w:hanging="309"/>
        <w:spacing w:after="0" w:line="259"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 and</w:t>
      </w:r>
    </w:p>
    <w:p>
      <w:pPr>
        <w:spacing w:after="0" w:line="37" w:lineRule="exact"/>
        <w:rPr>
          <w:rFonts w:ascii="Arial" w:cs="Arial" w:eastAsia="Arial" w:hAnsi="Arial"/>
          <w:sz w:val="17"/>
          <w:szCs w:val="17"/>
          <w:color w:val="auto"/>
        </w:rPr>
      </w:pPr>
    </w:p>
    <w:p>
      <w:pPr>
        <w:ind w:left="1240" w:hanging="309"/>
        <w:spacing w:after="0" w:line="270"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net proceeds of $71.5 million through December 31, 2022 from sales of approximately 4.1 million shares of our common stock under an Open Market Sale Agreement</w:t>
      </w:r>
      <w:r>
        <w:rPr>
          <w:rFonts w:ascii="Arial" w:cs="Arial" w:eastAsia="Arial" w:hAnsi="Arial"/>
          <w:sz w:val="22"/>
          <w:szCs w:val="22"/>
          <w:color w:val="auto"/>
          <w:vertAlign w:val="superscript"/>
        </w:rPr>
        <w:t>SM</w:t>
      </w:r>
      <w:r>
        <w:rPr>
          <w:rFonts w:ascii="Arial" w:cs="Arial" w:eastAsia="Arial" w:hAnsi="Arial"/>
          <w:sz w:val="17"/>
          <w:szCs w:val="17"/>
          <w:color w:val="auto"/>
        </w:rPr>
        <w:t>, or the Sales Agreement, we entered into with Jefferies LLC, or Jefferies, in June 2020.</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December 31, 2022, we had $271.5 million in cash, cash equivalents and short-term marketable securities.</w:t>
      </w:r>
    </w:p>
    <w:p>
      <w:pPr>
        <w:spacing w:after="0" w:line="11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have incurred net losses each year since our inception. As of December 31, 2022, we had an accumulated deficit of $581.6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future BD Arrangements, if any. For further discussion of our financial position and future sources of funding, see “Liquidity and Capital Resources”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89" w:name="page90"/>
    <w:bookmarkEnd w:id="8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Operations 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Revenue</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revenue to date has been generated primarily from recognition of license fees and R&amp;D service funding pursuant to our collaboration with Merck. Merck is also a significant stockholder and, as such, collaboration revenue from Merck is referred to as related party revenue.</w:t>
      </w:r>
    </w:p>
    <w:p>
      <w:pPr>
        <w:spacing w:after="0" w:line="8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Since the Company's inception through December 31, 2022, Merck paid us $608.2 million pursuant to the terms of our collaboration. Due to the nature of our collaboration with Merck and the timing of related revenue recognition, our revenue has fluctuated from period to period in the past and we expect that it will continue to fluctuate in 2023 given the substantial decrease in the level of funding we will receive from Merck in 2023. After December 31, 2023, we expect funding, and revenue recognized, from Merck to be minimal. As a result, we believe that period-to-period comparisons of our revenue may not be meaningful and should not be relied upon as being indicative of future performance.</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the past three years, our related party revenue was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center"/>
              <w:ind w:left="680"/>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201"/>
        </w:trPr>
        <w:tc>
          <w:tcPr>
            <w:tcW w:w="66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2020</w:t>
            </w:r>
          </w:p>
        </w:tc>
      </w:tr>
      <w:tr>
        <w:trPr>
          <w:trHeight w:val="213"/>
        </w:trPr>
        <w:tc>
          <w:tcPr>
            <w:tcW w:w="6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Related party revenue</w:t>
            </w:r>
          </w:p>
        </w:tc>
        <w:tc>
          <w:tcPr>
            <w:tcW w:w="34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55,333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77,882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87,368</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R&amp;D efforts are extensive and costly. Our R&amp;D expenses related to the development of our product candidates consist primarily of:</w:t>
      </w:r>
    </w:p>
    <w:p>
      <w:pPr>
        <w:spacing w:after="0" w:line="114" w:lineRule="exact"/>
        <w:rPr>
          <w:sz w:val="20"/>
          <w:szCs w:val="20"/>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fees paid to our CROs in connection with our clinical trials and other related clinical trial fees, when applicable;</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costs related to acquiring and manufacturing drug substance, drug product and clinical trial materials, and the costs of continued testing, such as process validation testing and stability testing, of drug substance and drug product;</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costs related to toxicology testing and other research- and preclinical-related studies;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salaries and related overhead expenses, which include stock-based compensation and benefits, for personnel in R&amp;D functions;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fees paid to consultants for R&amp;D activities;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R&amp;D operating expenses, including facility costs and depreciation expenses;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w:t>
      </w:r>
    </w:p>
    <w:p>
      <w:pPr>
        <w:spacing w:after="0" w:line="11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need to devote a substantial amount of our own financial resources to our wholly-owned development programs, primarily our solid tumor oncology programs in active ongoing clinical development. In addition, because Merck declined to exercise its license to option NGM621, decided not to continue funding further research on the other preclinical ophthalmology compounds and provided notice of termination of its existing its license to MK-3655 and in prior years other product candidates, our funding requirements would increase even further if our portfolio</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0" w:name="page91"/>
    <w:bookmarkEnd w:id="9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prioritization changes and we decide to continue to develop those programs on our own. As a result, further development of NGM621, aldafermin, NGM936 and, once termination of Merck's license is effective, MK-3655, is currently primarily dependent on our ability to secure potential future BD Arrangements and, in the absence of such BD Arrangements, we are unlikely to be able to advance development of those programs unless our portfolio prioritization changes and we have access to the necessary capital to fund such development. For the foreseeable future, we anticipate a significant portion of our financial resources, other than those received from Merck which are dedicated to activities under the Amended Collaboration Agreement, will be directed to activities required to initiate and advance clinical trials of our solid tumor oncology programs and complete the Phase 2b ALPINE 4 clinical trial of aldafermin.</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successful development of our product candidates is highly uncertain. At this time, we cannot reasonably estimate the nature, timing or costs of the efforts that will be necessary to complete the remainder of the development of our product candidates or if we will be able to enter into BD Arrangements or otherwise raise adequate additional capital to meet our funding requirements to support such efforts, particularly outside of our key solid tumor oncology programs. This is due to the numerous risks and uncertainties associated with developing medicines, including the uncertainty of:</w:t>
      </w:r>
    </w:p>
    <w:p>
      <w:pPr>
        <w:spacing w:after="0" w:line="92" w:lineRule="exact"/>
        <w:rPr>
          <w:sz w:val="20"/>
          <w:szCs w:val="20"/>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scope, rate of progress, results and expense of our ongoing, as well as any future, clinical trials and other R&amp;D-related activities;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impact and timing of any interactions with regulatory authorities, including timing and receipt of regulatory approvals: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hire and retain key R&amp;D personnel;</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manufacturing scale-up challenges, production shortages or other supply disruptions for clinical trial materials, including raw materials and components;</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effects of the continuing COVID-19 pandemic on our employees, patients, clinical trial sites and our CROs, CMOs and other service providers;</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timely and quality performance of our CROs, CMOs and other service providers;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Merck will elect to license, or to terminate its license, to any of our preclinical programs remaining within the scope of the collaboration and the timing of such election or termination;</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effect of products that may compete with our product candidates or other market developments; and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expand and enforce our intellectual property portfolio.</w:t>
      </w:r>
    </w:p>
    <w:p>
      <w:pPr>
        <w:spacing w:after="0" w:line="11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 Item 1A of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8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anticipate that our G&amp;A expenses in 2023 will remain relatively consistent with 2022 in support of our narrowed R&amp;D activities. Beginning in 2024, our G&amp;A expenses will include an increase in operating lease expenses under the 2024 Lease Agreement. Additionally, we anticipate continued costs associated with being a public company, including expenses related to services associated with maintaining compliance with Nasdaq listing rules and related SEC requirements and costs related to insurance, investor relations and compliance with Section 404 of the Sarbanes-Oxley Act of 2002, or the Sarbanes-Oxley Act. In addition, we may incur expenses associated with negotiating and entering into BD Arrangements.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1" w:name="page92"/>
    <w:bookmarkEnd w:id="9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Results of Operations</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results of operations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Change</w:t>
            </w:r>
          </w:p>
        </w:tc>
        <w:tc>
          <w:tcPr>
            <w:tcW w:w="1200" w:type="dxa"/>
            <w:vAlign w:val="bottom"/>
            <w:tcBorders>
              <w:bottom w:val="single" w:sz="8" w:color="auto"/>
            </w:tcBorders>
          </w:tcPr>
          <w:p>
            <w:pPr>
              <w:spacing w:after="0"/>
              <w:rPr>
                <w:sz w:val="17"/>
                <w:szCs w:val="17"/>
                <w:color w:val="auto"/>
              </w:rPr>
            </w:pPr>
          </w:p>
        </w:tc>
      </w:tr>
      <w:tr>
        <w:trPr>
          <w:trHeight w:val="201"/>
        </w:trPr>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5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5"/>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5"/>
                <w:szCs w:val="15"/>
                <w:b w:val="1"/>
                <w:bCs w:val="1"/>
                <w:color w:val="auto"/>
              </w:rPr>
              <w:t>2022 vs 2021</w:t>
            </w:r>
          </w:p>
        </w:tc>
        <w:tc>
          <w:tcPr>
            <w:tcW w:w="240" w:type="dxa"/>
            <w:vAlign w:val="bottom"/>
          </w:tcPr>
          <w:p>
            <w:pPr>
              <w:spacing w:after="0"/>
              <w:rPr>
                <w:sz w:val="17"/>
                <w:szCs w:val="17"/>
                <w:color w:val="auto"/>
              </w:rPr>
            </w:pPr>
          </w:p>
        </w:tc>
        <w:tc>
          <w:tcPr>
            <w:tcW w:w="1200" w:type="dxa"/>
            <w:vAlign w:val="bottom"/>
          </w:tcPr>
          <w:p>
            <w:pPr>
              <w:jc w:val="right"/>
              <w:ind w:right="155"/>
              <w:spacing w:after="0"/>
              <w:rPr>
                <w:sz w:val="20"/>
                <w:szCs w:val="20"/>
                <w:color w:val="auto"/>
              </w:rPr>
            </w:pPr>
            <w:r>
              <w:rPr>
                <w:rFonts w:ascii="Arial" w:cs="Arial" w:eastAsia="Arial" w:hAnsi="Arial"/>
                <w:sz w:val="15"/>
                <w:szCs w:val="15"/>
                <w:b w:val="1"/>
                <w:bCs w:val="1"/>
                <w:color w:val="auto"/>
              </w:rPr>
              <w:t>2021 vs 2020</w:t>
            </w:r>
          </w:p>
        </w:tc>
      </w:tr>
      <w:tr>
        <w:trPr>
          <w:trHeight w:val="213"/>
        </w:trPr>
        <w:tc>
          <w:tcPr>
            <w:tcW w:w="3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Related party revenue</w:t>
            </w: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55,333</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77,882</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87,368</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(22,549)</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(9,486)</w:t>
            </w: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181,067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161,712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19,355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(2,260)</w:t>
            </w:r>
          </w:p>
        </w:tc>
      </w:tr>
      <w:tr>
        <w:trPr>
          <w:trHeight w:val="218"/>
        </w:trPr>
        <w:tc>
          <w:tcPr>
            <w:tcW w:w="36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40,515</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36,865</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27,229</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9,636</w:t>
            </w:r>
          </w:p>
        </w:tc>
      </w:tr>
      <w:tr>
        <w:trPr>
          <w:trHeight w:val="213"/>
        </w:trPr>
        <w:tc>
          <w:tcPr>
            <w:tcW w:w="3660" w:type="dxa"/>
            <w:vAlign w:val="bottom"/>
            <w:shd w:val="clear" w:color="auto" w:fill="CFF0FC"/>
          </w:tcPr>
          <w:p>
            <w:pPr>
              <w:ind w:left="44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221,582</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198,577</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191,201</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23,005</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7,376</w:t>
            </w:r>
          </w:p>
        </w:tc>
      </w:tr>
      <w:tr>
        <w:trPr>
          <w:trHeight w:val="211"/>
        </w:trPr>
        <w:tc>
          <w:tcPr>
            <w:tcW w:w="36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(120,695)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(103,833)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(45,554)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(16,862)</w:t>
            </w:r>
          </w:p>
        </w:tc>
      </w:tr>
      <w:tr>
        <w:trPr>
          <w:trHeight w:val="220"/>
        </w:trPr>
        <w:tc>
          <w:tcPr>
            <w:tcW w:w="3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income, net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(1,519)</w:t>
            </w:r>
          </w:p>
        </w:tc>
      </w:tr>
      <w:tr>
        <w:trPr>
          <w:trHeight w:val="218"/>
        </w:trPr>
        <w:tc>
          <w:tcPr>
            <w:tcW w:w="36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Other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r>
      <w:tr>
        <w:trPr>
          <w:trHeight w:val="237"/>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(162,667)</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(120,335)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(102,487)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(42,332)</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(17,848)</w:t>
            </w: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Revenue from Merck</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Revenue decreased $22.5 million in the year ended December 31, 2022 compared to the same period in 2021 primarily due to a decrease in R&amp;D revenue under the Amended Collaboration Agreement with Merck. Revenue in the year ended December 31, 2022 includes $4.75 million in reimbursable expenses by Merck related to a third-party manufacturer for NGM621.</w:t>
      </w:r>
    </w:p>
    <w:p>
      <w:pPr>
        <w:spacing w:after="0" w:line="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Revenue decreased $9.5 million in the year ended December 31, 2021 compared to the same period in 2020 primarily due to a reduction in revenue of $4.6 million for an amount we had recorded under the prior two-year extension of the research phase that was no longer billable to Merck under the Amended Collaboration Agreement as of June 30, 2021 and a $3.9 million decrease related to the recognition of the remaining portion of an upfront payment in the first quarter of 2020.</w:t>
      </w:r>
    </w:p>
    <w:p>
      <w:pPr>
        <w:spacing w:after="0" w:line="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Due to the nature of our collaboration with Merck and the timing of related revenue recognition, our revenue has fluctuated from period to period in the past and we expect that it will continue to fluctuate in 2023 given the substantial decrease in the level of funding we will receive from Merck in 2023. After December 31, 2023, we expect funding, and revenue recognized, from Merck to be minimal.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R&amp;D expenses by program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201"/>
        </w:trPr>
        <w:tc>
          <w:tcPr>
            <w:tcW w:w="6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2020</w:t>
            </w:r>
          </w:p>
        </w:tc>
      </w:tr>
      <w:tr>
        <w:trPr>
          <w:trHeight w:val="20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External R&amp;D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NGM707 (Anti-ILT2/ILT4 dual antagonist)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24,333</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5,521</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4,817</w:t>
            </w: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NGM621 (C3 inhibitor)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13,126</w:t>
            </w: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Aldafermin (FGF19 analog)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50,553</w:t>
            </w: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NGM438 (LAIR1 antagonist)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3,586</w:t>
            </w: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NGM120 (GFRAL antagonist)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5,606</w:t>
            </w: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NGM831 (ILT3 antagonist)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4,756</w:t>
            </w:r>
          </w:p>
        </w:tc>
      </w:tr>
      <w:tr>
        <w:trPr>
          <w:trHeight w:val="218"/>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external R&amp;D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4,822</w:t>
            </w:r>
          </w:p>
        </w:tc>
      </w:tr>
      <w:tr>
        <w:trPr>
          <w:trHeight w:val="213"/>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external R&amp;D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87,266</w:t>
            </w:r>
          </w:p>
        </w:tc>
      </w:tr>
      <w:tr>
        <w:trPr>
          <w:trHeight w:val="218"/>
        </w:trPr>
        <w:tc>
          <w:tcPr>
            <w:tcW w:w="6680" w:type="dxa"/>
            <w:vAlign w:val="bottom"/>
          </w:tcPr>
          <w:p>
            <w:pPr>
              <w:ind w:left="20"/>
              <w:spacing w:after="0"/>
              <w:rPr>
                <w:sz w:val="20"/>
                <w:szCs w:val="20"/>
                <w:color w:val="auto"/>
              </w:rPr>
            </w:pPr>
            <w:r>
              <w:rPr>
                <w:rFonts w:ascii="Arial" w:cs="Arial" w:eastAsia="Arial" w:hAnsi="Arial"/>
                <w:sz w:val="17"/>
                <w:szCs w:val="17"/>
                <w:color w:val="auto"/>
              </w:rPr>
              <w:t>Personnel-related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62,151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43,811</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 and unallocated R&amp;D expenses (1)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32,895</w:t>
            </w:r>
          </w:p>
        </w:tc>
      </w:tr>
      <w:tr>
        <w:trPr>
          <w:trHeight w:val="213"/>
        </w:trPr>
        <w:tc>
          <w:tcPr>
            <w:tcW w:w="6680" w:type="dxa"/>
            <w:vAlign w:val="bottom"/>
          </w:tcPr>
          <w:p>
            <w:pPr>
              <w:ind w:left="20"/>
              <w:spacing w:after="0"/>
              <w:rPr>
                <w:sz w:val="20"/>
                <w:szCs w:val="20"/>
                <w:color w:val="auto"/>
              </w:rPr>
            </w:pPr>
            <w:r>
              <w:rPr>
                <w:rFonts w:ascii="Arial" w:cs="Arial" w:eastAsia="Arial" w:hAnsi="Arial"/>
                <w:sz w:val="17"/>
                <w:szCs w:val="17"/>
                <w:color w:val="auto"/>
              </w:rPr>
              <w:t>Total R&amp;D expenses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181,067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161,712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163,972</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(1) Internal and unallocated R&amp;D expenses consist primarily of research supplies and consulting fees, which we deploy across multiple R&amp;D programs.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2" w:name="page93"/>
    <w:bookmarkEnd w:id="9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R&amp;D expenses increased $19.4 million in the year ended December 31, 2022 compared to the same period in 2021 primarily due to increases in external expenses, driven by our ongoing clinical trials of NGM707, NGM831, NGM438 and NGM120, our completed trial of NGM621, and personnel-related expenses including an increase in share-based compensation expense of $3.6 million, partially offset by a decrease in expenses for our manufacturing activities and our clinical trials of aldafermin.</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R&amp;D expenses decreased $2.3 million in the year ended December 31, 2021 compared to the same period in 2020 primarily due to a decrease in expenses for our manufacturing activities and our clinical trials of aldafermin, partially offset by an increase in personnel-related expenses, including an increase in share-based compensation expense of $5.8 million, and an increase in external expenses driven by our ongoing clinical trials of NGM621, NGM120 and NGM707 and our preclinical studies of NGM438 and NGM831.</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expect our R&amp;D expenses will decrease moderately in 2023 compared to 2022 as we suspend development activities related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NGM621 and aldafermin and focus on the continued advancement of our solid tumor oncology portfolio, including:</w:t>
      </w:r>
    </w:p>
    <w:p>
      <w:pPr>
        <w:spacing w:after="0" w:line="114" w:lineRule="exact"/>
        <w:rPr>
          <w:sz w:val="20"/>
          <w:szCs w:val="20"/>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NGM707: continuing enrollment in the ongoing Phase 1/2 clinical trial;</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0E32E1"/>
        </w:rPr>
      </w:pPr>
      <w:r>
        <w:rPr>
          <w:rFonts w:ascii="Arial" w:cs="Arial" w:eastAsia="Arial" w:hAnsi="Arial"/>
          <w:sz w:val="17"/>
          <w:szCs w:val="17"/>
          <w:color w:val="auto"/>
        </w:rPr>
        <w:t>NGM831: continuing enrollment in the Phase 1/1b clinical trial;</w:t>
      </w:r>
    </w:p>
    <w:p>
      <w:pPr>
        <w:spacing w:after="0" w:line="62" w:lineRule="exact"/>
        <w:rPr>
          <w:rFonts w:ascii="Arial" w:cs="Arial" w:eastAsia="Arial" w:hAnsi="Arial"/>
          <w:sz w:val="17"/>
          <w:szCs w:val="17"/>
          <w:color w:val="0E32E1"/>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NGM438: continuing enrollment in the Phase 1/1b clinical trial, and</w:t>
      </w:r>
    </w:p>
    <w:p>
      <w:pPr>
        <w:spacing w:after="0" w:line="62" w:lineRule="exact"/>
        <w:rPr>
          <w:rFonts w:ascii="Arial" w:cs="Arial" w:eastAsia="Arial" w:hAnsi="Arial"/>
          <w:sz w:val="17"/>
          <w:szCs w:val="17"/>
          <w:color w:val="auto"/>
        </w:rPr>
      </w:pPr>
    </w:p>
    <w:p>
      <w:pPr>
        <w:ind w:left="620" w:right="160" w:hanging="307"/>
        <w:spacing w:after="0" w:line="265"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NGM120: continuing enrollment in the Phase 2 PINNACLES portion of the Phase 1/2 clinical trial and the Phase 1b cohort of patients with mCRPC.</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G&amp;A expenses increased $3.7 million in the year ended December 31, 2022 compared to the same period in 2021 primarily due to an increase in personnel-related expenses due to increased headcount and an increase in share-based compensation expense of $2.5 million.</w:t>
      </w:r>
    </w:p>
    <w:p>
      <w:pPr>
        <w:spacing w:after="0" w:line="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G&amp;A expenses increased $9.6 million in the year ended December 31, 2021 compared to the same period in 2020 primarily due to an increase in personnel-related expenses due to increased headcount, an increase in share-based compensation expense of $4.7 million and a $2.5 million increase in fees paid to outside consultants, lawyers and accountants.</w:t>
      </w:r>
    </w:p>
    <w:p>
      <w:pPr>
        <w:spacing w:after="0" w:line="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We anticipate that our G&amp;A expenses in 2023 will remain relatively consistent compared to 2022 as we continue to support our oncology program and operate as a public company.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Income, net</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Interest income, net increased $3.3 million in the year ended December 31, 2022 compared to 2021 primarily due to higher yielding investments.</w:t>
      </w:r>
    </w:p>
    <w:p>
      <w:pPr>
        <w:spacing w:after="0" w:line="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Interest income, net decreased $1.5 million in the year ended December 31, 2021 compared to 2020 primarily due to an increase in unrealized losses in marketable securities, offset by an increase in interest income due to an increase in our average cash balance.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have no products approved for commercial sale, have not generated any revenue from product sales to date and we are not and may never be profitable. We have incurred losses in each year since commencing operations, and we expect to incur significant operating losses in 2023 and over the next several years. As of December 31, 2022, we had an accumulated deficit of $581.6 million, and we expect our accumulated deficit will continue to increase over time.</w:t>
      </w:r>
    </w:p>
    <w:p>
      <w:pPr>
        <w:spacing w:after="0" w:line="9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have an active discovery research group and have spent significant resources to fund R&amp;D of multiple pipeline programs. Our pipeline includes four key solid tumor oncology programs, NGM707, NGM831, NGM438 and NGM120, in active ongoing clinical development. We are currently focusing most of our execution efforts and resources on these programs as our substantial research, development, clinical trial and related activities continue. While we will opportunistically consider BD Arrangements to advance development of these key programs, we intend to invest our resources in their development even in the absence of BD Arrangements.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3" w:name="page94"/>
    <w:bookmarkEnd w:id="9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Due to the need to conserve capital and prioritize focused execution, the remainder of our pipeline includes programs whose further development is primarily dependent on our ability to secure potential future BD Arrangements. We are actively seeking, or intend to seek,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have access to the necessary capital to fund such development.</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Prior to 2022, we received substantial R&amp;D funding from our collaboration with Merck. However, under the narrower scope of the Amended Collaboration Agreement, R&amp;D funding from Merck beginning April 2022 was and is expected to be substantially lower than the R&amp;D funding previously provided by Merck. For the period that started on January 1, 2023 and ends on March 31, 2024, we expect to receive funding of approximately $13.0 million in the aggregate from Merck for activities remaining under the Amended Collaboration Agreement and for certain costs and reimbursements related to the NGM621 program. Funding from Merck after December 31, 2023 is expected to be minimal.</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cash requirements for fiscal year 2023 will continue to be driven by our R&amp;D and G&amp;A expenses. In 2022 and 2021, our R&amp;D expenses were $181.1 million and $161.7 million, respectively. In 2023, we expect our R&amp;D expenses to decrease moderately compared to 2022 as we suspend development activities related to NGM621 and our other preclinical ophthalmology programs and focus on the continued advancement of our solid tumor oncology portfolio, as well as completion of development activities related to ALPINE 4. In 2022 and 2021, our G&amp;A expenses were $40.5 million and $36.9 million, respectively. In 2023, we expect our G&amp;A expenses will remain relatively consistent compared to 2022 in support of our narrowed R&amp;D activities and expenses associated with being a public company. Beginning in 2024, our operating lease costs will increase pursuant to the 2024 Lease Agreement we entered into in July 2022 for our current corporate office space and facilities in South San Francisco, California. Our current sublease will expire on December 31, 2023. The 2024 Lease Agreement will commence on January 1, 2024 and expire on December 31, 2033. We will pay an initial monthly base rent of approximately $0.9 million for the first year, which is subject to increase at an annual rate of 3.5% each year thereafter, plus certain operating and tax expenses.</w:t>
      </w:r>
    </w:p>
    <w:p>
      <w:pPr>
        <w:spacing w:after="0" w:line="9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We believe that our existing cash, cash equivalents and short-term marketable securities will be sufficient to fund our operations for at least twelve months from the date this Annual Report on Form 10-K is filed. Moreover, based on our current development plans and related assumptions, we believe our current cash position is sufficient to fund our key solid tumor oncology programs through generation of proof-of-concept data. We have based these estimates on plans and assumptions that may prove to be insufficient or inaccurate (for example, with respect to anticipated costs, timing or success of certain activities),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 Item 1A of this Annual Report on Form 10-K. Nonetheless, in order to advance our current and potential future product candidates through development and to regulatory approval and commercialization, we will need to raise significant additional capital and we will need to enter into BD Arrangements for one or more of our wholly-owned programs and obtain funding or other resources through such BD Arrangements. Neither may be possible and, as a result, we may be required to delay, scale back or discontinue development of such product candidates, which could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Cash and Investments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2022, we had cash and cash equivalents of $73.5 million and short-term marketable securities of $198.0 million.</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Merck Collaboration</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revenue we receive under the Amended Collaboration Agreement with Merck is currently our only source of revenue. For the period that started on January 1, 2023 and ends on March 31, 2024, we expect to receive funding of approximately $13.0 million in the aggregate from Merck for the ongoing CVM-related activities, the remaining activities under the Lab Programs and for certain costs and reimbursements related to the NGM621 program. See “Overview of Our Business—Business Development and Merck Collaboration Updates” above.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4" w:name="page95"/>
    <w:bookmarkEnd w:id="9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Sources of Capital</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June 2020, we entered into the Sales Agreement with Jefferies. In accordance with the terms of the Sales Agreement, we may offer and sell shares of our common stock having an aggregate offering price of up to $150.0 million from time to time through Jefferies, acting as our sales agent. As of December 31, 2022, $76.2 million of our common stock remained available to be sold under the Sales Agreement, subject to conditions specified in the Sales Agreement.</w:t>
      </w:r>
    </w:p>
    <w:p>
      <w:pPr>
        <w:spacing w:after="0" w:line="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plan to finance our future cash needs through public or private equity or debt offerings, including under the Sales Agreement, BD Arrangements or a combination of these potential financing sources. Additional capital may not be available in sufficient amounts, on reasonable terms or when we need it, if at all.</w:t>
      </w:r>
    </w:p>
    <w:p>
      <w:pPr>
        <w:spacing w:after="0" w:line="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While the long-term economic impact of either the COVID-19 pandemic or the conflict between Russia and Ukraine is difficult to assess or predict, each of these events has caused significant disruptions to the global financial markets and contributed to a general global economic slowdown. Furthermore, inflation rates across the globe have increased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financial market disruptions and economic slowdown deepen or persist, we may not be able to access additional capital on favorable terms, or at all, which could negatively affect our financial condition and our ability to pursue our business strategy.</w:t>
      </w:r>
    </w:p>
    <w:p>
      <w:pPr>
        <w:spacing w:after="0" w:line="9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addition,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While we may opportunistically consider BD Arrangements to advance development of our key solid tumor oncology programs, we are actively seeking, or intend to seek, BD Arrangements with third-party partners to progress, in whole or in part, the development of one or more of our other programs whose further development is primarily dependent on our ability to secure potential future BD Arrangements. We believe that this strategy, if successfully implemented, may enable more of the product candidates in our pipeline to be advanced as effectively and efficiently as possible. If we are unable to secure BD Arrangements for NGM621 and our preclinical ophthalmology programs, aldafermin, NGM936 and, once termination of Merck's license is effective, MK-3655, we may discontinue or abandon any or all of them altogether, in which case we will not realize any return on our investments in these programs. Even if we are successful in securing BD Arrangements for these programs, we will likely have limited control over the amount and timing of resources that our partners dedicate to the development or commercialization of the applicable product candidates. Our ability to generate revenue from any such BD Arrangement will depend on the specific terms of the BD Arrangement.</w:t>
      </w:r>
    </w:p>
    <w:p>
      <w:pPr>
        <w:spacing w:after="0" w:line="9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If we are unable to raise adequate additional capital through public or private equity or debt offerings, BD Arrangements or otherwise, on acceptable terms or at all, we may be delayed in or prevented from pursuing our planned and any future development and commercialization efforts, which will have a material adverse effect on our business, operating results and prospects.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5" w:name="page96"/>
    <w:bookmarkEnd w:id="9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Activity</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cash flow activity for the periods indicated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5"/>
                <w:szCs w:val="15"/>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201"/>
        </w:trPr>
        <w:tc>
          <w:tcPr>
            <w:tcW w:w="66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5"/>
                <w:szCs w:val="15"/>
                <w:b w:val="1"/>
                <w:bCs w:val="1"/>
                <w:color w:val="auto"/>
              </w:rPr>
              <w:t>2020</w:t>
            </w:r>
          </w:p>
        </w:tc>
      </w:tr>
      <w:tr>
        <w:trPr>
          <w:trHeight w:val="213"/>
        </w:trPr>
        <w:tc>
          <w:tcPr>
            <w:tcW w:w="6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provided by (used in):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8"/>
        </w:trPr>
        <w:tc>
          <w:tcPr>
            <w:tcW w:w="668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(144,439)</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(73,229)</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center"/>
              <w:ind w:left="336"/>
              <w:spacing w:after="0"/>
              <w:rPr>
                <w:sz w:val="20"/>
                <w:szCs w:val="20"/>
                <w:color w:val="auto"/>
              </w:rPr>
            </w:pPr>
            <w:r>
              <w:rPr>
                <w:rFonts w:ascii="Arial" w:cs="Arial" w:eastAsia="Arial" w:hAnsi="Arial"/>
                <w:sz w:val="17"/>
                <w:szCs w:val="17"/>
                <w:color w:val="auto"/>
              </w:rPr>
              <w:t>(83,496)</w:t>
            </w:r>
          </w:p>
        </w:tc>
      </w:tr>
      <w:tr>
        <w:trPr>
          <w:trHeight w:val="220"/>
        </w:trPr>
        <w:tc>
          <w:tcPr>
            <w:tcW w:w="66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Investing activities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(71,650)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left="336"/>
              <w:spacing w:after="0"/>
              <w:rPr>
                <w:sz w:val="20"/>
                <w:szCs w:val="20"/>
                <w:color w:val="auto"/>
              </w:rPr>
            </w:pPr>
            <w:r>
              <w:rPr>
                <w:rFonts w:ascii="Arial" w:cs="Arial" w:eastAsia="Arial" w:hAnsi="Arial"/>
                <w:sz w:val="17"/>
                <w:szCs w:val="17"/>
                <w:color w:val="auto"/>
              </w:rPr>
              <w:t>(50,998)</w:t>
            </w:r>
          </w:p>
        </w:tc>
      </w:tr>
      <w:tr>
        <w:trPr>
          <w:trHeight w:val="218"/>
        </w:trPr>
        <w:tc>
          <w:tcPr>
            <w:tcW w:w="66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54,233</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149,657</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9"/>
              </w:rPr>
              <w:t>35,538</w:t>
            </w:r>
          </w:p>
        </w:tc>
      </w:tr>
      <w:tr>
        <w:trPr>
          <w:trHeight w:val="237"/>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4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(75,884)</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center"/>
              <w:ind w:left="336"/>
              <w:spacing w:after="0"/>
              <w:rPr>
                <w:sz w:val="20"/>
                <w:szCs w:val="20"/>
                <w:color w:val="auto"/>
              </w:rPr>
            </w:pPr>
            <w:r>
              <w:rPr>
                <w:rFonts w:ascii="Arial" w:cs="Arial" w:eastAsia="Arial" w:hAnsi="Arial"/>
                <w:sz w:val="17"/>
                <w:szCs w:val="17"/>
                <w:color w:val="auto"/>
              </w:rPr>
              <w:t>(98,956)</w:t>
            </w: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Cash used in operating activities in 2022 was $144.4 million, which consisted of a net loss of $162.7 million, adjusted for non-cash charges of $39.0 million and a change in operating assets and liabilities of $20.7 million. The non-cash charges consisted primarily of stock-based compensation expense of $32.4 million, depreciation expense of $4.0 million and noncash lease expense of $1.9 million. The change in operating assets and liabilities was mainly driven by decreases in contract liabilities of $17.4 million, operating lease liabilities of $5.1 million, prepaid expenses and other current assets of $1.8 million and accrued liabilities of $0.6 million, partially offset by increases in accounts payable of $3.2 million and related party receivable of $2.6 million.</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Cash used in operating activities in 2021 was $73.2 million, which consisted of a net loss of $120.3 million, adjusted for non-cash charges of $42.9 million and a change in operating assets and liabilities of $4.2 million. The non-cash charges consisted primarily of stock-based compensation expense of $26.2 million, depreciation expense of $6.1 million, a decrease in related party contract assets due to the Amended Collaboration Agreement with Merck of $4.6 million, amortization of a premium on marketable securities of $3.5 million and noncash lease expense of $1.8 million. The change in operating assets and liabilities was mainly driven by increases in contract liabilities of $17.8 million, related party receivable of $4.6 million, prepaid expenses and other current assets of $4.1 million and accrued liabilities of $2.9 million, partially offset by decreases in operating lease liabilities of $4.8 million, accounts payable of $4.4 million and related party contract assets of $1.5 million.</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Cash used in operating activities in 2020 was $83.5 million, which consisted of a net loss of $102.5 million, adjusted for non-cash charges of $22.3 million and net cash used in operating assets and liabilities of $3.3 million. The non-cash charges consisted primarily of stock-based compensation expense of $15.7 million and depreciation expense of $6.6 million. The change in operating assets and liabilities was mainly driven by increases in accrued expenses of $6.2 million, prepaid expenses and other current assets of $1.9 million, accounts payable of $0.9 million and a related party contract asset of $6.1 million. These increases were offset by a decrease in deferred rent of $2.8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Cash provided by investing activities in 2022 was $14.3 million, which consisted primarily of $289.0 million in net proceeds on maturity of marketable securities offset by purchases of marketable securities of $272.9 million. Cash used in investing activities in 2021 was $71.7 million, which consisted of purchases of marketable securities of $293.5 million primarily from the net proceeds of the follow-on offering, partially offset by $223.5 million in net proceeds on maturity of marketable securities. Cash used in investing activities in 2020 was $51.0 million, which consisted of purchases of marketable securities of $177.7 million and purchases of property and equipment of $1.9 million partially offset by net proceeds on maturity of marketable securities of $128.5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Cash provided by financing activities in 2022 was $54.2 million, which consisted of net proceeds of $49.4 million from the sale of shares of our common stock under the Sales Agreement and proceeds from our employee equity incentive and purchase plans of $4.8 million. Cash provided by financing activities in 2021 was $149.7 million, which consisted of net proceeds from the follow-on offering of $134.6 million and proceeds from employee equity incentive and purchase plans of $14.9 million. Cash provided by financing activities in 2020 was $35.5 million and primarily related to net proceeds from the sale of shares of our common stock under the Sales Agreement of $21.9 million and proceeds from employee equity incentive and purchase plans of $14.2 million.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6" w:name="page97"/>
    <w:bookmarkEnd w:id="9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Contractual Obligations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have contractual obligations related to our lease liabilities. In July 2022, we entered into the 2024 Lease Agreement for the corporate office space and facilities in South San Francisco, California that we currently occupy pursuant to a sublease agreement scheduled to expire on December 31, 2023. The initial term of the 2024 Lease Agreement will commence on January 1, 2024 and expire on December 31, 2033. Base rent during the initial ten-year term of the 2024 Lease Agreement will total $124.1 million. See Note 6 to our consolidated financial statements included in Part II, Item 8, “Financial Statements and Supplementary Data,” of this Annual Report on Form 10-K for information regarding our lease commitments.</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or may not include cancellation fees. Given that the amount and timing related to such payments are uncertain, they are not considered to be contractual obligations. Following Merck's decision to not exercise its NGM621 option and our decision not to proceed with further development of NGM621, we cancelled future Phase 3 manufacturing activities for NGM621 and recorded approximately $3.0 million for cancellation charges as of December 31, 2022. No other termination or cancellation charges have been recorded as they were not considered probable. Significant portions of our R&amp;D resources are focused, and will continue to be focused, on the manufacture and testing of clinical trial materials. See "Funding Requirements" above for information regarding our expected R&amp;D spend.</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and are not considered to be contractual obligations. See "Business— Licensing and Collaboration Arrangements" in Part I, Item 1 of this Annual Report on Form 10-K for additional information regarding our current in-license agreements.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While our significant accounting policies are described in Note 2 to our consolidated financial statements included in Part II, Item 8, “Financial Statements and Supplementary Data,” of this Annual Report on Form 10-K, we believe that the following critical accounting policies are the most important policies in understanding and evaluating our financial condition and results of operations because they are complex and relate to the more significant areas involving management’s judgment.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ASC 606 requires an entity to recognize revenue upon the transfer of goods or services to customers in an amount that reflects the consideration to which the entity expects to be entitled in exchange for those goods or services. We apply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All of our revenue to date has been generated from collaborations, primarily the collaboration agreement with Merck. The terms of these agreements generally require us to provide (i) license options for our compounds, (ii) R&amp;D services and (iii) non-mandatory services in connection with participation in research or steering committees. Payments received under these arrangements may include non-refundable upfront license fees, partial or complete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7" w:name="page98"/>
    <w:bookmarkEnd w:id="9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reimbursement of R&amp;D costs, contingent consideration payments based on the achievement of defined collaboration objectives and royalties on sales of commercialized products.</w:t>
      </w:r>
    </w:p>
    <w:p>
      <w:pPr>
        <w:spacing w:after="0" w:line="8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We assess whether the promises in our arrangements, including any options provided to the partner, are considered distinct performance obligations that should be accounted for separately. Judgment is required to determine whether the license to a compound is distinct from R&amp;D services or participation in research and steering committees, as well as whether options create material rights in the contract. In situations when a contract includes distinct R&amp;D services that are substantially the same and have the same pattern of transfer to the customer over time, they are recognized as a series of distinct services.</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transaction price in each arrangement is generally comprised of a non-refundable upfront fee and unconstrained variable consideration related to the performance of R&amp;D services. The unconstrained variable consideration amount included in the transaction price represents an amount for which it is probable that a significant reversal of cumulative revenue recognized will not occur. We typically submit a budget for the R&amp;D services to our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the SSP is determined using information that may include market conditions and other observable inputs. We utilize judgment to assess the nature of our performance obligations to determine whether they are satisfied over time or at a point in time and, if over time, the appropriate method of measuring progress toward completion. We re-evaluate estimated costs to satisfy a performance obligation each reporting period and make adjustments for any significant changes. In applying the cost-based input method, we measure actual costs incurred relative to budgeted costs to fulfill our performance obligation. These budgeted costs consist of our employee full-time equivalent hours plus allowable external (third-party) costs incurred. Management applies considerable judgment in estimating expected costs as such costs are key inputs when applying the cost-based input method. We recognize revenue based on actual costs incurred as a percentage of total budgeted costs as we complete a performance obligation applied to the transaction price. A significant change in the estimate of expected costs for the remainder of a contract term could have a material impact on revenue recognized (including the possible reversal of previously recognized revenue) at each reporting period, as well as a related impact on contract assets and liabilities.</w:t>
      </w:r>
    </w:p>
    <w:p>
      <w:pPr>
        <w:spacing w:after="0" w:line="9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collaboration or partnering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we 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or our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of achievement of each such milestone and any related constraint and, if necessary, adjust our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9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our standalone selling prices of the additional promised services. When a contract modification is not considered a separate contract and the remaining services are distinct from the services transferred on or before the date of the contract modification, we account for the contract modification as a termination of the existing contract and a creation of a new contract. When a contract modification is not considered a separate contract and the remaining services are not distinct, we account for the contract modification as an add-on to the existing contract and as an adjustment to revenue on a cumulative catch-up basis.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8" w:name="page99"/>
    <w:bookmarkEnd w:id="9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134" w:lineRule="exact"/>
        <w:rPr>
          <w:sz w:val="20"/>
          <w:szCs w:val="20"/>
          <w:color w:val="auto"/>
        </w:rPr>
      </w:pPr>
    </w:p>
    <w:p>
      <w:pPr>
        <w:ind w:firstLine="503"/>
        <w:spacing w:after="0" w:line="265" w:lineRule="auto"/>
        <w:rPr>
          <w:sz w:val="20"/>
          <w:szCs w:val="20"/>
          <w:color w:val="auto"/>
        </w:rPr>
      </w:pPr>
      <w:r>
        <w:rPr>
          <w:rFonts w:ascii="Arial" w:cs="Arial" w:eastAsia="Arial" w:hAnsi="Arial"/>
          <w:sz w:val="17"/>
          <w:szCs w:val="17"/>
          <w:color w:val="auto"/>
        </w:rPr>
        <w:t>As part of the process of preparing these consolidated financial statements, we are required to estimate and accrue expenses, the largest of which are R&amp;D expenses. This process involves:</w:t>
      </w:r>
    </w:p>
    <w:p>
      <w:pPr>
        <w:spacing w:after="0" w:line="32" w:lineRule="exact"/>
        <w:rPr>
          <w:sz w:val="20"/>
          <w:szCs w:val="20"/>
          <w:color w:val="auto"/>
        </w:rPr>
      </w:pPr>
    </w:p>
    <w:p>
      <w:pPr>
        <w:ind w:left="620" w:hanging="307"/>
        <w:spacing w:after="0" w:line="265"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identifying services that have been performed on our behalf by third-party vendors and estimating the level of service performed and the associated cost incurred for the service when we have not yet been invoiced or otherwise notified of actual cost;</w:t>
      </w:r>
    </w:p>
    <w:p>
      <w:pPr>
        <w:spacing w:after="0" w:line="3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estimating and accruing expenses in our consolidated financial statements as of each balance sheet date based on facts and circumstances known to us at the time; and</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periodically confirming the accuracy of our estimates with selected service providers and making adjustments, if necessary.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Examples of estimated R&amp;D expenses that we accrue include:</w:t>
      </w:r>
    </w:p>
    <w:p>
      <w:pPr>
        <w:spacing w:after="0" w:line="62" w:lineRule="exact"/>
        <w:rPr>
          <w:sz w:val="20"/>
          <w:szCs w:val="20"/>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fees paid to CROs and other service providers in connection with preclinical studies and clinical trials;</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fees paid to investigative sites in connection with clinical trials;</w:t>
      </w:r>
    </w:p>
    <w:p>
      <w:pPr>
        <w:spacing w:after="0" w:line="62"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fees paid to CMOs in connection with the production of clinical trial materials and to procure raw materials and components for manufacture; and</w:t>
      </w:r>
    </w:p>
    <w:p>
      <w:pPr>
        <w:spacing w:after="0" w:line="32"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professional service fees for consulting and other services.</w:t>
      </w:r>
    </w:p>
    <w:p>
      <w:pPr>
        <w:spacing w:after="0" w:line="11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base our expense accruals related to clinical trials on our estimates of the services received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All of our clinical trials have been executed with support from CROs and other vendors. We accrue costs for clinical trial activities performed by CROs based upon the estimated amount of work completed on each trial. For clinical trial expenses,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date, we have not experienced significant changes in our estimates of accrued R&amp;D expenses after a reporting period.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account for stock-based compensation arrangements in accordance with Topic 718, Compensation—Stock Compensation.</w:t>
      </w:r>
    </w:p>
    <w:p>
      <w:pPr>
        <w:spacing w:after="0" w:line="11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Stock-based compensation expense represents the grant-date fair value of stock options granted under our 2008 Equity Incentive Plan, or 2008 Plan, and our 2018 Amended and Restated Equity Incentive Plan, or 2018 Plan, and rights to acquire stock granted under our 2019 Employee Stock Purchase Plan, or ESPP, recognized over the requisite service period of the awards (usually the vesting period) on a straight-line basis, net of estimated forfeitures.</w:t>
      </w:r>
    </w:p>
    <w:p>
      <w:pPr>
        <w:spacing w:after="0" w:line="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use the Black-Scholes option-pricing model to calculate the grant-date fair value of stock-based compensation awards. The Black-Scholes option-pricing model requires the use of subjective assumptions, including stock price volatility, the expected term that stock options will remain outstanding, risk-free interest rates and expected dividends.</w:t>
      </w:r>
    </w:p>
    <w:p>
      <w:pPr>
        <w:spacing w:after="0" w:line="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expected volatility is based on the historical volatility of our stock and the stock of similar entities within our industry over periods commensurate with our expected term assumption. The expected term of stock option grants represents the weighted-average period the options are expected to remain outstanding and is based on the “simplified” method where the expected term is the midpoint between the vesting date and the end of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99" w:name="page100"/>
    <w:bookmarkEnd w:id="9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contractual term for each option. We base the risk-free interest rate on the interest rate payable on U.S. Treasury securities in effect at the time of grant for a period that is commensurate with the assumed expected option term. In reference to the expected dividend yield assumption, we have not historically paid, and do not expect for the foreseeable future to pay, a dividend.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Recent Accounting Pronouncements</w:t>
      </w:r>
    </w:p>
    <w:p>
      <w:pPr>
        <w:spacing w:after="0" w:line="23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See Note 2 to our consolidated financial statements included in Part II, Item 8, “Financial Statements and Supplementary Data,” of this Annual Report on Form 10-K for a description of recent accounting pronouncements applicable to our business.</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exposed to market risks in the ordinary course of our business, primarily related to interest rate and foreign currency sensitivities.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Sensitivity</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exposed to market risk related to changes in interest rates. We had cash, cash equivalents and short-term marketable securities of $271.5 million as of December 31, 2022, which consisted primarily of money market funds and marketable securities, largely composed of investment grade, short-to-intermediate term fixed income securities.</w:t>
      </w:r>
    </w:p>
    <w:p>
      <w:pPr>
        <w:spacing w:after="0" w:line="8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charter. Our investments are subject to interest rate risk and could fall in value if market interest rates increase. A hypothetical 10% relative change in interest rates during any of the periods presented would not have had a material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Sensitivity</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majority of our transactions occur in U.S. dollars. However, we do have certain transactions that are denominated in currencies other than the U.S. dollar, primarily British Pounds, Swiss Francs, Australian dollars and the Euro, and we therefore are subject to foreign exchange risk. The fluctuation in the value of the U.S. dollar against other currencies affects the reported amounts of expenses, assets and liabilities associated with a limited number of manufacturing, preclinical and clinical activities. A hypothetical 10% change in foreign currency exchange rates during any of the periods presented would not have had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00" w:name="page101"/>
    <w:bookmarkEnd w:id="10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BIOPHARMACEUTICALS,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120" w:type="dxa"/>
            <w:vAlign w:val="bottom"/>
          </w:tcPr>
          <w:p>
            <w:pPr>
              <w:jc w:val="right"/>
              <w:ind w:right="474"/>
              <w:spacing w:after="0"/>
              <w:rPr>
                <w:sz w:val="20"/>
                <w:szCs w:val="20"/>
                <w:color w:val="auto"/>
              </w:rPr>
            </w:pPr>
            <w:r>
              <w:rPr>
                <w:rFonts w:ascii="Arial" w:cs="Arial" w:eastAsia="Arial" w:hAnsi="Arial"/>
                <w:sz w:val="17"/>
                <w:szCs w:val="17"/>
                <w:b w:val="1"/>
                <w:bCs w:val="1"/>
                <w:color w:val="auto"/>
              </w:rPr>
              <w:t>Page</w:t>
            </w:r>
          </w:p>
        </w:tc>
      </w:tr>
      <w:tr>
        <w:trPr>
          <w:trHeight w:val="221"/>
        </w:trPr>
        <w:tc>
          <w:tcPr>
            <w:tcW w:w="20" w:type="dxa"/>
            <w:vAlign w:val="bottom"/>
          </w:tcPr>
          <w:p>
            <w:pPr>
              <w:spacing w:after="0"/>
              <w:rPr>
                <w:sz w:val="19"/>
                <w:szCs w:val="19"/>
                <w:color w:val="auto"/>
              </w:rPr>
            </w:pPr>
          </w:p>
        </w:tc>
        <w:tc>
          <w:tcPr>
            <w:tcW w:w="8100" w:type="dxa"/>
            <w:vAlign w:val="bottom"/>
            <w:gridSpan w:val="9"/>
          </w:tcPr>
          <w:p>
            <w:pPr>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No. 42)</w:t>
            </w:r>
          </w:p>
        </w:tc>
        <w:tc>
          <w:tcPr>
            <w:tcW w:w="3120" w:type="dxa"/>
            <w:vAlign w:val="bottom"/>
          </w:tcPr>
          <w:p>
            <w:pPr>
              <w:jc w:val="right"/>
              <w:ind w:right="254"/>
              <w:spacing w:after="0"/>
              <w:rPr>
                <w:sz w:val="20"/>
                <w:szCs w:val="20"/>
                <w:color w:val="auto"/>
              </w:rPr>
            </w:pPr>
            <w:r>
              <w:rPr>
                <w:rFonts w:ascii="Arial" w:cs="Arial" w:eastAsia="Arial" w:hAnsi="Arial"/>
                <w:sz w:val="17"/>
                <w:szCs w:val="17"/>
                <w:color w:val="auto"/>
              </w:rPr>
              <w:t>102</w:t>
            </w:r>
          </w:p>
        </w:tc>
      </w:tr>
      <w:tr>
        <w:trPr>
          <w:trHeight w:val="275"/>
        </w:trPr>
        <w:tc>
          <w:tcPr>
            <w:tcW w:w="20" w:type="dxa"/>
            <w:vAlign w:val="bottom"/>
          </w:tcPr>
          <w:p>
            <w:pPr>
              <w:spacing w:after="0"/>
              <w:rPr>
                <w:sz w:val="23"/>
                <w:szCs w:val="23"/>
                <w:color w:val="auto"/>
              </w:rPr>
            </w:pPr>
          </w:p>
        </w:tc>
        <w:tc>
          <w:tcPr>
            <w:tcW w:w="440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auto"/>
              </w:rPr>
              <w:t>Audited Consolidated Financial Statements</w:t>
            </w:r>
          </w:p>
        </w:tc>
        <w:tc>
          <w:tcPr>
            <w:tcW w:w="3700" w:type="dxa"/>
            <w:vAlign w:val="bottom"/>
          </w:tcPr>
          <w:p>
            <w:pPr>
              <w:spacing w:after="0"/>
              <w:rPr>
                <w:sz w:val="23"/>
                <w:szCs w:val="23"/>
                <w:color w:val="auto"/>
              </w:rPr>
            </w:pPr>
          </w:p>
        </w:tc>
        <w:tc>
          <w:tcPr>
            <w:tcW w:w="3120" w:type="dxa"/>
            <w:vAlign w:val="bottom"/>
          </w:tcPr>
          <w:p>
            <w:pPr>
              <w:spacing w:after="0"/>
              <w:rPr>
                <w:sz w:val="23"/>
                <w:szCs w:val="23"/>
                <w:color w:val="auto"/>
              </w:rPr>
            </w:pPr>
          </w:p>
        </w:tc>
      </w:tr>
      <w:tr>
        <w:trPr>
          <w:trHeight w:val="221"/>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780" w:type="dxa"/>
            <w:vAlign w:val="bottom"/>
            <w:gridSpan w:val="8"/>
          </w:tcPr>
          <w:p>
            <w:pPr>
              <w:spacing w:after="0"/>
              <w:rPr>
                <w:sz w:val="20"/>
                <w:szCs w:val="20"/>
                <w:color w:val="auto"/>
              </w:rPr>
            </w:pPr>
            <w:r>
              <w:rPr>
                <w:rFonts w:ascii="Arial" w:cs="Arial" w:eastAsia="Arial" w:hAnsi="Arial"/>
                <w:sz w:val="17"/>
                <w:szCs w:val="17"/>
                <w:color w:val="0000FF"/>
              </w:rPr>
              <w:t>Consolidated Balance Sheets</w:t>
            </w:r>
          </w:p>
        </w:tc>
        <w:tc>
          <w:tcPr>
            <w:tcW w:w="3120" w:type="dxa"/>
            <w:vAlign w:val="bottom"/>
          </w:tcPr>
          <w:p>
            <w:pPr>
              <w:jc w:val="right"/>
              <w:ind w:right="254"/>
              <w:spacing w:after="0"/>
              <w:rPr>
                <w:sz w:val="20"/>
                <w:szCs w:val="20"/>
                <w:color w:val="auto"/>
              </w:rPr>
            </w:pPr>
            <w:r>
              <w:rPr>
                <w:rFonts w:ascii="Arial" w:cs="Arial" w:eastAsia="Arial" w:hAnsi="Arial"/>
                <w:sz w:val="17"/>
                <w:szCs w:val="17"/>
                <w:color w:val="auto"/>
              </w:rPr>
              <w:t>104</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80" w:type="dxa"/>
            <w:vAlign w:val="bottom"/>
            <w:gridSpan w:val="8"/>
          </w:tcPr>
          <w:p>
            <w:pPr>
              <w:spacing w:after="0"/>
              <w:rPr>
                <w:sz w:val="20"/>
                <w:szCs w:val="20"/>
                <w:color w:val="auto"/>
              </w:rPr>
            </w:pPr>
            <w:r>
              <w:rPr>
                <w:rFonts w:ascii="Arial" w:cs="Arial" w:eastAsia="Arial" w:hAnsi="Arial"/>
                <w:sz w:val="17"/>
                <w:szCs w:val="17"/>
                <w:color w:val="0000FF"/>
              </w:rPr>
              <w:t>Consolidated Statements of Operations</w:t>
            </w:r>
          </w:p>
        </w:tc>
        <w:tc>
          <w:tcPr>
            <w:tcW w:w="3120" w:type="dxa"/>
            <w:vAlign w:val="bottom"/>
          </w:tcPr>
          <w:p>
            <w:pPr>
              <w:jc w:val="right"/>
              <w:ind w:right="254"/>
              <w:spacing w:after="0"/>
              <w:rPr>
                <w:sz w:val="20"/>
                <w:szCs w:val="20"/>
                <w:color w:val="auto"/>
              </w:rPr>
            </w:pPr>
            <w:r>
              <w:rPr>
                <w:rFonts w:ascii="Arial" w:cs="Arial" w:eastAsia="Arial" w:hAnsi="Arial"/>
                <w:sz w:val="17"/>
                <w:szCs w:val="17"/>
                <w:color w:val="auto"/>
              </w:rPr>
              <w:t>105</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80" w:type="dxa"/>
            <w:vAlign w:val="bottom"/>
            <w:gridSpan w:val="8"/>
          </w:tcPr>
          <w:p>
            <w:pPr>
              <w:spacing w:after="0"/>
              <w:rPr>
                <w:sz w:val="20"/>
                <w:szCs w:val="20"/>
                <w:color w:val="auto"/>
              </w:rPr>
            </w:pPr>
            <w:r>
              <w:rPr>
                <w:rFonts w:ascii="Arial" w:cs="Arial" w:eastAsia="Arial" w:hAnsi="Arial"/>
                <w:sz w:val="17"/>
                <w:szCs w:val="17"/>
                <w:color w:val="0000FF"/>
              </w:rPr>
              <w:t>Consolidated Statements of Comprehensive Loss</w:t>
            </w:r>
          </w:p>
        </w:tc>
        <w:tc>
          <w:tcPr>
            <w:tcW w:w="3120" w:type="dxa"/>
            <w:vAlign w:val="bottom"/>
          </w:tcPr>
          <w:p>
            <w:pPr>
              <w:jc w:val="right"/>
              <w:ind w:right="254"/>
              <w:spacing w:after="0"/>
              <w:rPr>
                <w:sz w:val="20"/>
                <w:szCs w:val="20"/>
                <w:color w:val="auto"/>
              </w:rPr>
            </w:pPr>
            <w:r>
              <w:rPr>
                <w:rFonts w:ascii="Arial" w:cs="Arial" w:eastAsia="Arial" w:hAnsi="Arial"/>
                <w:sz w:val="17"/>
                <w:szCs w:val="17"/>
                <w:color w:val="auto"/>
              </w:rPr>
              <w:t>106</w:t>
            </w: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6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Stockholders’ Equity</w:t>
            </w:r>
          </w:p>
        </w:tc>
        <w:tc>
          <w:tcPr>
            <w:tcW w:w="4020" w:type="dxa"/>
            <w:vAlign w:val="bottom"/>
            <w:gridSpan w:val="2"/>
          </w:tcPr>
          <w:p>
            <w:pPr>
              <w:spacing w:after="0"/>
              <w:rPr>
                <w:sz w:val="20"/>
                <w:szCs w:val="20"/>
                <w:color w:val="auto"/>
              </w:rPr>
            </w:pPr>
          </w:p>
        </w:tc>
        <w:tc>
          <w:tcPr>
            <w:tcW w:w="3120" w:type="dxa"/>
            <w:vAlign w:val="bottom"/>
          </w:tcPr>
          <w:p>
            <w:pPr>
              <w:jc w:val="right"/>
              <w:ind w:right="254"/>
              <w:spacing w:after="0"/>
              <w:rPr>
                <w:sz w:val="20"/>
                <w:szCs w:val="20"/>
                <w:color w:val="auto"/>
              </w:rPr>
            </w:pPr>
            <w:r>
              <w:rPr>
                <w:rFonts w:ascii="Arial" w:cs="Arial" w:eastAsia="Arial" w:hAnsi="Arial"/>
                <w:sz w:val="17"/>
                <w:szCs w:val="17"/>
                <w:color w:val="auto"/>
              </w:rPr>
              <w:t>107</w:t>
            </w: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Cash Flows</w:t>
            </w:r>
          </w:p>
        </w:tc>
        <w:tc>
          <w:tcPr>
            <w:tcW w:w="4080" w:type="dxa"/>
            <w:vAlign w:val="bottom"/>
            <w:gridSpan w:val="3"/>
          </w:tcPr>
          <w:p>
            <w:pPr>
              <w:spacing w:after="0"/>
              <w:rPr>
                <w:sz w:val="20"/>
                <w:szCs w:val="20"/>
                <w:color w:val="auto"/>
              </w:rPr>
            </w:pPr>
          </w:p>
        </w:tc>
        <w:tc>
          <w:tcPr>
            <w:tcW w:w="3120" w:type="dxa"/>
            <w:vAlign w:val="bottom"/>
          </w:tcPr>
          <w:p>
            <w:pPr>
              <w:jc w:val="right"/>
              <w:ind w:right="254"/>
              <w:spacing w:after="0"/>
              <w:rPr>
                <w:sz w:val="20"/>
                <w:szCs w:val="20"/>
                <w:color w:val="auto"/>
              </w:rPr>
            </w:pPr>
            <w:r>
              <w:rPr>
                <w:rFonts w:ascii="Arial" w:cs="Arial" w:eastAsia="Arial" w:hAnsi="Arial"/>
                <w:sz w:val="17"/>
                <w:szCs w:val="17"/>
                <w:color w:val="auto"/>
              </w:rPr>
              <w:t>108</w:t>
            </w:r>
          </w:p>
        </w:tc>
      </w:tr>
      <w:tr>
        <w:trPr>
          <w:trHeight w:val="20"/>
        </w:trPr>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80" w:type="dxa"/>
            <w:vAlign w:val="bottom"/>
            <w:gridSpan w:val="8"/>
          </w:tcPr>
          <w:p>
            <w:pPr>
              <w:spacing w:after="0"/>
              <w:rPr>
                <w:sz w:val="20"/>
                <w:szCs w:val="20"/>
                <w:color w:val="auto"/>
              </w:rPr>
            </w:pPr>
            <w:r>
              <w:rPr>
                <w:rFonts w:ascii="Arial" w:cs="Arial" w:eastAsia="Arial" w:hAnsi="Arial"/>
                <w:sz w:val="17"/>
                <w:szCs w:val="17"/>
                <w:color w:val="0000FF"/>
              </w:rPr>
              <w:t>Notes to Consolidated Financial Statements</w:t>
            </w:r>
          </w:p>
        </w:tc>
        <w:tc>
          <w:tcPr>
            <w:tcW w:w="3120" w:type="dxa"/>
            <w:vAlign w:val="bottom"/>
          </w:tcPr>
          <w:p>
            <w:pPr>
              <w:jc w:val="right"/>
              <w:ind w:right="254"/>
              <w:spacing w:after="0"/>
              <w:rPr>
                <w:sz w:val="20"/>
                <w:szCs w:val="20"/>
                <w:color w:val="auto"/>
              </w:rPr>
            </w:pPr>
            <w:r>
              <w:rPr>
                <w:rFonts w:ascii="Arial" w:cs="Arial" w:eastAsia="Arial" w:hAnsi="Arial"/>
                <w:sz w:val="17"/>
                <w:szCs w:val="17"/>
                <w:color w:val="auto"/>
              </w:rPr>
              <w:t>109</w:t>
            </w:r>
          </w:p>
        </w:tc>
      </w:tr>
      <w:tr>
        <w:trPr>
          <w:trHeight w:val="984"/>
        </w:trPr>
        <w:tc>
          <w:tcPr>
            <w:tcW w:w="340" w:type="dxa"/>
            <w:vAlign w:val="bottom"/>
            <w:gridSpan w:val="2"/>
          </w:tcPr>
          <w:p>
            <w:pPr>
              <w:spacing w:after="0"/>
              <w:rPr>
                <w:sz w:val="24"/>
                <w:szCs w:val="24"/>
                <w:color w:val="auto"/>
              </w:rPr>
            </w:pPr>
          </w:p>
        </w:tc>
        <w:tc>
          <w:tcPr>
            <w:tcW w:w="3340" w:type="dxa"/>
            <w:vAlign w:val="bottom"/>
            <w:tcBorders>
              <w:top w:val="single" w:sz="8" w:color="0000FF"/>
            </w:tcBorders>
            <w:gridSpan w:val="4"/>
          </w:tcPr>
          <w:p>
            <w:pPr>
              <w:spacing w:after="0"/>
              <w:rPr>
                <w:sz w:val="24"/>
                <w:szCs w:val="24"/>
                <w:color w:val="auto"/>
              </w:rPr>
            </w:pPr>
          </w:p>
        </w:tc>
        <w:tc>
          <w:tcPr>
            <w:tcW w:w="4440" w:type="dxa"/>
            <w:vAlign w:val="bottom"/>
            <w:gridSpan w:val="4"/>
          </w:tcPr>
          <w:p>
            <w:pPr>
              <w:jc w:val="right"/>
              <w:ind w:right="2360"/>
              <w:spacing w:after="0"/>
              <w:rPr>
                <w:sz w:val="20"/>
                <w:szCs w:val="20"/>
                <w:color w:val="auto"/>
              </w:rPr>
            </w:pPr>
            <w:r>
              <w:rPr>
                <w:rFonts w:ascii="Arial" w:cs="Arial" w:eastAsia="Arial" w:hAnsi="Arial"/>
                <w:sz w:val="17"/>
                <w:szCs w:val="17"/>
                <w:color w:val="auto"/>
              </w:rPr>
              <w:t>101</w:t>
            </w:r>
          </w:p>
        </w:tc>
        <w:tc>
          <w:tcPr>
            <w:tcW w:w="3120" w:type="dxa"/>
            <w:vAlign w:val="bottom"/>
          </w:tcPr>
          <w:p>
            <w:pPr>
              <w:spacing w:after="0"/>
              <w:rPr>
                <w:sz w:val="24"/>
                <w:szCs w:val="24"/>
                <w:color w:val="auto"/>
              </w:rPr>
            </w:pPr>
          </w:p>
        </w:tc>
      </w:tr>
      <w:tr>
        <w:trPr>
          <w:trHeight w:val="214"/>
        </w:trPr>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3700" w:type="dxa"/>
            <w:vAlign w:val="bottom"/>
            <w:tcBorders>
              <w:bottom w:val="single" w:sz="8" w:color="9A9A9A"/>
            </w:tcBorders>
          </w:tcPr>
          <w:p>
            <w:pPr>
              <w:spacing w:after="0"/>
              <w:rPr>
                <w:sz w:val="18"/>
                <w:szCs w:val="18"/>
                <w:color w:val="auto"/>
              </w:rPr>
            </w:pPr>
          </w:p>
        </w:tc>
        <w:tc>
          <w:tcPr>
            <w:tcW w:w="3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01" w:name="page102"/>
    <w:bookmarkEnd w:id="10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700" w:firstLine="2714"/>
        <w:spacing w:after="0" w:line="38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NGM Biopharmaceuticals, Inc. </w:t>
      </w:r>
      <w:r>
        <w:rPr>
          <w:rFonts w:ascii="Arial" w:cs="Arial" w:eastAsia="Arial" w:hAnsi="Arial"/>
          <w:sz w:val="17"/>
          <w:szCs w:val="17"/>
          <w:b w:val="1"/>
          <w:bCs w:val="1"/>
          <w:color w:val="auto"/>
        </w:rPr>
        <w:t>Opinion on the Financial Statements</w:t>
      </w:r>
    </w:p>
    <w:p>
      <w:pPr>
        <w:jc w:val="both"/>
        <w:spacing w:after="0" w:line="255" w:lineRule="auto"/>
        <w:rPr>
          <w:sz w:val="20"/>
          <w:szCs w:val="20"/>
          <w:color w:val="auto"/>
        </w:rPr>
      </w:pPr>
      <w:r>
        <w:rPr>
          <w:rFonts w:ascii="Arial" w:cs="Arial" w:eastAsia="Arial" w:hAnsi="Arial"/>
          <w:sz w:val="17"/>
          <w:szCs w:val="17"/>
          <w:color w:val="auto"/>
        </w:rPr>
        <w:t>We have audited the accompanying consolidated balance sheets of NGM Biopharmaceuticals, Inc.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Critical </w:t>
      </w:r>
      <w:r>
        <w:rPr>
          <w:rFonts w:ascii="Arial" w:cs="Arial" w:eastAsia="Arial" w:hAnsi="Arial"/>
          <w:sz w:val="17"/>
          <w:szCs w:val="17"/>
          <w:b w:val="1"/>
          <w:bCs w:val="1"/>
          <w:color w:val="333333"/>
        </w:rPr>
        <w:t>Audit Matter</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jc w:val="both"/>
        <w:ind w:firstLine="3"/>
        <w:spacing w:after="0" w:line="243" w:lineRule="auto"/>
        <w:tabs>
          <w:tab w:leader="none" w:pos="268"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ectPr>
          <w:pgSz w:w="11900" w:h="16838" w:orient="portrait"/>
          <w:cols w:equalWidth="0" w:num="1">
            <w:col w:w="11240"/>
          </w:cols>
          <w:pgMar w:left="320" w:top="244" w:right="339" w:bottom="1440" w:gutter="0" w:footer="0" w:header="0"/>
        </w:sectPr>
      </w:pPr>
    </w:p>
    <w:p>
      <w:pPr>
        <w:spacing w:after="0" w:line="368" w:lineRule="exact"/>
        <w:rPr>
          <w:sz w:val="20"/>
          <w:szCs w:val="20"/>
          <w:color w:val="auto"/>
        </w:rPr>
      </w:pPr>
    </w:p>
    <w:p>
      <w:pPr>
        <w:ind w:left="20"/>
        <w:spacing w:after="0" w:line="271" w:lineRule="auto"/>
        <w:rPr>
          <w:sz w:val="20"/>
          <w:szCs w:val="20"/>
          <w:color w:val="auto"/>
        </w:rPr>
      </w:pPr>
      <w:r>
        <w:rPr>
          <w:rFonts w:ascii="Arial" w:cs="Arial" w:eastAsia="Arial" w:hAnsi="Arial"/>
          <w:sz w:val="17"/>
          <w:szCs w:val="17"/>
          <w:i w:val="1"/>
          <w:iCs w:val="1"/>
          <w:color w:val="333333"/>
        </w:rPr>
        <w:t>Description of the Matter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33333"/>
        </w:rPr>
        <w:t>Accrued clinical trials expenses</w:t>
      </w:r>
    </w:p>
    <w:p>
      <w:pPr>
        <w:spacing w:after="0" w:line="82"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color w:val="auto"/>
        </w:rPr>
        <w:t>During the year ended December 31, 2022, the Company incurred $181.1 million in research and development related expenses, and $14.6 million was recorded as accrued clinical trials expenses as of December 31, 2022. As described in Note 2 of the consolidated financial statements, the Company records accruals for its estimated costs of research and development activities, including contract services for clinical trials. Clinical trial activities performed by outside third-party service providers, including those performed by clinical research organizations (CRO), are recorded based upon estimates of the proportion of work completed over the life of the individual clinical trial and patient enrollment rates in accordance with agreements established with third-party service providers. Estimates are determined by reviewing contracts, vendor agreements and purchase orders, and through detailed discussions with internal clinical personnel and external service providers as to the progress or stage of completion of trials or services and then applying these estimates of completion to previously agreed-upon rates and fees to be paid for such services.</w:t>
      </w:r>
    </w:p>
    <w:p>
      <w:pPr>
        <w:spacing w:after="0" w:line="200" w:lineRule="exact"/>
        <w:rPr>
          <w:sz w:val="20"/>
          <w:szCs w:val="20"/>
          <w:color w:val="auto"/>
        </w:rPr>
      </w:pPr>
    </w:p>
    <w:p>
      <w:pPr>
        <w:sectPr>
          <w:pgSz w:w="11900" w:h="16838" w:orient="portrait"/>
          <w:cols w:equalWidth="0" w:num="2">
            <w:col w:w="1360" w:space="280"/>
            <w:col w:w="9600"/>
          </w:cols>
          <w:pgMar w:left="320" w:top="2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132715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type w:val="continuous"/>
        </w:sectPr>
      </w:pPr>
    </w:p>
    <w:bookmarkStart w:id="102" w:name="page103"/>
    <w:bookmarkEnd w:id="102"/>
    <w:p>
      <w:pPr>
        <w:ind w:left="620"/>
        <w:spacing w:after="0"/>
        <w:rPr>
          <w:sz w:val="20"/>
          <w:szCs w:val="20"/>
          <w:color w:val="auto"/>
        </w:rPr>
      </w:pPr>
      <w:r>
        <w:rPr>
          <w:rFonts w:ascii="Arial" w:cs="Arial" w:eastAsia="Arial" w:hAnsi="Arial"/>
          <w:sz w:val="15"/>
          <w:szCs w:val="15"/>
          <w:color w:val="3051F2"/>
        </w:rPr>
        <w:t>Table of Contents</w:t>
      </w:r>
    </w:p>
    <w:p>
      <w:pPr>
        <w:sectPr>
          <w:pgSz w:w="11900" w:h="16838" w:orient="portrait"/>
          <w:cols w:equalWidth="0" w:num="1">
            <w:col w:w="11180"/>
          </w:cols>
          <w:pgMar w:left="320" w:top="24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33333"/>
        </w:rPr>
        <w:t>How We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333333"/>
        </w:rPr>
        <w:t>Addressed the</w:t>
      </w:r>
    </w:p>
    <w:p>
      <w:pPr>
        <w:ind w:left="20"/>
        <w:spacing w:after="0"/>
        <w:rPr>
          <w:sz w:val="20"/>
          <w:szCs w:val="20"/>
          <w:color w:val="auto"/>
        </w:rPr>
      </w:pPr>
      <w:r>
        <w:rPr>
          <w:rFonts w:ascii="Arial" w:cs="Arial" w:eastAsia="Arial" w:hAnsi="Arial"/>
          <w:sz w:val="17"/>
          <w:szCs w:val="17"/>
          <w:i w:val="1"/>
          <w:iCs w:val="1"/>
          <w:color w:val="333333"/>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Auditing management’s accounting estimates of accrued clinical trials expenses was especially challenging, as evaluating the nature, progress, and stage of completion of the activities being performed under the Company’s research and development agreements is dependent upon the accumulation of a high volume of information from internal clinical personnel and third-party service providers.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accounting for accrued clinical trials expenses, including controls over management’s review of clinical trial progress and activities in comparison to budgets and invoices received from third-party service providers.</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audit procedures included, among others, testing the accuracy and completeness of the underlying data used by management to determine the amount of the accrued clinical trials expenses. Additionally, we inspected the terms and conditions of selected service providers’ contracts and change orders, assessed patient enrollment as well as the activities to be performed for each patient, and tested the clinical cost models which calculate the costs incurred for the period under audit. We also agreed selected inputs used in a sample of clinical cost models back to contractual terms, performed inquiries with the Company’s internal clinical personnel that oversee the clinical trials, as well as inspected information obtained by the Company directly from service providers. For a sample of contracts, we obtained external confirmation from service providers of key inputs to the clinical cost models, such as an amount of unbilled costs as of the balance sheet date, the number of patient visits, the number of sites activated and the progress of contracted clinical activities. Further, we inspected a sample of subsequent payments made and invoices received from service providers after the balance sheet date and compared such information back to the accruals recorded by the Company.</w:t>
      </w:r>
    </w:p>
    <w:p>
      <w:pPr>
        <w:spacing w:after="0" w:line="200" w:lineRule="exact"/>
        <w:rPr>
          <w:sz w:val="20"/>
          <w:szCs w:val="20"/>
          <w:color w:val="auto"/>
        </w:rPr>
      </w:pPr>
    </w:p>
    <w:p>
      <w:pPr>
        <w:sectPr>
          <w:pgSz w:w="11900" w:h="16838" w:orient="portrait"/>
          <w:cols w:equalWidth="0" w:num="2">
            <w:col w:w="1460" w:space="180"/>
            <w:col w:w="9540"/>
          </w:cols>
          <w:pgMar w:left="320" w:top="244" w:right="39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San Mateo, California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132715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4" w:right="399" w:bottom="1440" w:gutter="0" w:footer="0" w:header="0"/>
          <w:type w:val="continuous"/>
        </w:sectPr>
      </w:pPr>
    </w:p>
    <w:bookmarkStart w:id="103" w:name="page104"/>
    <w:bookmarkEnd w:id="10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NGM BIOPHARMACEUTICALS,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Pr>
          <w:p>
            <w:pPr>
              <w:spacing w:after="0"/>
              <w:rPr>
                <w:sz w:val="15"/>
                <w:szCs w:val="15"/>
                <w:color w:val="auto"/>
              </w:rPr>
            </w:pPr>
          </w:p>
        </w:tc>
        <w:tc>
          <w:tcPr>
            <w:tcW w:w="1340" w:type="dxa"/>
            <w:vAlign w:val="bottom"/>
          </w:tcPr>
          <w:p>
            <w:pPr>
              <w:jc w:val="right"/>
              <w:ind w:right="175"/>
              <w:spacing w:after="0"/>
              <w:rPr>
                <w:sz w:val="20"/>
                <w:szCs w:val="20"/>
                <w:color w:val="auto"/>
              </w:rPr>
            </w:pPr>
            <w:r>
              <w:rPr>
                <w:rFonts w:ascii="Arial" w:cs="Arial" w:eastAsia="Arial" w:hAnsi="Arial"/>
                <w:sz w:val="15"/>
                <w:szCs w:val="15"/>
                <w:b w:val="1"/>
                <w:bCs w:val="1"/>
                <w:color w:val="auto"/>
              </w:rPr>
              <w:t>December 31,</w:t>
            </w:r>
          </w:p>
        </w:tc>
      </w:tr>
      <w:tr>
        <w:trPr>
          <w:trHeight w:val="204"/>
        </w:trPr>
        <w:tc>
          <w:tcPr>
            <w:tcW w:w="8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31"/>
        </w:trPr>
        <w:tc>
          <w:tcPr>
            <w:tcW w:w="8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040" w:type="dxa"/>
            <w:vAlign w:val="bottom"/>
            <w:tcBorders>
              <w:bottom w:val="single" w:sz="8" w:color="CCEEFF"/>
            </w:tcBorders>
            <w:shd w:val="clear" w:color="auto" w:fill="CCEEFF"/>
          </w:tcPr>
          <w:p>
            <w:pPr>
              <w:ind w:left="368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73,456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151,795</w:t>
            </w:r>
          </w:p>
        </w:tc>
      </w:tr>
      <w:tr>
        <w:trPr>
          <w:trHeight w:val="230"/>
        </w:trPr>
        <w:tc>
          <w:tcPr>
            <w:tcW w:w="8040" w:type="dxa"/>
            <w:vAlign w:val="bottom"/>
          </w:tcPr>
          <w:p>
            <w:pPr>
              <w:ind w:left="220"/>
              <w:spacing w:after="0"/>
              <w:rPr>
                <w:sz w:val="20"/>
                <w:szCs w:val="20"/>
                <w:color w:val="auto"/>
              </w:rPr>
            </w:pPr>
            <w:r>
              <w:rPr>
                <w:rFonts w:ascii="Arial" w:cs="Arial" w:eastAsia="Arial" w:hAnsi="Arial"/>
                <w:sz w:val="17"/>
                <w:szCs w:val="17"/>
                <w:color w:val="auto"/>
              </w:rPr>
              <w:t>Short-term marketable securities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198,036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214,458</w:t>
            </w: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Related party receivable from collaboration</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4,945</w:t>
            </w:r>
          </w:p>
        </w:tc>
      </w:tr>
      <w:tr>
        <w:trPr>
          <w:trHeight w:val="271"/>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8,082</w:t>
            </w:r>
          </w:p>
        </w:tc>
      </w:tr>
      <w:tr>
        <w:trPr>
          <w:trHeight w:val="231"/>
        </w:trPr>
        <w:tc>
          <w:tcPr>
            <w:tcW w:w="8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288,859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379,280</w:t>
            </w:r>
          </w:p>
        </w:tc>
      </w:tr>
      <w:tr>
        <w:trPr>
          <w:trHeight w:val="230"/>
        </w:trPr>
        <w:tc>
          <w:tcPr>
            <w:tcW w:w="80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10,071</w:t>
            </w: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4,045</w:t>
            </w:r>
          </w:p>
        </w:tc>
      </w:tr>
      <w:tr>
        <w:trPr>
          <w:trHeight w:val="230"/>
        </w:trPr>
        <w:tc>
          <w:tcPr>
            <w:tcW w:w="804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3,954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1,499</w:t>
            </w: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7,492</w:t>
            </w:r>
          </w:p>
        </w:tc>
      </w:tr>
      <w:tr>
        <w:trPr>
          <w:trHeight w:val="250"/>
        </w:trPr>
        <w:tc>
          <w:tcPr>
            <w:tcW w:w="80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307,402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402,387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4"/>
        </w:trPr>
        <w:tc>
          <w:tcPr>
            <w:tcW w:w="804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5,246</w:t>
            </w:r>
          </w:p>
        </w:tc>
      </w:tr>
      <w:tr>
        <w:trPr>
          <w:trHeight w:val="230"/>
        </w:trPr>
        <w:tc>
          <w:tcPr>
            <w:tcW w:w="804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33,638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33,258</w:t>
            </w: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lease liability, current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5,077</w:t>
            </w:r>
          </w:p>
        </w:tc>
      </w:tr>
      <w:tr>
        <w:trPr>
          <w:trHeight w:val="271"/>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Contract liabilities</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17,774</w:t>
            </w:r>
          </w:p>
        </w:tc>
      </w:tr>
      <w:tr>
        <w:trPr>
          <w:trHeight w:val="231"/>
        </w:trPr>
        <w:tc>
          <w:tcPr>
            <w:tcW w:w="8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61,355</w:t>
            </w:r>
          </w:p>
        </w:tc>
      </w:tr>
      <w:tr>
        <w:trPr>
          <w:trHeight w:val="271"/>
        </w:trPr>
        <w:tc>
          <w:tcPr>
            <w:tcW w:w="8040" w:type="dxa"/>
            <w:vAlign w:val="bottom"/>
          </w:tcPr>
          <w:p>
            <w:pPr>
              <w:ind w:left="20"/>
              <w:spacing w:after="0"/>
              <w:rPr>
                <w:sz w:val="20"/>
                <w:szCs w:val="20"/>
                <w:color w:val="auto"/>
              </w:rPr>
            </w:pPr>
            <w:r>
              <w:rPr>
                <w:rFonts w:ascii="Arial" w:cs="Arial" w:eastAsia="Arial" w:hAnsi="Arial"/>
                <w:sz w:val="17"/>
                <w:szCs w:val="17"/>
                <w:color w:val="auto"/>
              </w:rPr>
              <w:t>Operating lease liability, non-current</w:t>
            </w:r>
          </w:p>
        </w:tc>
        <w:tc>
          <w:tcPr>
            <w:tcW w:w="18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5,385</w:t>
            </w:r>
          </w:p>
        </w:tc>
      </w:tr>
      <w:tr>
        <w:trPr>
          <w:trHeight w:val="251"/>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66,740</w:t>
            </w:r>
          </w:p>
        </w:tc>
      </w:tr>
      <w:tr>
        <w:trPr>
          <w:trHeight w:val="210"/>
        </w:trPr>
        <w:tc>
          <w:tcPr>
            <w:tcW w:w="8040" w:type="dxa"/>
            <w:vAlign w:val="bottom"/>
          </w:tcPr>
          <w:p>
            <w:pPr>
              <w:ind w:left="20"/>
              <w:spacing w:after="0"/>
              <w:rPr>
                <w:sz w:val="20"/>
                <w:szCs w:val="20"/>
                <w:color w:val="auto"/>
              </w:rPr>
            </w:pPr>
            <w:r>
              <w:rPr>
                <w:rFonts w:ascii="Arial" w:cs="Arial" w:eastAsia="Arial" w:hAnsi="Arial"/>
                <w:sz w:val="17"/>
                <w:szCs w:val="17"/>
                <w:color w:val="auto"/>
              </w:rPr>
              <w:t>Commitments and contingencies (Note 6)</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7"/>
                <w:szCs w:val="17"/>
                <w:color w:val="auto"/>
              </w:rPr>
              <w:t>Preferred stock, $0.001 par value; 10,000 shares authorized; no shares issued or outstanding as of</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6"/>
        </w:trPr>
        <w:tc>
          <w:tcPr>
            <w:tcW w:w="8040" w:type="dxa"/>
            <w:vAlign w:val="bottom"/>
          </w:tcPr>
          <w:p>
            <w:pPr>
              <w:ind w:left="220"/>
              <w:spacing w:after="0"/>
              <w:rPr>
                <w:sz w:val="20"/>
                <w:szCs w:val="20"/>
                <w:color w:val="auto"/>
              </w:rPr>
            </w:pPr>
            <w:r>
              <w:rPr>
                <w:rFonts w:ascii="Arial" w:cs="Arial" w:eastAsia="Arial" w:hAnsi="Arial"/>
                <w:sz w:val="17"/>
                <w:szCs w:val="17"/>
                <w:color w:val="auto"/>
              </w:rPr>
              <w:t>December 31, 2022 and 2021, respectively</w:t>
            </w:r>
          </w:p>
        </w:tc>
        <w:tc>
          <w:tcPr>
            <w:tcW w:w="18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$0.001 par value; 400,000 shares authorized; 81,885 and 77,962 shares issued and</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4"/>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outstanding as of December 31, 2022 and 2021, respectively</w:t>
            </w: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30"/>
        </w:trPr>
        <w:tc>
          <w:tcPr>
            <w:tcW w:w="8040" w:type="dxa"/>
            <w:vAlign w:val="bottom"/>
          </w:tcPr>
          <w:p>
            <w:pPr>
              <w:ind w:left="24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841,413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754,664</w:t>
            </w:r>
          </w:p>
        </w:tc>
      </w:tr>
      <w:tr>
        <w:trPr>
          <w:trHeight w:val="27"/>
        </w:trPr>
        <w:tc>
          <w:tcPr>
            <w:tcW w:w="8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8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71"/>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Accumulated deficit</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(581,633)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(418,966)</w:t>
            </w:r>
          </w:p>
        </w:tc>
      </w:tr>
      <w:tr>
        <w:trPr>
          <w:trHeight w:val="25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335,647</w:t>
            </w:r>
          </w:p>
        </w:tc>
      </w:tr>
      <w:tr>
        <w:trPr>
          <w:trHeight w:val="250"/>
        </w:trPr>
        <w:tc>
          <w:tcPr>
            <w:tcW w:w="804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307,402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402,387</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4" w:right="379" w:bottom="1440" w:gutter="0" w:footer="0" w:header="0"/>
        </w:sectPr>
      </w:pPr>
    </w:p>
    <w:bookmarkStart w:id="104" w:name="page105"/>
    <w:bookmarkEnd w:id="10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NGM BIOPHARMACEUTICALS,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25"/>
        </w:trPr>
        <w:tc>
          <w:tcPr>
            <w:tcW w:w="6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2020</w:t>
            </w:r>
          </w:p>
        </w:tc>
      </w:tr>
      <w:tr>
        <w:trPr>
          <w:trHeight w:val="238"/>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Related party revenue</w:t>
            </w:r>
          </w:p>
        </w:tc>
        <w:tc>
          <w:tcPr>
            <w:tcW w:w="34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55,333</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77,882</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87,368</w:t>
            </w: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8"/>
        </w:trPr>
        <w:tc>
          <w:tcPr>
            <w:tcW w:w="63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Research and development</w:t>
            </w: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181,067</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161,712</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163,972</w:t>
            </w:r>
          </w:p>
        </w:tc>
      </w:tr>
      <w:tr>
        <w:trPr>
          <w:trHeight w:val="230"/>
        </w:trPr>
        <w:tc>
          <w:tcPr>
            <w:tcW w:w="638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40,515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36,865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27,229</w:t>
            </w:r>
          </w:p>
        </w:tc>
      </w:tr>
      <w:tr>
        <w:trPr>
          <w:trHeight w:val="27"/>
        </w:trPr>
        <w:tc>
          <w:tcPr>
            <w:tcW w:w="63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1"/>
        </w:trPr>
        <w:tc>
          <w:tcPr>
            <w:tcW w:w="63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221,582</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198,577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191,201</w:t>
            </w:r>
          </w:p>
        </w:tc>
      </w:tr>
      <w:tr>
        <w:trPr>
          <w:trHeight w:val="223"/>
        </w:trPr>
        <w:tc>
          <w:tcPr>
            <w:tcW w:w="638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(166,249)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(120,695)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(103,833)</w:t>
            </w: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8"/>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Interest income, net</w:t>
            </w: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3,714</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1,939</w:t>
            </w: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(593)</w:t>
            </w:r>
          </w:p>
        </w:tc>
      </w:tr>
      <w:tr>
        <w:trPr>
          <w:trHeight w:val="27"/>
        </w:trPr>
        <w:tc>
          <w:tcPr>
            <w:tcW w:w="63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5"/>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(162,667)</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(120,335)</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(102,487)</w:t>
            </w: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7"/>
                <w:szCs w:val="17"/>
                <w:color w:val="auto"/>
              </w:rPr>
              <w:t>Net loss per share, basic and diluted</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r>
      <w:tr>
        <w:trPr>
          <w:trHeight w:val="20"/>
        </w:trPr>
        <w:tc>
          <w:tcPr>
            <w:tcW w:w="63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4"/>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Weighted average shares used to compute net loss per share, basic and diluted</w:t>
            </w:r>
          </w:p>
        </w:tc>
        <w:tc>
          <w:tcPr>
            <w:tcW w:w="34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79,950</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77,085</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68,475</w:t>
            </w: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4" w:right="379" w:bottom="1440" w:gutter="0" w:footer="0" w:header="0"/>
        </w:sectPr>
      </w:pPr>
    </w:p>
    <w:bookmarkStart w:id="105" w:name="page106"/>
    <w:bookmarkEnd w:id="10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NGM BIOPHARMACEUTICALS,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25"/>
        </w:trPr>
        <w:tc>
          <w:tcPr>
            <w:tcW w:w="6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2020</w:t>
            </w:r>
          </w:p>
        </w:tc>
      </w:tr>
      <w:tr>
        <w:trPr>
          <w:trHeight w:val="215"/>
        </w:trPr>
        <w:tc>
          <w:tcPr>
            <w:tcW w:w="6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(162,667)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(120,335)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(102,487)</w:t>
            </w: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Other comprehensive loss, net of tax:</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3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unrealized loss on available-for-sale marketable securities</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w:t>
            </w:r>
          </w:p>
        </w:tc>
      </w:tr>
      <w:tr>
        <w:trPr>
          <w:trHeight w:val="213"/>
        </w:trPr>
        <w:tc>
          <w:tcPr>
            <w:tcW w:w="6380" w:type="dxa"/>
            <w:vAlign w:val="bottom"/>
          </w:tcPr>
          <w:p>
            <w:pPr>
              <w:ind w:left="20"/>
              <w:spacing w:after="0"/>
              <w:rPr>
                <w:sz w:val="20"/>
                <w:szCs w:val="20"/>
                <w:color w:val="auto"/>
              </w:rPr>
            </w:pPr>
            <w:r>
              <w:rPr>
                <w:rFonts w:ascii="Arial" w:cs="Arial" w:eastAsia="Arial" w:hAnsi="Arial"/>
                <w:sz w:val="17"/>
                <w:szCs w:val="17"/>
                <w:color w:val="auto"/>
              </w:rPr>
              <w:t>Total comprehensive loss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(162,840)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(102,508)</w:t>
            </w: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4" w:right="379" w:bottom="1440" w:gutter="0" w:footer="0" w:header="0"/>
        </w:sectPr>
      </w:pPr>
    </w:p>
    <w:bookmarkStart w:id="106" w:name="page107"/>
    <w:bookmarkEnd w:id="106"/>
    <w:p>
      <w:pPr>
        <w:ind w:left="60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NGM BIOPHARMACEUTICALS,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w:t>
      </w:r>
    </w:p>
    <w:p>
      <w:pPr>
        <w:spacing w:after="0" w:line="200" w:lineRule="exact"/>
        <w:rPr>
          <w:sz w:val="20"/>
          <w:szCs w:val="20"/>
          <w:color w:val="auto"/>
        </w:rPr>
      </w:pPr>
    </w:p>
    <w:p>
      <w:pPr>
        <w:spacing w:after="0" w:line="218" w:lineRule="exact"/>
        <w:rPr>
          <w:sz w:val="20"/>
          <w:szCs w:val="20"/>
          <w:color w:val="auto"/>
        </w:rPr>
      </w:pPr>
    </w:p>
    <w:tbl>
      <w:tblPr>
        <w:tblLayout w:type="fixed"/>
        <w:tblInd w:w="2880" w:type="dxa"/>
        <w:tblCellMar>
          <w:top w:w="0" w:type="dxa"/>
          <w:left w:w="0" w:type="dxa"/>
          <w:bottom w:w="0" w:type="dxa"/>
          <w:right w:w="0" w:type="dxa"/>
        </w:tblCellMar>
      </w:tblPr>
      <w:tr>
        <w:trPr>
          <w:trHeight w:val="159"/>
        </w:trPr>
        <w:tc>
          <w:tcPr>
            <w:tcW w:w="860" w:type="dxa"/>
            <w:vAlign w:val="bottom"/>
          </w:tcPr>
          <w:p>
            <w:pPr>
              <w:spacing w:after="0"/>
              <w:rPr>
                <w:sz w:val="13"/>
                <w:szCs w:val="13"/>
                <w:color w:val="auto"/>
              </w:rPr>
            </w:pPr>
          </w:p>
        </w:tc>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Common Stock</w:t>
            </w:r>
          </w:p>
        </w:tc>
        <w:tc>
          <w:tcPr>
            <w:tcW w:w="1380" w:type="dxa"/>
            <w:vAlign w:val="bottom"/>
            <w:vMerge w:val="restart"/>
          </w:tcPr>
          <w:p>
            <w:pPr>
              <w:jc w:val="center"/>
              <w:ind w:left="60"/>
              <w:spacing w:after="0"/>
              <w:rPr>
                <w:sz w:val="20"/>
                <w:szCs w:val="20"/>
                <w:color w:val="auto"/>
              </w:rPr>
            </w:pPr>
            <w:r>
              <w:rPr>
                <w:rFonts w:ascii="Arial" w:cs="Arial" w:eastAsia="Arial" w:hAnsi="Arial"/>
                <w:sz w:val="12"/>
                <w:szCs w:val="12"/>
                <w:b w:val="1"/>
                <w:bCs w:val="1"/>
                <w:color w:val="auto"/>
                <w:w w:val="99"/>
              </w:rPr>
              <w:t>Additional Paid-In</w:t>
            </w:r>
          </w:p>
        </w:tc>
        <w:tc>
          <w:tcPr>
            <w:tcW w:w="15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Other Comprehensive</w:t>
            </w:r>
          </w:p>
        </w:tc>
        <w:tc>
          <w:tcPr>
            <w:tcW w:w="1380" w:type="dxa"/>
            <w:vAlign w:val="bottom"/>
          </w:tcPr>
          <w:p>
            <w:pPr>
              <w:spacing w:after="0"/>
              <w:rPr>
                <w:sz w:val="13"/>
                <w:szCs w:val="13"/>
                <w:color w:val="auto"/>
              </w:rPr>
            </w:pPr>
          </w:p>
        </w:tc>
        <w:tc>
          <w:tcPr>
            <w:tcW w:w="1240" w:type="dxa"/>
            <w:vAlign w:val="bottom"/>
            <w:vMerge w:val="restart"/>
          </w:tcPr>
          <w:p>
            <w:pPr>
              <w:jc w:val="center"/>
              <w:ind w:left="80"/>
              <w:spacing w:after="0"/>
              <w:rPr>
                <w:sz w:val="20"/>
                <w:szCs w:val="20"/>
                <w:color w:val="auto"/>
              </w:rPr>
            </w:pPr>
            <w:r>
              <w:rPr>
                <w:rFonts w:ascii="Arial" w:cs="Arial" w:eastAsia="Arial" w:hAnsi="Arial"/>
                <w:sz w:val="12"/>
                <w:szCs w:val="12"/>
                <w:b w:val="1"/>
                <w:bCs w:val="1"/>
                <w:color w:val="auto"/>
                <w:w w:val="99"/>
              </w:rPr>
              <w:t>Total Stockholders'</w:t>
            </w:r>
          </w:p>
        </w:tc>
        <w:tc>
          <w:tcPr>
            <w:tcW w:w="0" w:type="dxa"/>
            <w:vAlign w:val="bottom"/>
          </w:tcPr>
          <w:p>
            <w:pPr>
              <w:spacing w:after="0"/>
              <w:rPr>
                <w:sz w:val="1"/>
                <w:szCs w:val="1"/>
                <w:color w:val="auto"/>
              </w:rPr>
            </w:pPr>
          </w:p>
        </w:tc>
      </w:tr>
      <w:tr>
        <w:trPr>
          <w:trHeight w:val="28"/>
        </w:trPr>
        <w:tc>
          <w:tcPr>
            <w:tcW w:w="8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8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60" w:type="dxa"/>
            <w:vAlign w:val="bottom"/>
          </w:tcPr>
          <w:p>
            <w:pPr>
              <w:ind w:left="420"/>
              <w:spacing w:after="0"/>
              <w:rPr>
                <w:sz w:val="20"/>
                <w:szCs w:val="20"/>
                <w:color w:val="auto"/>
              </w:rPr>
            </w:pPr>
            <w:r>
              <w:rPr>
                <w:rFonts w:ascii="Arial" w:cs="Arial" w:eastAsia="Arial" w:hAnsi="Arial"/>
                <w:sz w:val="12"/>
                <w:szCs w:val="12"/>
                <w:b w:val="1"/>
                <w:bCs w:val="1"/>
                <w:color w:val="auto"/>
              </w:rPr>
              <w:t>Shares</w:t>
            </w:r>
          </w:p>
        </w:tc>
        <w:tc>
          <w:tcPr>
            <w:tcW w:w="1800" w:type="dxa"/>
            <w:vAlign w:val="bottom"/>
          </w:tcPr>
          <w:p>
            <w:pPr>
              <w:ind w:left="920"/>
              <w:spacing w:after="0"/>
              <w:rPr>
                <w:sz w:val="20"/>
                <w:szCs w:val="20"/>
                <w:color w:val="auto"/>
              </w:rPr>
            </w:pPr>
            <w:r>
              <w:rPr>
                <w:rFonts w:ascii="Arial" w:cs="Arial" w:eastAsia="Arial" w:hAnsi="Arial"/>
                <w:sz w:val="12"/>
                <w:szCs w:val="12"/>
                <w:b w:val="1"/>
                <w:bCs w:val="1"/>
                <w:color w:val="auto"/>
              </w:rPr>
              <w:t>Amount</w:t>
            </w:r>
          </w:p>
        </w:tc>
        <w:tc>
          <w:tcPr>
            <w:tcW w:w="1380" w:type="dxa"/>
            <w:vAlign w:val="bottom"/>
          </w:tcPr>
          <w:p>
            <w:pPr>
              <w:jc w:val="center"/>
              <w:ind w:left="40"/>
              <w:spacing w:after="0"/>
              <w:rPr>
                <w:sz w:val="20"/>
                <w:szCs w:val="20"/>
                <w:color w:val="auto"/>
              </w:rPr>
            </w:pPr>
            <w:r>
              <w:rPr>
                <w:rFonts w:ascii="Arial" w:cs="Arial" w:eastAsia="Arial" w:hAnsi="Arial"/>
                <w:sz w:val="12"/>
                <w:szCs w:val="12"/>
                <w:b w:val="1"/>
                <w:bCs w:val="1"/>
                <w:color w:val="auto"/>
                <w:w w:val="99"/>
              </w:rPr>
              <w:t>Capital</w:t>
            </w: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rPr>
              <w:t>Income (Loss)</w:t>
            </w:r>
          </w:p>
        </w:tc>
        <w:tc>
          <w:tcPr>
            <w:tcW w:w="1380" w:type="dxa"/>
            <w:vAlign w:val="bottom"/>
          </w:tcPr>
          <w:p>
            <w:pPr>
              <w:ind w:left="100"/>
              <w:spacing w:after="0"/>
              <w:rPr>
                <w:sz w:val="20"/>
                <w:szCs w:val="20"/>
                <w:color w:val="auto"/>
              </w:rPr>
            </w:pPr>
            <w:r>
              <w:rPr>
                <w:rFonts w:ascii="Arial" w:cs="Arial" w:eastAsia="Arial" w:hAnsi="Arial"/>
                <w:sz w:val="12"/>
                <w:szCs w:val="12"/>
                <w:b w:val="1"/>
                <w:bCs w:val="1"/>
                <w:color w:val="auto"/>
              </w:rPr>
              <w:t>Accumulated Deficit</w:t>
            </w:r>
          </w:p>
        </w:tc>
        <w:tc>
          <w:tcPr>
            <w:tcW w:w="1240" w:type="dxa"/>
            <w:vAlign w:val="bottom"/>
          </w:tcPr>
          <w:p>
            <w:pPr>
              <w:jc w:val="center"/>
              <w:ind w:left="10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7089140" cy="147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140"/>
          </w:cols>
          <w:pgMar w:left="340" w:top="244" w:right="41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80" w:type="dxa"/>
            <w:vAlign w:val="bottom"/>
          </w:tcPr>
          <w:p>
            <w:pPr>
              <w:spacing w:after="0"/>
              <w:rPr>
                <w:sz w:val="20"/>
                <w:szCs w:val="20"/>
                <w:color w:val="auto"/>
              </w:rPr>
            </w:pPr>
            <w:r>
              <w:rPr>
                <w:rFonts w:ascii="Arial" w:cs="Arial" w:eastAsia="Arial" w:hAnsi="Arial"/>
                <w:sz w:val="14"/>
                <w:szCs w:val="14"/>
                <w:b w:val="1"/>
                <w:bCs w:val="1"/>
                <w:color w:val="auto"/>
              </w:rPr>
              <w:t>Balance at December 31, 2019</w:t>
            </w:r>
          </w:p>
        </w:tc>
        <w:tc>
          <w:tcPr>
            <w:tcW w:w="1260" w:type="dxa"/>
            <w:vAlign w:val="bottom"/>
          </w:tcPr>
          <w:p>
            <w:pPr>
              <w:jc w:val="right"/>
              <w:spacing w:after="0"/>
              <w:rPr>
                <w:sz w:val="20"/>
                <w:szCs w:val="20"/>
                <w:color w:val="auto"/>
              </w:rPr>
            </w:pPr>
            <w:r>
              <w:rPr>
                <w:rFonts w:ascii="Arial" w:cs="Arial" w:eastAsia="Arial" w:hAnsi="Arial"/>
                <w:sz w:val="14"/>
                <w:szCs w:val="14"/>
                <w:color w:val="auto"/>
              </w:rPr>
              <w:t>66,886</w:t>
            </w:r>
          </w:p>
        </w:tc>
        <w:tc>
          <w:tcPr>
            <w:tcW w:w="120" w:type="dxa"/>
            <w:vAlign w:val="bottom"/>
          </w:tcPr>
          <w:p>
            <w:pPr>
              <w:spacing w:after="0"/>
              <w:rPr>
                <w:sz w:val="15"/>
                <w:szCs w:val="15"/>
                <w:color w:val="auto"/>
              </w:rPr>
            </w:pP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upon exercise of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stock options</w:t>
            </w:r>
          </w:p>
        </w:tc>
        <w:tc>
          <w:tcPr>
            <w:tcW w:w="1260" w:type="dxa"/>
            <w:vAlign w:val="bottom"/>
          </w:tcPr>
          <w:p>
            <w:pPr>
              <w:jc w:val="right"/>
              <w:spacing w:after="0"/>
              <w:rPr>
                <w:sz w:val="20"/>
                <w:szCs w:val="20"/>
                <w:color w:val="auto"/>
              </w:rPr>
            </w:pPr>
            <w:r>
              <w:rPr>
                <w:rFonts w:ascii="Arial" w:cs="Arial" w:eastAsia="Arial" w:hAnsi="Arial"/>
                <w:sz w:val="14"/>
                <w:szCs w:val="14"/>
                <w:color w:val="auto"/>
              </w:rPr>
              <w:t>2,616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w w:val="98"/>
              </w:rPr>
              <w:t>Issuance of common stock under Open Market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Agreement, net of issuance costs</w:t>
            </w:r>
          </w:p>
        </w:tc>
        <w:tc>
          <w:tcPr>
            <w:tcW w:w="126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under employee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stock purchase plan</w:t>
            </w:r>
          </w:p>
        </w:tc>
        <w:tc>
          <w:tcPr>
            <w:tcW w:w="126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Vesting of common stock from early exercises</w:t>
            </w:r>
          </w:p>
        </w:tc>
        <w:tc>
          <w:tcPr>
            <w:tcW w:w="12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to participants in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401(k) Plan</w:t>
            </w: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Comprehensive loss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Net loss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2020</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70,583</w:t>
            </w:r>
          </w:p>
        </w:tc>
        <w:tc>
          <w:tcPr>
            <w:tcW w:w="120" w:type="dxa"/>
            <w:vAlign w:val="bottom"/>
          </w:tcPr>
          <w:p>
            <w:pPr>
              <w:spacing w:after="0"/>
              <w:rPr>
                <w:sz w:val="16"/>
                <w:szCs w:val="16"/>
                <w:color w:val="auto"/>
              </w:rPr>
            </w:pP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under offering,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of issuance costs</w:t>
            </w:r>
          </w:p>
        </w:tc>
        <w:tc>
          <w:tcPr>
            <w:tcW w:w="1260" w:type="dxa"/>
            <w:vAlign w:val="bottom"/>
          </w:tcPr>
          <w:p>
            <w:pPr>
              <w:jc w:val="right"/>
              <w:spacing w:after="0"/>
              <w:rPr>
                <w:sz w:val="20"/>
                <w:szCs w:val="20"/>
                <w:color w:val="auto"/>
              </w:rPr>
            </w:pPr>
            <w:r>
              <w:rPr>
                <w:rFonts w:ascii="Arial" w:cs="Arial" w:eastAsia="Arial" w:hAnsi="Arial"/>
                <w:sz w:val="14"/>
                <w:szCs w:val="14"/>
                <w:color w:val="auto"/>
              </w:rPr>
              <w:t>5,324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upon exercise of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stock options</w:t>
            </w:r>
          </w:p>
        </w:tc>
        <w:tc>
          <w:tcPr>
            <w:tcW w:w="1260" w:type="dxa"/>
            <w:vAlign w:val="bottom"/>
          </w:tcPr>
          <w:p>
            <w:pPr>
              <w:jc w:val="right"/>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under employee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stock purchase plan</w:t>
            </w:r>
          </w:p>
        </w:tc>
        <w:tc>
          <w:tcPr>
            <w:tcW w:w="126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w w:val="98"/>
              </w:rPr>
              <w:t>Issuance of common stock under Open Market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Agreement, net of issuance costs</w:t>
            </w: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to participants in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401(k) plan</w:t>
            </w: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Vesting of common stock from early exercises</w:t>
            </w: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Comprehensive loss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Net loss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2021</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77,962</w:t>
            </w:r>
          </w:p>
        </w:tc>
        <w:tc>
          <w:tcPr>
            <w:tcW w:w="120" w:type="dxa"/>
            <w:vAlign w:val="bottom"/>
          </w:tcPr>
          <w:p>
            <w:pPr>
              <w:spacing w:after="0"/>
              <w:rPr>
                <w:sz w:val="16"/>
                <w:szCs w:val="16"/>
                <w:color w:val="auto"/>
              </w:rPr>
            </w:pP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w w:val="98"/>
              </w:rPr>
              <w:t>Issuance of common stock under Open Market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Sale Agreement, net of issuance costs</w:t>
            </w:r>
          </w:p>
        </w:tc>
        <w:tc>
          <w:tcPr>
            <w:tcW w:w="1260" w:type="dxa"/>
            <w:vAlign w:val="bottom"/>
          </w:tcPr>
          <w:p>
            <w:pPr>
              <w:jc w:val="right"/>
              <w:spacing w:after="0"/>
              <w:rPr>
                <w:sz w:val="20"/>
                <w:szCs w:val="20"/>
                <w:color w:val="auto"/>
              </w:rPr>
            </w:pPr>
            <w:r>
              <w:rPr>
                <w:rFonts w:ascii="Arial" w:cs="Arial" w:eastAsia="Arial" w:hAnsi="Arial"/>
                <w:sz w:val="14"/>
                <w:szCs w:val="14"/>
                <w:color w:val="auto"/>
              </w:rPr>
              <w:t>3,246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upon exercise of</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stock options</w:t>
            </w:r>
          </w:p>
        </w:tc>
        <w:tc>
          <w:tcPr>
            <w:tcW w:w="126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under employee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stock purchase plan</w:t>
            </w:r>
          </w:p>
        </w:tc>
        <w:tc>
          <w:tcPr>
            <w:tcW w:w="126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Arial" w:cs="Arial" w:eastAsia="Arial" w:hAnsi="Arial"/>
                <w:sz w:val="14"/>
                <w:szCs w:val="14"/>
                <w:color w:val="auto"/>
              </w:rPr>
              <w:t>Issuance of common stock to participants in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20"/>
                <w:szCs w:val="20"/>
                <w:color w:val="auto"/>
              </w:rPr>
            </w:pPr>
            <w:r>
              <w:rPr>
                <w:rFonts w:ascii="Arial" w:cs="Arial" w:eastAsia="Arial" w:hAnsi="Arial"/>
                <w:sz w:val="14"/>
                <w:szCs w:val="14"/>
                <w:color w:val="auto"/>
              </w:rPr>
              <w:t>401(k) plan</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Comprehensive loss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4"/>
                <w:szCs w:val="14"/>
                <w:color w:val="auto"/>
              </w:rPr>
              <w:t>Net loss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880" w:type="dxa"/>
            <w:vAlign w:val="bottom"/>
          </w:tcPr>
          <w:p>
            <w:pPr>
              <w:spacing w:after="0"/>
              <w:rPr>
                <w:sz w:val="20"/>
                <w:szCs w:val="20"/>
                <w:color w:val="auto"/>
              </w:rPr>
            </w:pPr>
            <w:r>
              <w:rPr>
                <w:rFonts w:ascii="Arial" w:cs="Arial" w:eastAsia="Arial" w:hAnsi="Arial"/>
                <w:sz w:val="14"/>
                <w:szCs w:val="14"/>
                <w:b w:val="1"/>
                <w:bCs w:val="1"/>
                <w:color w:val="auto"/>
              </w:rPr>
              <w:t>Balance at December 31, 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81,885</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-4952365</wp:posOffset>
            </wp:positionV>
            <wp:extent cx="7089140" cy="245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89140" cy="2457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-4460875</wp:posOffset>
            </wp:positionV>
            <wp:extent cx="7089140" cy="139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-4076065</wp:posOffset>
            </wp:positionV>
            <wp:extent cx="7089140" cy="139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-3797935</wp:posOffset>
            </wp:positionV>
            <wp:extent cx="7089140" cy="139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-3511550</wp:posOffset>
            </wp:positionV>
            <wp:extent cx="7089140" cy="2457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9140" cy="2457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-3020060</wp:posOffset>
            </wp:positionV>
            <wp:extent cx="7089140" cy="2457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2457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-2529205</wp:posOffset>
            </wp:positionV>
            <wp:extent cx="7089140" cy="2457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2457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-2144395</wp:posOffset>
            </wp:positionV>
            <wp:extent cx="708914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-1865630</wp:posOffset>
            </wp:positionV>
            <wp:extent cx="7089140" cy="139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-1579245</wp:posOffset>
            </wp:positionV>
            <wp:extent cx="7089140" cy="2457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9140" cy="2457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-1088390</wp:posOffset>
            </wp:positionV>
            <wp:extent cx="7089140" cy="2457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89140" cy="2457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-596900</wp:posOffset>
            </wp:positionV>
            <wp:extent cx="7089140" cy="139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-318770</wp:posOffset>
            </wp:positionV>
            <wp:extent cx="7089140" cy="139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660" w:type="dxa"/>
            <w:vAlign w:val="bottom"/>
          </w:tcPr>
          <w:p>
            <w:pPr>
              <w:jc w:val="right"/>
              <w:ind w:right="111"/>
              <w:spacing w:after="0"/>
              <w:rPr>
                <w:sz w:val="20"/>
                <w:szCs w:val="20"/>
                <w:color w:val="auto"/>
              </w:rPr>
            </w:pPr>
            <w:r>
              <w:rPr>
                <w:rFonts w:ascii="Arial" w:cs="Arial" w:eastAsia="Arial" w:hAnsi="Arial"/>
                <w:sz w:val="14"/>
                <w:szCs w:val="14"/>
                <w:color w:val="auto"/>
                <w:w w:val="90"/>
              </w:rPr>
              <w:t>526,771</w:t>
            </w:r>
          </w:p>
        </w:tc>
        <w:tc>
          <w:tcPr>
            <w:tcW w:w="520" w:type="dxa"/>
            <w:vAlign w:val="bottom"/>
          </w:tcPr>
          <w:p>
            <w:pPr>
              <w:jc w:val="right"/>
              <w:ind w:right="37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ind w:left="280"/>
              <w:spacing w:after="0"/>
              <w:rPr>
                <w:sz w:val="20"/>
                <w:szCs w:val="20"/>
                <w:color w:val="auto"/>
              </w:rPr>
            </w:pPr>
            <w:r>
              <w:rPr>
                <w:rFonts w:ascii="Arial" w:cs="Arial" w:eastAsia="Arial" w:hAnsi="Arial"/>
                <w:sz w:val="14"/>
                <w:szCs w:val="14"/>
                <w:color w:val="auto"/>
              </w:rPr>
              <w:t>(196,144)</w:t>
            </w:r>
          </w:p>
        </w:tc>
        <w:tc>
          <w:tcPr>
            <w:tcW w:w="100" w:type="dxa"/>
            <w:vAlign w:val="bottom"/>
          </w:tcPr>
          <w:p>
            <w:pPr>
              <w:spacing w:after="0"/>
              <w:rPr>
                <w:sz w:val="14"/>
                <w:szCs w:val="14"/>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330,719</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11,835</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11,838</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21,329</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21,330</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2,370</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2,370</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524</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524</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119</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15,651</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15,651</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ind w:left="280"/>
              <w:spacing w:after="0"/>
              <w:rPr>
                <w:sz w:val="20"/>
                <w:szCs w:val="20"/>
                <w:color w:val="auto"/>
              </w:rPr>
            </w:pPr>
            <w:r>
              <w:rPr>
                <w:rFonts w:ascii="Arial" w:cs="Arial" w:eastAsia="Arial" w:hAnsi="Arial"/>
                <w:sz w:val="14"/>
                <w:szCs w:val="14"/>
                <w:color w:val="auto"/>
              </w:rPr>
              <w:t>(102,487)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(102,487)</w:t>
            </w:r>
          </w:p>
        </w:tc>
      </w:tr>
      <w:tr>
        <w:trPr>
          <w:trHeight w:val="24"/>
        </w:trPr>
        <w:tc>
          <w:tcPr>
            <w:tcW w:w="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660" w:type="dxa"/>
            <w:vAlign w:val="bottom"/>
          </w:tcPr>
          <w:p>
            <w:pPr>
              <w:jc w:val="right"/>
              <w:ind w:right="111"/>
              <w:spacing w:after="0"/>
              <w:rPr>
                <w:sz w:val="20"/>
                <w:szCs w:val="20"/>
                <w:color w:val="auto"/>
              </w:rPr>
            </w:pPr>
            <w:r>
              <w:rPr>
                <w:rFonts w:ascii="Arial" w:cs="Arial" w:eastAsia="Arial" w:hAnsi="Arial"/>
                <w:sz w:val="14"/>
                <w:szCs w:val="14"/>
                <w:color w:val="auto"/>
                <w:w w:val="90"/>
              </w:rPr>
              <w:t>578,599</w:t>
            </w:r>
          </w:p>
        </w:tc>
        <w:tc>
          <w:tcPr>
            <w:tcW w:w="520" w:type="dxa"/>
            <w:vAlign w:val="bottom"/>
          </w:tcPr>
          <w:p>
            <w:pPr>
              <w:jc w:val="right"/>
              <w:ind w:right="37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ind w:left="280"/>
              <w:spacing w:after="0"/>
              <w:rPr>
                <w:sz w:val="20"/>
                <w:szCs w:val="20"/>
                <w:color w:val="auto"/>
              </w:rPr>
            </w:pPr>
            <w:r>
              <w:rPr>
                <w:rFonts w:ascii="Arial" w:cs="Arial" w:eastAsia="Arial" w:hAnsi="Arial"/>
                <w:sz w:val="14"/>
                <w:szCs w:val="14"/>
                <w:color w:val="auto"/>
              </w:rPr>
              <w:t>(298,631)</w:t>
            </w:r>
          </w:p>
        </w:tc>
        <w:tc>
          <w:tcPr>
            <w:tcW w:w="100" w:type="dxa"/>
            <w:vAlign w:val="bottom"/>
          </w:tcPr>
          <w:p>
            <w:pPr>
              <w:spacing w:after="0"/>
              <w:rPr>
                <w:sz w:val="16"/>
                <w:szCs w:val="16"/>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280,043</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w w:val="90"/>
              </w:rPr>
              <w:t>134,575</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134,580</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12,360</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12,362</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2,519</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2,519</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196</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125</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48</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26,242</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26,242</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ind w:left="280"/>
              <w:spacing w:after="0"/>
              <w:rPr>
                <w:sz w:val="20"/>
                <w:szCs w:val="20"/>
                <w:color w:val="auto"/>
              </w:rPr>
            </w:pPr>
            <w:r>
              <w:rPr>
                <w:rFonts w:ascii="Arial" w:cs="Arial" w:eastAsia="Arial" w:hAnsi="Arial"/>
                <w:sz w:val="14"/>
                <w:szCs w:val="14"/>
                <w:color w:val="auto"/>
              </w:rPr>
              <w:t>(120,335)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(120,335)</w:t>
            </w:r>
          </w:p>
        </w:tc>
      </w:tr>
      <w:tr>
        <w:trPr>
          <w:trHeight w:val="24"/>
        </w:trPr>
        <w:tc>
          <w:tcPr>
            <w:tcW w:w="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660" w:type="dxa"/>
            <w:vAlign w:val="bottom"/>
          </w:tcPr>
          <w:p>
            <w:pPr>
              <w:jc w:val="right"/>
              <w:ind w:right="111"/>
              <w:spacing w:after="0"/>
              <w:rPr>
                <w:sz w:val="20"/>
                <w:szCs w:val="20"/>
                <w:color w:val="auto"/>
              </w:rPr>
            </w:pPr>
            <w:r>
              <w:rPr>
                <w:rFonts w:ascii="Arial" w:cs="Arial" w:eastAsia="Arial" w:hAnsi="Arial"/>
                <w:sz w:val="14"/>
                <w:szCs w:val="14"/>
                <w:color w:val="auto"/>
                <w:w w:val="90"/>
              </w:rPr>
              <w:t>754,664</w:t>
            </w:r>
          </w:p>
        </w:tc>
        <w:tc>
          <w:tcPr>
            <w:tcW w:w="520" w:type="dxa"/>
            <w:vAlign w:val="bottom"/>
          </w:tcPr>
          <w:p>
            <w:pPr>
              <w:jc w:val="right"/>
              <w:ind w:right="37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ind w:left="280"/>
              <w:spacing w:after="0"/>
              <w:rPr>
                <w:sz w:val="20"/>
                <w:szCs w:val="20"/>
                <w:color w:val="auto"/>
              </w:rPr>
            </w:pPr>
            <w:r>
              <w:rPr>
                <w:rFonts w:ascii="Arial" w:cs="Arial" w:eastAsia="Arial" w:hAnsi="Arial"/>
                <w:sz w:val="14"/>
                <w:szCs w:val="14"/>
                <w:color w:val="auto"/>
              </w:rPr>
              <w:t>(418,966)</w:t>
            </w:r>
          </w:p>
        </w:tc>
        <w:tc>
          <w:tcPr>
            <w:tcW w:w="100" w:type="dxa"/>
            <w:vAlign w:val="bottom"/>
          </w:tcPr>
          <w:p>
            <w:pPr>
              <w:spacing w:after="0"/>
              <w:rPr>
                <w:sz w:val="16"/>
                <w:szCs w:val="16"/>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335,647</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49,443</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49,446</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2,983</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2,984</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1,803</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1,803</w:t>
            </w:r>
          </w:p>
        </w:tc>
      </w:tr>
      <w:tr>
        <w:trPr>
          <w:trHeight w:val="387"/>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137</w:t>
            </w:r>
          </w:p>
        </w:tc>
        <w:tc>
          <w:tcPr>
            <w:tcW w:w="5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32,383</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32,383</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19"/>
        </w:trPr>
        <w:tc>
          <w:tcPr>
            <w:tcW w:w="6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tcPr>
          <w:p>
            <w:pPr>
              <w:ind w:left="280"/>
              <w:spacing w:after="0"/>
              <w:rPr>
                <w:sz w:val="20"/>
                <w:szCs w:val="20"/>
                <w:color w:val="auto"/>
              </w:rPr>
            </w:pPr>
            <w:r>
              <w:rPr>
                <w:rFonts w:ascii="Arial" w:cs="Arial" w:eastAsia="Arial" w:hAnsi="Arial"/>
                <w:sz w:val="14"/>
                <w:szCs w:val="14"/>
                <w:color w:val="auto"/>
              </w:rPr>
              <w:t>(162,667)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(162,667)</w:t>
            </w:r>
          </w:p>
        </w:tc>
      </w:tr>
      <w:tr>
        <w:trPr>
          <w:trHeight w:val="24"/>
        </w:trPr>
        <w:tc>
          <w:tcPr>
            <w:tcW w:w="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660" w:type="dxa"/>
            <w:vAlign w:val="bottom"/>
          </w:tcPr>
          <w:p>
            <w:pPr>
              <w:jc w:val="right"/>
              <w:ind w:right="111"/>
              <w:spacing w:after="0"/>
              <w:rPr>
                <w:sz w:val="20"/>
                <w:szCs w:val="20"/>
                <w:color w:val="auto"/>
              </w:rPr>
            </w:pPr>
            <w:r>
              <w:rPr>
                <w:rFonts w:ascii="Arial" w:cs="Arial" w:eastAsia="Arial" w:hAnsi="Arial"/>
                <w:sz w:val="14"/>
                <w:szCs w:val="14"/>
                <w:color w:val="auto"/>
                <w:w w:val="90"/>
              </w:rPr>
              <w:t>841,413</w:t>
            </w:r>
          </w:p>
        </w:tc>
        <w:tc>
          <w:tcPr>
            <w:tcW w:w="520" w:type="dxa"/>
            <w:vAlign w:val="bottom"/>
          </w:tcPr>
          <w:p>
            <w:pPr>
              <w:jc w:val="right"/>
              <w:ind w:right="37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ind w:left="280"/>
              <w:spacing w:after="0"/>
              <w:rPr>
                <w:sz w:val="20"/>
                <w:szCs w:val="20"/>
                <w:color w:val="auto"/>
              </w:rPr>
            </w:pPr>
            <w:r>
              <w:rPr>
                <w:rFonts w:ascii="Arial" w:cs="Arial" w:eastAsia="Arial" w:hAnsi="Arial"/>
                <w:sz w:val="14"/>
                <w:szCs w:val="14"/>
                <w:color w:val="auto"/>
              </w:rPr>
              <w:t>(581,633)</w:t>
            </w:r>
          </w:p>
        </w:tc>
        <w:tc>
          <w:tcPr>
            <w:tcW w:w="100" w:type="dxa"/>
            <w:vAlign w:val="bottom"/>
          </w:tcPr>
          <w:p>
            <w:pPr>
              <w:spacing w:after="0"/>
              <w:rPr>
                <w:sz w:val="16"/>
                <w:szCs w:val="16"/>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259,560</w:t>
            </w:r>
          </w:p>
        </w:tc>
      </w:tr>
      <w:tr>
        <w:trPr>
          <w:trHeight w:val="24"/>
        </w:trPr>
        <w:tc>
          <w:tcPr>
            <w:tcW w:w="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-32385</wp:posOffset>
            </wp:positionV>
            <wp:extent cx="8185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-179705</wp:posOffset>
            </wp:positionV>
            <wp:extent cx="8185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-1726565</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-3658870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640"/>
            <w:col w:w="4760"/>
          </w:cols>
          <w:pgMar w:left="340" w:top="244" w:right="41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125730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40" w:top="244" w:right="419" w:bottom="1440" w:gutter="0" w:footer="0" w:header="0"/>
          <w:type w:val="continuous"/>
        </w:sectPr>
      </w:pPr>
    </w:p>
    <w:bookmarkStart w:id="107" w:name="page108"/>
    <w:bookmarkEnd w:id="10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NGM BIOPHARMACEUTICALS,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6"/>
        </w:trPr>
        <w:tc>
          <w:tcPr>
            <w:tcW w:w="6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8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(162,667)</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(120,335)</w:t>
            </w:r>
          </w:p>
        </w:tc>
        <w:tc>
          <w:tcPr>
            <w:tcW w:w="100" w:type="dxa"/>
            <w:vAlign w:val="bottom"/>
          </w:tcPr>
          <w:p>
            <w:pPr>
              <w:spacing w:after="0"/>
              <w:rPr>
                <w:sz w:val="18"/>
                <w:szCs w:val="18"/>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(102,487)</w:t>
            </w:r>
          </w:p>
        </w:tc>
      </w:tr>
      <w:tr>
        <w:trPr>
          <w:trHeight w:val="205"/>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13"/>
        </w:trPr>
        <w:tc>
          <w:tcPr>
            <w:tcW w:w="642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32,383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26,242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15,651</w:t>
            </w:r>
          </w:p>
        </w:tc>
      </w:tr>
      <w:tr>
        <w:trPr>
          <w:trHeight w:val="225"/>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Reduction in related party contract asset due to Amended Collaboration Agreement with Merck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213"/>
        </w:trPr>
        <w:tc>
          <w:tcPr>
            <w:tcW w:w="64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4,035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6,555</w:t>
            </w:r>
          </w:p>
        </w:tc>
      </w:tr>
      <w:tr>
        <w:trPr>
          <w:trHeight w:val="225"/>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 (accretion of discount) on marketable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13"/>
        </w:trPr>
        <w:tc>
          <w:tcPr>
            <w:tcW w:w="6420" w:type="dxa"/>
            <w:vAlign w:val="bottom"/>
          </w:tcPr>
          <w:p>
            <w:pPr>
              <w:ind w:left="220"/>
              <w:spacing w:after="0"/>
              <w:rPr>
                <w:sz w:val="20"/>
                <w:szCs w:val="20"/>
                <w:color w:val="auto"/>
              </w:rPr>
            </w:pPr>
            <w:r>
              <w:rPr>
                <w:rFonts w:ascii="Arial" w:cs="Arial" w:eastAsia="Arial" w:hAnsi="Arial"/>
                <w:sz w:val="14"/>
                <w:szCs w:val="14"/>
                <w:color w:val="auto"/>
              </w:rPr>
              <w:t>Noncash lease expense</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25"/>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613</w:t>
            </w:r>
          </w:p>
        </w:tc>
      </w:tr>
      <w:tr>
        <w:trPr>
          <w:trHeight w:val="195"/>
        </w:trPr>
        <w:tc>
          <w:tcPr>
            <w:tcW w:w="64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9"/>
        </w:trPr>
        <w:tc>
          <w:tcPr>
            <w:tcW w:w="6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Related party receivable from collaboration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4,873</w:t>
            </w:r>
          </w:p>
        </w:tc>
      </w:tr>
      <w:tr>
        <w:trPr>
          <w:trHeight w:val="213"/>
        </w:trPr>
        <w:tc>
          <w:tcPr>
            <w:tcW w:w="6420" w:type="dxa"/>
            <w:vAlign w:val="bottom"/>
          </w:tcPr>
          <w:p>
            <w:pPr>
              <w:ind w:left="440"/>
              <w:spacing w:after="0"/>
              <w:rPr>
                <w:sz w:val="20"/>
                <w:szCs w:val="20"/>
                <w:color w:val="auto"/>
              </w:rPr>
            </w:pPr>
            <w:r>
              <w:rPr>
                <w:rFonts w:ascii="Arial" w:cs="Arial" w:eastAsia="Arial" w:hAnsi="Arial"/>
                <w:sz w:val="14"/>
                <w:szCs w:val="14"/>
                <w:color w:val="auto"/>
              </w:rPr>
              <w:t>Related party contract asset</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(6,100)</w:t>
            </w:r>
          </w:p>
        </w:tc>
      </w:tr>
      <w:tr>
        <w:trPr>
          <w:trHeight w:val="225"/>
        </w:trPr>
        <w:tc>
          <w:tcPr>
            <w:tcW w:w="6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r>
      <w:tr>
        <w:trPr>
          <w:trHeight w:val="213"/>
        </w:trPr>
        <w:tc>
          <w:tcPr>
            <w:tcW w:w="6420" w:type="dxa"/>
            <w:vAlign w:val="bottom"/>
          </w:tcPr>
          <w:p>
            <w:pPr>
              <w:ind w:left="44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910</w:t>
            </w:r>
          </w:p>
        </w:tc>
      </w:tr>
      <w:tr>
        <w:trPr>
          <w:trHeight w:val="225"/>
        </w:trPr>
        <w:tc>
          <w:tcPr>
            <w:tcW w:w="6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and other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6,182</w:t>
            </w:r>
          </w:p>
        </w:tc>
      </w:tr>
      <w:tr>
        <w:trPr>
          <w:trHeight w:val="218"/>
        </w:trPr>
        <w:tc>
          <w:tcPr>
            <w:tcW w:w="6420" w:type="dxa"/>
            <w:vAlign w:val="bottom"/>
          </w:tcPr>
          <w:p>
            <w:pPr>
              <w:ind w:left="440"/>
              <w:spacing w:after="0"/>
              <w:rPr>
                <w:sz w:val="20"/>
                <w:szCs w:val="20"/>
                <w:color w:val="auto"/>
              </w:rPr>
            </w:pPr>
            <w:r>
              <w:rPr>
                <w:rFonts w:ascii="Arial" w:cs="Arial" w:eastAsia="Arial" w:hAnsi="Arial"/>
                <w:sz w:val="14"/>
                <w:szCs w:val="14"/>
                <w:color w:val="auto"/>
              </w:rPr>
              <w:t>Operating lease liability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7"/>
                <w:szCs w:val="17"/>
                <w:color w:val="auto"/>
              </w:rPr>
              <w:t>—</w:t>
            </w:r>
          </w:p>
        </w:tc>
      </w:tr>
      <w:tr>
        <w:trPr>
          <w:trHeight w:val="220"/>
        </w:trPr>
        <w:tc>
          <w:tcPr>
            <w:tcW w:w="6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Deferred rent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w:t>
            </w:r>
          </w:p>
        </w:tc>
      </w:tr>
      <w:tr>
        <w:trPr>
          <w:trHeight w:val="213"/>
        </w:trPr>
        <w:tc>
          <w:tcPr>
            <w:tcW w:w="64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Contract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(4,872)</w:t>
            </w:r>
          </w:p>
        </w:tc>
      </w:tr>
      <w:tr>
        <w:trPr>
          <w:trHeight w:val="20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(73,229)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(83,496)</w:t>
            </w:r>
          </w:p>
        </w:tc>
      </w:tr>
      <w:tr>
        <w:trPr>
          <w:trHeight w:val="175"/>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marketable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(177,655)</w:t>
            </w:r>
          </w:p>
        </w:tc>
      </w:tr>
      <w:tr>
        <w:trPr>
          <w:trHeight w:val="213"/>
        </w:trPr>
        <w:tc>
          <w:tcPr>
            <w:tcW w:w="6420" w:type="dxa"/>
            <w:vAlign w:val="bottom"/>
          </w:tcPr>
          <w:p>
            <w:pPr>
              <w:ind w:left="220"/>
              <w:spacing w:after="0"/>
              <w:rPr>
                <w:sz w:val="20"/>
                <w:szCs w:val="20"/>
                <w:color w:val="auto"/>
              </w:rPr>
            </w:pPr>
            <w:r>
              <w:rPr>
                <w:rFonts w:ascii="Arial" w:cs="Arial" w:eastAsia="Arial" w:hAnsi="Arial"/>
                <w:sz w:val="14"/>
                <w:szCs w:val="14"/>
                <w:color w:val="auto"/>
              </w:rPr>
              <w:t>Proceeds from maturities of marketable securities</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289,037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223,500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128,536</w:t>
            </w:r>
          </w:p>
        </w:tc>
      </w:tr>
      <w:tr>
        <w:trPr>
          <w:trHeight w:val="225"/>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w:t>
            </w:r>
          </w:p>
        </w:tc>
      </w:tr>
      <w:tr>
        <w:trPr>
          <w:trHeight w:val="193"/>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14,322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(71,650)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(50,998)</w:t>
            </w:r>
          </w:p>
        </w:tc>
      </w:tr>
      <w:tr>
        <w:trPr>
          <w:trHeight w:val="18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213"/>
        </w:trPr>
        <w:tc>
          <w:tcPr>
            <w:tcW w:w="6420" w:type="dxa"/>
            <w:vAlign w:val="bottom"/>
          </w:tcPr>
          <w:p>
            <w:pPr>
              <w:ind w:left="220"/>
              <w:spacing w:after="0"/>
              <w:rPr>
                <w:sz w:val="20"/>
                <w:szCs w:val="20"/>
                <w:color w:val="auto"/>
              </w:rPr>
            </w:pPr>
            <w:r>
              <w:rPr>
                <w:rFonts w:ascii="Arial" w:cs="Arial" w:eastAsia="Arial" w:hAnsi="Arial"/>
                <w:sz w:val="14"/>
                <w:szCs w:val="14"/>
                <w:color w:val="auto"/>
              </w:rPr>
              <w:t>Proceeds from Open Market Agreement, net</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49,446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21,943</w:t>
            </w:r>
          </w:p>
        </w:tc>
      </w:tr>
      <w:tr>
        <w:trPr>
          <w:trHeight w:val="225"/>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11,838</w:t>
            </w:r>
          </w:p>
        </w:tc>
      </w:tr>
      <w:tr>
        <w:trPr>
          <w:trHeight w:val="213"/>
        </w:trPr>
        <w:tc>
          <w:tcPr>
            <w:tcW w:w="6420" w:type="dxa"/>
            <w:vAlign w:val="bottom"/>
          </w:tcPr>
          <w:p>
            <w:pPr>
              <w:ind w:left="220"/>
              <w:spacing w:after="0"/>
              <w:rPr>
                <w:sz w:val="20"/>
                <w:szCs w:val="20"/>
                <w:color w:val="auto"/>
              </w:rPr>
            </w:pPr>
            <w:r>
              <w:rPr>
                <w:rFonts w:ascii="Arial" w:cs="Arial" w:eastAsia="Arial" w:hAnsi="Arial"/>
                <w:sz w:val="14"/>
                <w:szCs w:val="14"/>
                <w:color w:val="auto"/>
              </w:rPr>
              <w:t>Proceeds from employee stock purchase plan</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2,370</w:t>
            </w:r>
          </w:p>
        </w:tc>
      </w:tr>
      <w:tr>
        <w:trPr>
          <w:trHeight w:val="225"/>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follow on offering,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213"/>
        </w:trPr>
        <w:tc>
          <w:tcPr>
            <w:tcW w:w="6420" w:type="dxa"/>
            <w:vAlign w:val="bottom"/>
          </w:tcPr>
          <w:p>
            <w:pPr>
              <w:ind w:left="220"/>
              <w:spacing w:after="0"/>
              <w:rPr>
                <w:sz w:val="20"/>
                <w:szCs w:val="20"/>
                <w:color w:val="auto"/>
              </w:rPr>
            </w:pPr>
            <w:r>
              <w:rPr>
                <w:rFonts w:ascii="Arial" w:cs="Arial" w:eastAsia="Arial" w:hAnsi="Arial"/>
                <w:sz w:val="14"/>
                <w:szCs w:val="14"/>
                <w:color w:val="auto"/>
              </w:rPr>
              <w:t>Deferred offering costs paid</w:t>
            </w:r>
          </w:p>
        </w:tc>
        <w:tc>
          <w:tcPr>
            <w:tcW w:w="3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(613)</w:t>
            </w:r>
          </w:p>
        </w:tc>
      </w:tr>
      <w:tr>
        <w:trPr>
          <w:trHeight w:val="205"/>
        </w:trPr>
        <w:tc>
          <w:tcPr>
            <w:tcW w:w="6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54,233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149,657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35,538</w:t>
            </w:r>
          </w:p>
        </w:tc>
      </w:tr>
      <w:tr>
        <w:trPr>
          <w:trHeight w:val="193"/>
        </w:trPr>
        <w:tc>
          <w:tcPr>
            <w:tcW w:w="64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(75,884)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(98,956)</w:t>
            </w: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153,294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247,472</w:t>
            </w:r>
          </w:p>
        </w:tc>
      </w:tr>
      <w:tr>
        <w:trPr>
          <w:trHeight w:val="192"/>
        </w:trPr>
        <w:tc>
          <w:tcPr>
            <w:tcW w:w="64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77,410</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153,294</w:t>
            </w:r>
          </w:p>
        </w:tc>
        <w:tc>
          <w:tcPr>
            <w:tcW w:w="100" w:type="dxa"/>
            <w:vAlign w:val="bottom"/>
          </w:tcPr>
          <w:p>
            <w:pPr>
              <w:spacing w:after="0"/>
              <w:rPr>
                <w:sz w:val="16"/>
                <w:szCs w:val="16"/>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148,516</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4"/>
                <w:szCs w:val="14"/>
                <w:color w:val="auto"/>
              </w:rPr>
              <w:t>Property and equipment purchases not yet paid</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606</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20</w:t>
            </w:r>
          </w:p>
        </w:tc>
      </w:tr>
      <w:tr>
        <w:trPr>
          <w:trHeight w:val="225"/>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 acquired under operating lease on the adoption of ASC 842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bl>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4" w:right="379" w:bottom="1440" w:gutter="0" w:footer="0" w:header="0"/>
        </w:sectPr>
      </w:pPr>
    </w:p>
    <w:bookmarkStart w:id="108" w:name="page109"/>
    <w:bookmarkEnd w:id="10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NGM BIOPHARMACEUTICALS,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tab/>
        <w:t>Organization and Description of Business</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NGM Biopharmaceuticals, Inc. and its wholly-owned subsidiary, NGM Biopharmaceuticals Australia Pty Ltd., NGM Australia, collectively referred to as the Company, is a biopharmaceutical company focused on discovering and developing novel, potentially life-changing medicines based on scientific understanding of key biological pathways underlying grievous diseases with critical unmet or underserved patient need. The Company's portfolio of product candidates range from early discovery to Phase 2b development and includes five programs in active clinical development. The Company has additional programs that are in various stages of development ranging from functional validation to preclinical development.</w:t>
      </w:r>
    </w:p>
    <w:p>
      <w:pPr>
        <w:spacing w:after="0" w:line="29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Company was incorporated in Delaware in December 2007 and commenced operations in 2008. The Company's headquarters are located at 333 Oyster Point Blvd., South San Francisco, California 94080.</w:t>
      </w:r>
    </w:p>
    <w:p>
      <w:pPr>
        <w:spacing w:after="0" w:line="27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tab/>
        <w:t>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consolidated financial statements have been prepared in accordance with U.S. generally accepted accounting principles, or U.S. GAAP, and include the consolidated accounts of NGM Biopharmaceuticals, Inc. and its wholly-owned foreign subsidiary, NGM Australia.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Liquidity</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Since inception, the Company has incurred net losses and negative cash flow from operations. During the years ended December 31, 2022, 2021 and 2020, the Company incurred net losses of $162.7 million, $120.3 million and $102.5 million, respectively. As of December 31, 2022, the Company had an accumulated deficit of $581.6 million. The Company expects its accumulated deficit will continue to increase over time and does not expect to experience positive cash flows from operations in the near future.</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2022, the Company had $271.5 million of cash, cash equivalents and short-term marketable securities.</w:t>
      </w:r>
    </w:p>
    <w:p>
      <w:pPr>
        <w:spacing w:after="0" w:line="104"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7"/>
          <w:szCs w:val="17"/>
          <w:color w:val="auto"/>
        </w:rPr>
        <w:t>In June 2020, the Company entered into an Open Market Sale Agreement</w:t>
      </w:r>
      <w:r>
        <w:rPr>
          <w:rFonts w:ascii="Arial" w:cs="Arial" w:eastAsia="Arial" w:hAnsi="Arial"/>
          <w:sz w:val="22"/>
          <w:szCs w:val="22"/>
          <w:color w:val="auto"/>
          <w:vertAlign w:val="superscript"/>
        </w:rPr>
        <w:t>SM</w:t>
      </w:r>
      <w:r>
        <w:rPr>
          <w:rFonts w:ascii="Arial" w:cs="Arial" w:eastAsia="Arial" w:hAnsi="Arial"/>
          <w:sz w:val="17"/>
          <w:szCs w:val="17"/>
          <w:color w:val="auto"/>
        </w:rPr>
        <w:t>, or the Sales Agreement, with Jefferies LLC. As of December 31, 2022, $76.2 million of the Company's common stock remained available to be sold under the Sales Agreement, subject to conditions specified in the Sales Agreement.</w:t>
      </w:r>
    </w:p>
    <w:p>
      <w:pPr>
        <w:spacing w:after="0" w:line="10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Company believes its existing cash, cash equivalents and short-term marketable securities will be sufficient to fund its operations for a period of at least one year from the date of these consolidated financial statements.</w:t>
      </w:r>
    </w:p>
    <w:p>
      <w:pPr>
        <w:spacing w:after="0" w:line="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fully implement the Company’s business plan and fund its operations, the Company will need to raise significant additional capital through public or private equity or debt offerings (which may include potential net proceeds from future sales, if any, under the Sales Agreement), collaboration or partnering arrangements, strategic alliances, licensing arrangements or a combination of the foregoing.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09" w:name="page110"/>
    <w:bookmarkEnd w:id="10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carrying amounts of cash and cash equivalents, the related party receivable from collaboration and other current assets and liabilities approximate their respective fair values due to their short-term nature.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a bank it believes is highly creditworthy in amounts that may at times exceed federally insured limits. As of December 31, 2022 and 2021, cash and cash equivalents consisted of bank deposits and investments in money market funds.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December 31, 2022, the Company did not record any impairment related to other-than-temporary declines in the fair value of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3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Company’s restricted cash balance represents collateral required under the Company’s facility lease agreement and is classified as a non-current asset on the consolidated balance sheets, as the collateral will not be returned to the Company within twelve months from the date of these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and Other Risks</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Cash, cash equivalents and marketable securities from the Company’s available-for-sale and marketable securities portfolio potentially subject the Company to concentrations of credit risk. The Company is invested in money market funds and marketable securities through custodial relationships with major United States, or U.S., banks. Under its investment policy, the Company limits amounts invested in such securities by credit rating, maturity, industry group, investment type and issuer, except for securities issued by the U.S. government.</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Related party receivables from collaboration and partnering arrangements are typically unsecured. Accordingly, the Company may be exposed to credit risk generally associated with its current amended and restated research collaboration, product development and license agreement, or the Amended Collaboration Agreement, with Merck and any future collaboration or partnering arrangements with other potential future partners. To date, the Company has not experienced any losses related to these receivables.</w:t>
      </w:r>
    </w:p>
    <w:p>
      <w:pPr>
        <w:spacing w:after="0" w:line="9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Amounts recognized as revenue prior to the Company having an unconditional right (other than a right that is conditioned only on the passage of time) to receipt are recorded as contract assets in the Company's consolidated balance sheets. Although the Company expects to have an unconditional right to receive such amounts, the Company may be exposed to the risk of not receiving the recorded amounts under its current collaboration agreement with Merck and any future collaboration or partnering arrangements with other potential future partners. To date, the Company has not experienced any losses related to contract assets.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Merck accounted for 100% of the Company’s revenue for the years ended December 31, 2022, 2021 and 2020.</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0" w:name="page111"/>
    <w:bookmarkEnd w:id="11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Property and equipment are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0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Computer equipment</w:t>
            </w:r>
          </w:p>
        </w:tc>
        <w:tc>
          <w:tcPr>
            <w:tcW w:w="6220" w:type="dxa"/>
            <w:vAlign w:val="bottom"/>
            <w:shd w:val="clear" w:color="auto" w:fill="CFF0FC"/>
          </w:tcPr>
          <w:p>
            <w:pPr>
              <w:ind w:left="1860"/>
              <w:spacing w:after="0"/>
              <w:rPr>
                <w:sz w:val="20"/>
                <w:szCs w:val="20"/>
                <w:color w:val="auto"/>
              </w:rPr>
            </w:pPr>
            <w:r>
              <w:rPr>
                <w:rFonts w:ascii="Arial" w:cs="Arial" w:eastAsia="Arial" w:hAnsi="Arial"/>
                <w:sz w:val="17"/>
                <w:szCs w:val="17"/>
                <w:color w:val="auto"/>
              </w:rPr>
              <w:t>3 years</w:t>
            </w:r>
          </w:p>
        </w:tc>
      </w:tr>
      <w:tr>
        <w:trPr>
          <w:trHeight w:val="218"/>
        </w:trPr>
        <w:tc>
          <w:tcPr>
            <w:tcW w:w="5000" w:type="dxa"/>
            <w:vAlign w:val="bottom"/>
          </w:tcPr>
          <w:p>
            <w:pPr>
              <w:ind w:left="20"/>
              <w:spacing w:after="0"/>
              <w:rPr>
                <w:sz w:val="20"/>
                <w:szCs w:val="20"/>
                <w:color w:val="auto"/>
              </w:rPr>
            </w:pPr>
            <w:r>
              <w:rPr>
                <w:rFonts w:ascii="Arial" w:cs="Arial" w:eastAsia="Arial" w:hAnsi="Arial"/>
                <w:sz w:val="17"/>
                <w:szCs w:val="17"/>
                <w:color w:val="auto"/>
              </w:rPr>
              <w:t>Laboratory equipment and office furniture</w:t>
            </w:r>
          </w:p>
        </w:tc>
        <w:tc>
          <w:tcPr>
            <w:tcW w:w="6220" w:type="dxa"/>
            <w:vAlign w:val="bottom"/>
          </w:tcPr>
          <w:p>
            <w:pPr>
              <w:ind w:left="1860"/>
              <w:spacing w:after="0"/>
              <w:rPr>
                <w:sz w:val="20"/>
                <w:szCs w:val="20"/>
                <w:color w:val="auto"/>
              </w:rPr>
            </w:pPr>
            <w:r>
              <w:rPr>
                <w:rFonts w:ascii="Arial" w:cs="Arial" w:eastAsia="Arial" w:hAnsi="Arial"/>
                <w:sz w:val="17"/>
                <w:szCs w:val="17"/>
                <w:color w:val="auto"/>
              </w:rPr>
              <w:t>3 years</w:t>
            </w:r>
          </w:p>
        </w:tc>
      </w:tr>
      <w:tr>
        <w:trPr>
          <w:trHeight w:val="220"/>
        </w:trPr>
        <w:tc>
          <w:tcPr>
            <w:tcW w:w="500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Leasehold improvement</w:t>
            </w:r>
          </w:p>
        </w:tc>
        <w:tc>
          <w:tcPr>
            <w:tcW w:w="6220" w:type="dxa"/>
            <w:vAlign w:val="bottom"/>
            <w:shd w:val="clear" w:color="auto" w:fill="CFF0FC"/>
          </w:tcPr>
          <w:p>
            <w:pPr>
              <w:ind w:left="1860"/>
              <w:spacing w:after="0"/>
              <w:rPr>
                <w:sz w:val="20"/>
                <w:szCs w:val="20"/>
                <w:color w:val="auto"/>
              </w:rPr>
            </w:pPr>
            <w:r>
              <w:rPr>
                <w:rFonts w:ascii="Arial" w:cs="Arial" w:eastAsia="Arial" w:hAnsi="Arial"/>
                <w:sz w:val="17"/>
                <w:szCs w:val="17"/>
                <w:color w:val="auto"/>
              </w:rPr>
              <w:t>Shorter of life of asset or lease term</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Effective January 1, 2021, the Company adopted ASU 2016-02, Leases (Topic 842), referred to as ASC 842. Under ASC 842, 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corporate office space and facilities is classified as an operating lease.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2022 and 2021, no revision to the remaining useful lives or write-down of long-lived assets was required.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1" w:name="page112"/>
    <w:bookmarkEnd w:id="11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or R&amp;D, services and (iii) non-mandatory services in connection with participation in research or steering committees. Payments received under these arrangements may include non-refundable upfront license fees, partial or complete reimbursement of R&amp;D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R&amp;D services performed under the collaboration agreement.</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R&amp;D services or participation in research or steering committees, as well as whether options create material rights in the contract. In situations when a contract includes distinct R&amp;D services that are substantially the same and have the same pattern of transfer to the customer over time, they are recognized as a series of distinct services.</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transaction price in each arrangement is generally comprised of a non-refundable upfront fee and unconstrained variable consideration related to the performance of R&amp;D services. The unconstrained variable consideration amount included in the transaction price represents an amount for which it is probable that a significant reversal of cumulative revenue recognized will not occur. The Company typically submits a budget for the R&amp;D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30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9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2" w:name="page113"/>
    <w:bookmarkEnd w:id="11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Company accounts for the contract modification as an add-on to the existing contract and as an adjustment to revenue on a cumulative catch-up basis.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R&amp;D costs are expensed as incurred. R&amp;D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R&amp;D activities as expenses when the goods have been received or when the service has been performed rather than when the payment is made.</w:t>
      </w:r>
    </w:p>
    <w:p>
      <w:pPr>
        <w:spacing w:after="0" w:line="9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Clinical trial costs are a component of R&amp;D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Company’s stock-based compensation programs include stock option grants, as well as shares issued under its 2019 Employee Stock Purchase Plan, or ESPP. Grants are awarded to employees, directors and non-employees. The Company measures stock-based compensation expense for all stock-based awards at the grant date based on the fair value measurement of the award.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functional currency of NGM Australia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expense, net on the consolidated statements of operations.</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expense, net on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Comprehensive loss is composed of net loss and certain changes in stockholders’ equity that are excluded from net loss, primarily unrealized gains or losses, net of taxes, on the Company’s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However, where there is a diluted net loss per share, no adjustment is made for potentially issuable shares since their effect would be anti-dilutive. In this case, diluted net loss per share is equal to basic net loss per share.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3" w:name="page114"/>
    <w:bookmarkEnd w:id="11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loss per share was computed as follows (in thousands,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25"/>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80" w:type="dxa"/>
            <w:vAlign w:val="bottom"/>
          </w:tcPr>
          <w:p>
            <w:pPr>
              <w:ind w:left="2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(162,667)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(120,335)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(102,487)</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7"/>
                <w:szCs w:val="17"/>
                <w:color w:val="auto"/>
              </w:rPr>
              <w:t>Weighted average number of shares used in calculating net loss per share—</w:t>
            </w:r>
          </w:p>
        </w:tc>
        <w:tc>
          <w:tcPr>
            <w:tcW w:w="34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79,950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77,085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68,475</w:t>
            </w:r>
          </w:p>
        </w:tc>
        <w:tc>
          <w:tcPr>
            <w:tcW w:w="0" w:type="dxa"/>
            <w:vAlign w:val="bottom"/>
          </w:tcPr>
          <w:p>
            <w:pPr>
              <w:spacing w:after="0"/>
              <w:rPr>
                <w:sz w:val="1"/>
                <w:szCs w:val="1"/>
                <w:color w:val="auto"/>
              </w:rPr>
            </w:pPr>
          </w:p>
        </w:tc>
      </w:tr>
      <w:tr>
        <w:trPr>
          <w:trHeight w:val="207"/>
        </w:trPr>
        <w:tc>
          <w:tcPr>
            <w:tcW w:w="6380" w:type="dxa"/>
            <w:vAlign w:val="bottom"/>
          </w:tcPr>
          <w:p>
            <w:pPr>
              <w:ind w:left="220"/>
              <w:spacing w:after="0"/>
              <w:rPr>
                <w:sz w:val="20"/>
                <w:szCs w:val="20"/>
                <w:color w:val="auto"/>
              </w:rPr>
            </w:pPr>
            <w:r>
              <w:rPr>
                <w:rFonts w:ascii="Arial" w:cs="Arial" w:eastAsia="Arial" w:hAnsi="Arial"/>
                <w:sz w:val="17"/>
                <w:szCs w:val="17"/>
                <w:color w:val="auto"/>
              </w:rPr>
              <w:t>basic and diluted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loss per share—basic and diluted</w:t>
            </w:r>
          </w:p>
        </w:tc>
        <w:tc>
          <w:tcPr>
            <w:tcW w:w="3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3580" w:type="dxa"/>
            <w:vAlign w:val="bottom"/>
            <w:tcBorders>
              <w:bottom w:val="single" w:sz="8" w:color="auto"/>
            </w:tcBorders>
            <w:gridSpan w:val="5"/>
          </w:tcPr>
          <w:p>
            <w:pPr>
              <w:ind w:left="1440"/>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25"/>
        </w:trPr>
        <w:tc>
          <w:tcPr>
            <w:tcW w:w="64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2020</w:t>
            </w:r>
          </w:p>
        </w:tc>
      </w:tr>
      <w:tr>
        <w:trPr>
          <w:trHeight w:val="238"/>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Options to purchase common stock</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14,215</w:t>
            </w:r>
          </w:p>
        </w:tc>
        <w:tc>
          <w:tcPr>
            <w:tcW w:w="1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10,485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10,018</w:t>
            </w:r>
          </w:p>
        </w:tc>
      </w:tr>
      <w:tr>
        <w:trPr>
          <w:trHeight w:val="230"/>
        </w:trPr>
        <w:tc>
          <w:tcPr>
            <w:tcW w:w="6420" w:type="dxa"/>
            <w:vAlign w:val="bottom"/>
          </w:tcPr>
          <w:p>
            <w:pPr>
              <w:ind w:left="20"/>
              <w:spacing w:after="0"/>
              <w:rPr>
                <w:sz w:val="20"/>
                <w:szCs w:val="20"/>
                <w:color w:val="auto"/>
              </w:rPr>
            </w:pPr>
            <w:r>
              <w:rPr>
                <w:rFonts w:ascii="Arial" w:cs="Arial" w:eastAsia="Arial" w:hAnsi="Arial"/>
                <w:sz w:val="17"/>
                <w:szCs w:val="17"/>
                <w:color w:val="auto"/>
              </w:rPr>
              <w:t>Shares committed under the ESPP</w:t>
            </w:r>
          </w:p>
        </w:tc>
        <w:tc>
          <w:tcPr>
            <w:tcW w:w="1520" w:type="dxa"/>
            <w:vAlign w:val="bottom"/>
          </w:tcPr>
          <w:p>
            <w:pPr>
              <w:jc w:val="right"/>
              <w:spacing w:after="0"/>
              <w:rPr>
                <w:sz w:val="20"/>
                <w:szCs w:val="20"/>
                <w:color w:val="auto"/>
              </w:rPr>
            </w:pPr>
            <w:r>
              <w:rPr>
                <w:rFonts w:ascii="Arial" w:cs="Arial" w:eastAsia="Arial" w:hAnsi="Arial"/>
                <w:sz w:val="17"/>
                <w:szCs w:val="17"/>
                <w:color w:val="auto"/>
              </w:rPr>
              <w:t>1,222</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7"/>
        </w:trPr>
        <w:tc>
          <w:tcPr>
            <w:tcW w:w="642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5"/>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15,437</w:t>
            </w:r>
          </w:p>
        </w:tc>
        <w:tc>
          <w:tcPr>
            <w:tcW w:w="10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10,875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10,310</w:t>
            </w:r>
          </w:p>
        </w:tc>
      </w:tr>
      <w:tr>
        <w:trPr>
          <w:trHeight w:val="20"/>
        </w:trPr>
        <w:tc>
          <w:tcPr>
            <w:tcW w:w="64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and Geographical Information</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operates in one business segment. Substantially all of the Company’s long-lived assets, primarily comprised of property and equipment, are based in the United States. For the years ended December 31, 2022, 2021 and 2020, the Company’s revenues were entirely within the United States based upon the location of the Company and Merck.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4" w:name="page115"/>
    <w:bookmarkEnd w:id="11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tab/>
        <w:t>Fair Value Measurements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Cash equivalents and marketable securities are classified as available-for-sale securities and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left="219"/>
              <w:spacing w:after="0"/>
              <w:rPr>
                <w:sz w:val="20"/>
                <w:szCs w:val="20"/>
                <w:color w:val="auto"/>
              </w:rPr>
            </w:pPr>
            <w:r>
              <w:rPr>
                <w:rFonts w:ascii="Arial" w:cs="Arial" w:eastAsia="Arial" w:hAnsi="Arial"/>
                <w:sz w:val="15"/>
                <w:szCs w:val="15"/>
                <w:b w:val="1"/>
                <w:bCs w:val="1"/>
                <w:color w:val="auto"/>
              </w:rPr>
              <w:t>Gross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Gross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Amortized</w:t>
            </w:r>
          </w:p>
        </w:tc>
        <w:tc>
          <w:tcPr>
            <w:tcW w:w="1220" w:type="dxa"/>
            <w:vAlign w:val="bottom"/>
          </w:tcPr>
          <w:p>
            <w:pPr>
              <w:jc w:val="center"/>
              <w:ind w:left="239"/>
              <w:spacing w:after="0"/>
              <w:rPr>
                <w:sz w:val="20"/>
                <w:szCs w:val="20"/>
                <w:color w:val="auto"/>
              </w:rPr>
            </w:pPr>
            <w:r>
              <w:rPr>
                <w:rFonts w:ascii="Arial" w:cs="Arial" w:eastAsia="Arial" w:hAnsi="Arial"/>
                <w:sz w:val="15"/>
                <w:szCs w:val="15"/>
                <w:b w:val="1"/>
                <w:bCs w:val="1"/>
                <w:color w:val="auto"/>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Unrealized</w:t>
            </w:r>
          </w:p>
        </w:tc>
        <w:tc>
          <w:tcPr>
            <w:tcW w:w="340" w:type="dxa"/>
            <w:vAlign w:val="bottom"/>
          </w:tcPr>
          <w:p>
            <w:pPr>
              <w:spacing w:after="0"/>
              <w:rPr>
                <w:sz w:val="15"/>
                <w:szCs w:val="15"/>
                <w:color w:val="auto"/>
              </w:rPr>
            </w:pPr>
          </w:p>
        </w:tc>
        <w:tc>
          <w:tcPr>
            <w:tcW w:w="1180" w:type="dxa"/>
            <w:vAlign w:val="bottom"/>
          </w:tcPr>
          <w:p>
            <w:pPr>
              <w:jc w:val="center"/>
              <w:ind w:right="256"/>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28"/>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Cost</w:t>
            </w:r>
          </w:p>
        </w:tc>
        <w:tc>
          <w:tcPr>
            <w:tcW w:w="1220" w:type="dxa"/>
            <w:vAlign w:val="bottom"/>
          </w:tcPr>
          <w:p>
            <w:pPr>
              <w:jc w:val="center"/>
              <w:ind w:left="239"/>
              <w:spacing w:after="0"/>
              <w:rPr>
                <w:sz w:val="20"/>
                <w:szCs w:val="20"/>
                <w:color w:val="auto"/>
              </w:rPr>
            </w:pPr>
            <w:r>
              <w:rPr>
                <w:rFonts w:ascii="Arial" w:cs="Arial" w:eastAsia="Arial" w:hAnsi="Arial"/>
                <w:sz w:val="15"/>
                <w:szCs w:val="15"/>
                <w:b w:val="1"/>
                <w:bCs w:val="1"/>
                <w:color w:val="auto"/>
              </w:rPr>
              <w:t>Gain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Loss</w:t>
            </w:r>
          </w:p>
        </w:tc>
        <w:tc>
          <w:tcPr>
            <w:tcW w:w="340" w:type="dxa"/>
            <w:vAlign w:val="bottom"/>
          </w:tcPr>
          <w:p>
            <w:pPr>
              <w:spacing w:after="0"/>
              <w:rPr>
                <w:sz w:val="19"/>
                <w:szCs w:val="19"/>
                <w:color w:val="auto"/>
              </w:rPr>
            </w:pPr>
          </w:p>
        </w:tc>
        <w:tc>
          <w:tcPr>
            <w:tcW w:w="1180" w:type="dxa"/>
            <w:vAlign w:val="bottom"/>
          </w:tcPr>
          <w:p>
            <w:pPr>
              <w:jc w:val="center"/>
              <w:ind w:right="256"/>
              <w:spacing w:after="0"/>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225"/>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2022</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89,039</w:t>
            </w:r>
          </w:p>
        </w:tc>
        <w:tc>
          <w:tcPr>
            <w:tcW w:w="100" w:type="dxa"/>
            <w:vAlign w:val="bottom"/>
          </w:tcPr>
          <w:p>
            <w:pPr>
              <w:spacing w:after="0"/>
              <w:rPr>
                <w:sz w:val="20"/>
                <w:szCs w:val="20"/>
                <w:color w:val="auto"/>
              </w:rPr>
            </w:pPr>
          </w:p>
        </w:tc>
        <w:tc>
          <w:tcPr>
            <w:tcW w:w="1220" w:type="dxa"/>
            <w:vAlign w:val="bottom"/>
          </w:tcPr>
          <w:p>
            <w:pPr>
              <w:jc w:val="right"/>
              <w:ind w:right="1019"/>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88,886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62,844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62,844</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color w:val="auto"/>
              </w:rPr>
              <w:t>Corporate and agency bonds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46,300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46,100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42,746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42,746</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color w:val="auto"/>
              </w:rPr>
              <w:t>U.S. government agency securities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20,253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20,304</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261,182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260,880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62,844</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Short-term marketable securities (amortized cost of</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740" w:type="dxa"/>
            <w:vAlign w:val="bottom"/>
          </w:tcPr>
          <w:p>
            <w:pPr>
              <w:ind w:left="220"/>
              <w:spacing w:after="0"/>
              <w:rPr>
                <w:sz w:val="20"/>
                <w:szCs w:val="20"/>
                <w:color w:val="auto"/>
              </w:rPr>
            </w:pPr>
            <w:r>
              <w:rPr>
                <w:rFonts w:ascii="Arial" w:cs="Arial" w:eastAsia="Arial" w:hAnsi="Arial"/>
                <w:sz w:val="17"/>
                <w:szCs w:val="17"/>
                <w:color w:val="auto"/>
              </w:rPr>
              <w:t>$198,338)</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198,036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260,880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center"/>
              <w:ind w:left="219"/>
              <w:spacing w:after="0"/>
              <w:rPr>
                <w:sz w:val="20"/>
                <w:szCs w:val="20"/>
                <w:color w:val="auto"/>
              </w:rPr>
            </w:pPr>
            <w:r>
              <w:rPr>
                <w:rFonts w:ascii="Arial" w:cs="Arial" w:eastAsia="Arial" w:hAnsi="Arial"/>
                <w:sz w:val="15"/>
                <w:szCs w:val="15"/>
                <w:b w:val="1"/>
                <w:bCs w:val="1"/>
                <w:color w:val="auto"/>
              </w:rPr>
              <w:t>Gross</w:t>
            </w: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center"/>
              <w:ind w:right="360"/>
              <w:spacing w:after="0"/>
              <w:rPr>
                <w:sz w:val="20"/>
                <w:szCs w:val="20"/>
                <w:color w:val="auto"/>
              </w:rPr>
            </w:pPr>
            <w:r>
              <w:rPr>
                <w:rFonts w:ascii="Arial" w:cs="Arial" w:eastAsia="Arial" w:hAnsi="Arial"/>
                <w:sz w:val="15"/>
                <w:szCs w:val="15"/>
                <w:b w:val="1"/>
                <w:bCs w:val="1"/>
                <w:color w:val="auto"/>
              </w:rPr>
              <w:t>Gross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rPr>
              <w:t>Amortized</w:t>
            </w:r>
          </w:p>
        </w:tc>
        <w:tc>
          <w:tcPr>
            <w:tcW w:w="1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vMerge w:val="restart"/>
          </w:tcPr>
          <w:p>
            <w:pPr>
              <w:jc w:val="center"/>
              <w:ind w:right="256"/>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20" w:type="dxa"/>
            <w:vAlign w:val="bottom"/>
          </w:tcPr>
          <w:p>
            <w:pPr>
              <w:jc w:val="center"/>
              <w:ind w:left="239"/>
              <w:spacing w:after="0"/>
              <w:rPr>
                <w:sz w:val="20"/>
                <w:szCs w:val="20"/>
                <w:color w:val="auto"/>
              </w:rPr>
            </w:pPr>
            <w:r>
              <w:rPr>
                <w:rFonts w:ascii="Arial" w:cs="Arial" w:eastAsia="Arial" w:hAnsi="Arial"/>
                <w:sz w:val="15"/>
                <w:szCs w:val="15"/>
                <w:b w:val="1"/>
                <w:bCs w:val="1"/>
                <w:color w:val="auto"/>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Unrealized</w:t>
            </w: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Cost</w:t>
            </w:r>
          </w:p>
        </w:tc>
        <w:tc>
          <w:tcPr>
            <w:tcW w:w="1220" w:type="dxa"/>
            <w:vAlign w:val="bottom"/>
          </w:tcPr>
          <w:p>
            <w:pPr>
              <w:jc w:val="center"/>
              <w:ind w:left="239"/>
              <w:spacing w:after="0"/>
              <w:rPr>
                <w:sz w:val="20"/>
                <w:szCs w:val="20"/>
                <w:color w:val="auto"/>
              </w:rPr>
            </w:pPr>
            <w:r>
              <w:rPr>
                <w:rFonts w:ascii="Arial" w:cs="Arial" w:eastAsia="Arial" w:hAnsi="Arial"/>
                <w:sz w:val="15"/>
                <w:szCs w:val="15"/>
                <w:b w:val="1"/>
                <w:bCs w:val="1"/>
                <w:color w:val="auto"/>
              </w:rPr>
              <w:t>Gain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Loss</w:t>
            </w:r>
          </w:p>
        </w:tc>
        <w:tc>
          <w:tcPr>
            <w:tcW w:w="340" w:type="dxa"/>
            <w:vAlign w:val="bottom"/>
          </w:tcPr>
          <w:p>
            <w:pPr>
              <w:spacing w:after="0"/>
              <w:rPr>
                <w:sz w:val="18"/>
                <w:szCs w:val="18"/>
                <w:color w:val="auto"/>
              </w:rPr>
            </w:pPr>
          </w:p>
        </w:tc>
        <w:tc>
          <w:tcPr>
            <w:tcW w:w="1180" w:type="dxa"/>
            <w:vAlign w:val="bottom"/>
          </w:tcPr>
          <w:p>
            <w:pPr>
              <w:jc w:val="center"/>
              <w:ind w:right="256"/>
              <w:spacing w:after="0"/>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225"/>
        </w:trPr>
        <w:tc>
          <w:tcPr>
            <w:tcW w:w="4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As of December 31, 2021</w:t>
            </w: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color w:val="auto"/>
              </w:rPr>
              <w:t>U.S. treasury securities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141,093</w:t>
            </w:r>
          </w:p>
        </w:tc>
        <w:tc>
          <w:tcPr>
            <w:tcW w:w="100" w:type="dxa"/>
            <w:vAlign w:val="bottom"/>
          </w:tcPr>
          <w:p>
            <w:pPr>
              <w:spacing w:after="0"/>
              <w:rPr>
                <w:sz w:val="20"/>
                <w:szCs w:val="20"/>
                <w:color w:val="auto"/>
              </w:rPr>
            </w:pPr>
          </w:p>
        </w:tc>
        <w:tc>
          <w:tcPr>
            <w:tcW w:w="1220" w:type="dxa"/>
            <w:vAlign w:val="bottom"/>
          </w:tcPr>
          <w:p>
            <w:pPr>
              <w:jc w:val="right"/>
              <w:ind w:right="1019"/>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140,977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Money market funds</w:t>
            </w:r>
          </w:p>
        </w:tc>
        <w:tc>
          <w:tcPr>
            <w:tcW w:w="2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129,763</w:t>
            </w: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gridSpan w:val="2"/>
            <w:shd w:val="clear" w:color="auto" w:fill="CFF0FC"/>
          </w:tcPr>
          <w:p>
            <w:pPr>
              <w:ind w:left="10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129,763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color w:val="auto"/>
              </w:rPr>
              <w:t>Corporate and agency bonds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64,997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64,984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Commercial paper</w:t>
            </w:r>
          </w:p>
        </w:tc>
        <w:tc>
          <w:tcPr>
            <w:tcW w:w="24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8,497</w:t>
            </w:r>
          </w:p>
        </w:tc>
        <w:tc>
          <w:tcPr>
            <w:tcW w:w="10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gridSpan w:val="2"/>
            <w:shd w:val="clear" w:color="auto" w:fill="CFF0FC"/>
          </w:tcPr>
          <w:p>
            <w:pPr>
              <w:ind w:left="10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8,497</w:t>
            </w:r>
          </w:p>
        </w:tc>
        <w:tc>
          <w:tcPr>
            <w:tcW w:w="0" w:type="dxa"/>
            <w:vAlign w:val="bottom"/>
          </w:tcPr>
          <w:p>
            <w:pPr>
              <w:spacing w:after="0"/>
              <w:rPr>
                <w:sz w:val="1"/>
                <w:szCs w:val="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7"/>
                <w:szCs w:val="17"/>
                <w:color w:val="auto"/>
              </w:rPr>
              <w:t>Totals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344,350</w:t>
            </w:r>
          </w:p>
        </w:tc>
        <w:tc>
          <w:tcPr>
            <w:tcW w:w="1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344,221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Classified as:</w:t>
            </w:r>
          </w:p>
        </w:tc>
        <w:tc>
          <w:tcPr>
            <w:tcW w:w="2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129,763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Short-term marketable securities (amortized cost of</w:t>
            </w: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$214,587)</w:t>
            </w:r>
          </w:p>
        </w:tc>
        <w:tc>
          <w:tcPr>
            <w:tcW w:w="2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214,458</w:t>
            </w:r>
          </w:p>
        </w:tc>
        <w:tc>
          <w:tcPr>
            <w:tcW w:w="0" w:type="dxa"/>
            <w:vAlign w:val="bottom"/>
          </w:tcPr>
          <w:p>
            <w:pPr>
              <w:spacing w:after="0"/>
              <w:rPr>
                <w:sz w:val="1"/>
                <w:szCs w:val="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344,221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Cash and cash equivalents in the table above excludes cash on deposit with banks of $10.6 million and $22.0 million as of December 31, 2022 and 2021, respectively.</w:t>
      </w:r>
    </w:p>
    <w:p>
      <w:pPr>
        <w:spacing w:after="0" w:line="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of December 31, 2022 and 2021, all of the Company’s marketable securities had remaining contractual maturities of less than one year. As of December 31, 2022, the Company had 19 marketable securities in an unrealized loss position compared to 21 marketable securities in an unrealized loss position as of December 31, 2021. Marketable securities that had been in unrealized loss positions as of December 31, 2022 and 2021 were in an unrealized loss position for less than twelve months. The Company does not need to nor does it intend to sell marketable securities that are in an unrealized loss position and it is highly unlikely that the Company will be required to sell the investments before recovery of their amortized cost basis, which may be maturity.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5" w:name="page116"/>
    <w:bookmarkEnd w:id="11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134"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following table summarizes, by major security type, the Company's available-for-sale securities that were measured at fair value on a recurring basis and were categorized using the fair value hierarchy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5"/>
                <w:szCs w:val="15"/>
                <w:b w:val="1"/>
                <w:bCs w:val="1"/>
                <w:color w:val="auto"/>
              </w:rPr>
              <w:t>Fair Value Measurements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As of December 31, 2022</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1160" w:type="dxa"/>
            <w:vAlign w:val="bottom"/>
          </w:tcPr>
          <w:p>
            <w:pPr>
              <w:jc w:val="right"/>
              <w:ind w:right="37"/>
              <w:spacing w:after="0"/>
              <w:rPr>
                <w:sz w:val="20"/>
                <w:szCs w:val="20"/>
                <w:color w:val="auto"/>
              </w:rPr>
            </w:pPr>
            <w:r>
              <w:rPr>
                <w:rFonts w:ascii="Arial" w:cs="Arial" w:eastAsia="Arial" w:hAnsi="Arial"/>
                <w:sz w:val="15"/>
                <w:szCs w:val="15"/>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5"/>
              <w:spacing w:after="0"/>
              <w:rPr>
                <w:sz w:val="20"/>
                <w:szCs w:val="20"/>
                <w:color w:val="auto"/>
              </w:rPr>
            </w:pPr>
            <w:r>
              <w:rPr>
                <w:rFonts w:ascii="Arial" w:cs="Arial" w:eastAsia="Arial" w:hAnsi="Arial"/>
                <w:sz w:val="15"/>
                <w:szCs w:val="15"/>
                <w:b w:val="1"/>
                <w:bCs w:val="1"/>
                <w:color w:val="auto"/>
              </w:rPr>
              <w:t>Total</w:t>
            </w:r>
          </w:p>
        </w:tc>
      </w:tr>
      <w:tr>
        <w:trPr>
          <w:trHeight w:val="225"/>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U.S. treasury securities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88,886</w:t>
            </w:r>
          </w:p>
        </w:tc>
        <w:tc>
          <w:tcPr>
            <w:tcW w:w="12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57"/>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88,886</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62,844</w:t>
            </w: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Corporate and agency bonds</w:t>
            </w: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46,100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46,100</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Commercial paper</w:t>
            </w: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42,746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42,746</w:t>
            </w: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U.S. government agency securities</w:t>
            </w: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20,304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20,304</w:t>
            </w:r>
          </w:p>
        </w:tc>
      </w:tr>
      <w:tr>
        <w:trPr>
          <w:trHeight w:val="27"/>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151,730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109,150</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5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260,880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03"/>
        </w:trPr>
        <w:tc>
          <w:tcPr>
            <w:tcW w:w="4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5"/>
                <w:szCs w:val="15"/>
                <w:b w:val="1"/>
                <w:bCs w:val="1"/>
                <w:color w:val="auto"/>
              </w:rPr>
              <w:t>Fair Value Measurements</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As of December 31, 2021</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1160" w:type="dxa"/>
            <w:vAlign w:val="bottom"/>
          </w:tcPr>
          <w:p>
            <w:pPr>
              <w:jc w:val="right"/>
              <w:ind w:right="37"/>
              <w:spacing w:after="0"/>
              <w:rPr>
                <w:sz w:val="20"/>
                <w:szCs w:val="20"/>
                <w:color w:val="auto"/>
              </w:rPr>
            </w:pPr>
            <w:r>
              <w:rPr>
                <w:rFonts w:ascii="Arial" w:cs="Arial" w:eastAsia="Arial" w:hAnsi="Arial"/>
                <w:sz w:val="15"/>
                <w:szCs w:val="15"/>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5"/>
              <w:spacing w:after="0"/>
              <w:rPr>
                <w:sz w:val="20"/>
                <w:szCs w:val="20"/>
                <w:color w:val="auto"/>
              </w:rPr>
            </w:pPr>
            <w:r>
              <w:rPr>
                <w:rFonts w:ascii="Arial" w:cs="Arial" w:eastAsia="Arial" w:hAnsi="Arial"/>
                <w:sz w:val="15"/>
                <w:szCs w:val="15"/>
                <w:b w:val="1"/>
                <w:bCs w:val="1"/>
                <w:color w:val="auto"/>
              </w:rPr>
              <w:t>Total</w:t>
            </w:r>
          </w:p>
        </w:tc>
      </w:tr>
      <w:tr>
        <w:trPr>
          <w:trHeight w:val="225"/>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U.S. treasury securities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140,977</w:t>
            </w:r>
          </w:p>
        </w:tc>
        <w:tc>
          <w:tcPr>
            <w:tcW w:w="12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57"/>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140,977</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129,763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129,763</w:t>
            </w: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Corporate and agency bonds</w:t>
            </w: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64,984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64,984</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Commercial paper</w:t>
            </w: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8,497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8,497</w:t>
            </w:r>
          </w:p>
        </w:tc>
      </w:tr>
      <w:tr>
        <w:trPr>
          <w:trHeight w:val="223"/>
        </w:trPr>
        <w:tc>
          <w:tcPr>
            <w:tcW w:w="4740" w:type="dxa"/>
            <w:vAlign w:val="bottom"/>
          </w:tcPr>
          <w:p>
            <w:pPr>
              <w:ind w:left="20"/>
              <w:spacing w:after="0"/>
              <w:rPr>
                <w:sz w:val="20"/>
                <w:szCs w:val="20"/>
                <w:color w:val="auto"/>
              </w:rPr>
            </w:pPr>
            <w:r>
              <w:rPr>
                <w:rFonts w:ascii="Arial" w:cs="Arial" w:eastAsia="Arial" w:hAnsi="Arial"/>
                <w:sz w:val="17"/>
                <w:szCs w:val="17"/>
                <w:color w:val="auto"/>
              </w:rPr>
              <w:t>Totals</w:t>
            </w: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270,740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73,481</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ind w:right="957"/>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344,221</w:t>
            </w:r>
          </w:p>
        </w:tc>
      </w:tr>
      <w:tr>
        <w:trPr>
          <w:trHeight w:val="27"/>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Company estimates the fair values of investments in commercial paper, corporate and agency bond securities and U.S. government agency securities using Level 2 inputs by taking into consideration valuations obtained from third-party pricing services.</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of assets or liabilities between the fair value measurement levels during the years ended December 31, 2022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19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tab/>
        <w:t>Balance Sheet Components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34"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 reconciliation of cash, cash equivalents and restricted cash reported within the consolidated balance sheets to the amount reported within the consolidated statements of cash flows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tcBorders>
              <w:bottom w:val="single" w:sz="8" w:color="CFF0FC"/>
            </w:tcBorders>
          </w:tcPr>
          <w:p>
            <w:pPr>
              <w:spacing w:after="0"/>
              <w:rPr>
                <w:sz w:val="17"/>
                <w:szCs w:val="17"/>
                <w:color w:val="auto"/>
              </w:rPr>
            </w:pPr>
          </w:p>
        </w:tc>
        <w:tc>
          <w:tcPr>
            <w:tcW w:w="34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and cash equivalents</w:t>
            </w:r>
          </w:p>
        </w:tc>
        <w:tc>
          <w:tcPr>
            <w:tcW w:w="38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73,456</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Restricted cash</w:t>
            </w:r>
          </w:p>
        </w:tc>
        <w:tc>
          <w:tcPr>
            <w:tcW w:w="34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3,954</w:t>
            </w: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38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77,410</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153,294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3460" w:type="dxa"/>
            <w:vAlign w:val="bottom"/>
            <w:tcBorders>
              <w:top w:val="single" w:sz="8" w:color="CFF0FC"/>
              <w:bottom w:val="single" w:sz="8" w:color="CFF0FC"/>
            </w:tcBorders>
            <w:vMerge w:val="restart"/>
          </w:tcPr>
          <w:p>
            <w:pPr>
              <w:jc w:val="right"/>
              <w:ind w:right="2194"/>
              <w:spacing w:after="0"/>
              <w:rPr>
                <w:sz w:val="20"/>
                <w:szCs w:val="20"/>
                <w:color w:val="auto"/>
              </w:rPr>
            </w:pPr>
            <w:r>
              <w:rPr>
                <w:rFonts w:ascii="Arial" w:cs="Arial" w:eastAsia="Arial" w:hAnsi="Arial"/>
                <w:sz w:val="17"/>
                <w:szCs w:val="17"/>
                <w:color w:val="auto"/>
              </w:rPr>
              <w:t>116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45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8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6" w:name="page117"/>
    <w:bookmarkEnd w:id="11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01"/>
        </w:trPr>
        <w:tc>
          <w:tcPr>
            <w:tcW w:w="80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13"/>
        </w:trPr>
        <w:tc>
          <w:tcPr>
            <w:tcW w:w="8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25,866</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25,880</w:t>
            </w: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Laboratory equipment and office furniture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23,807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21,916</w:t>
            </w:r>
          </w:p>
        </w:tc>
      </w:tr>
      <w:tr>
        <w:trPr>
          <w:trHeight w:val="220"/>
        </w:trPr>
        <w:tc>
          <w:tcPr>
            <w:tcW w:w="8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Computer equipment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1,225</w:t>
            </w:r>
          </w:p>
        </w:tc>
      </w:tr>
      <w:tr>
        <w:trPr>
          <w:trHeight w:val="218"/>
        </w:trPr>
        <w:tc>
          <w:tcPr>
            <w:tcW w:w="804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Construction-in-progress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13"/>
        </w:trPr>
        <w:tc>
          <w:tcPr>
            <w:tcW w:w="8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property and equipment, gross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51,390</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49,039</w:t>
            </w:r>
          </w:p>
        </w:tc>
      </w:tr>
      <w:tr>
        <w:trPr>
          <w:trHeight w:val="218"/>
        </w:trPr>
        <w:tc>
          <w:tcPr>
            <w:tcW w:w="804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(42,894)</w:t>
            </w: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(38,968)</w:t>
            </w:r>
          </w:p>
        </w:tc>
      </w:tr>
      <w:tr>
        <w:trPr>
          <w:trHeight w:val="238"/>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property and equipment, net</w:t>
            </w:r>
          </w:p>
        </w:tc>
        <w:tc>
          <w:tcPr>
            <w:tcW w:w="3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8,496</w:t>
            </w: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10,071</w:t>
            </w:r>
          </w:p>
        </w:tc>
      </w:tr>
      <w:tr>
        <w:trPr>
          <w:trHeight w:val="20"/>
        </w:trPr>
        <w:tc>
          <w:tcPr>
            <w:tcW w:w="80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Depreciation expense for the years ended December 31, 2022, 2021 and 2020 was approximately $4.0 million, $6.1 million and $6.6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Liabilities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liabilities consisted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01"/>
        </w:trPr>
        <w:tc>
          <w:tcPr>
            <w:tcW w:w="80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2021</w:t>
            </w:r>
          </w:p>
        </w:tc>
      </w:tr>
      <w:tr>
        <w:trPr>
          <w:trHeight w:val="213"/>
        </w:trPr>
        <w:tc>
          <w:tcPr>
            <w:tcW w:w="80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Clinical trials and research and development costs</w:t>
            </w:r>
          </w:p>
        </w:tc>
        <w:tc>
          <w:tcPr>
            <w:tcW w:w="3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14,597</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12,070</w:t>
            </w: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Personnel-related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9,181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10,298</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Manufacturing costs (1)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7,773</w:t>
            </w:r>
          </w:p>
        </w:tc>
      </w:tr>
      <w:tr>
        <w:trPr>
          <w:trHeight w:val="218"/>
        </w:trPr>
        <w:tc>
          <w:tcPr>
            <w:tcW w:w="80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Accrued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3,834</w:t>
            </w:r>
          </w:p>
        </w:tc>
        <w:tc>
          <w:tcPr>
            <w:tcW w:w="1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3,117</w:t>
            </w:r>
          </w:p>
        </w:tc>
      </w:tr>
      <w:tr>
        <w:trPr>
          <w:trHeight w:val="238"/>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accrued liabilities</w:t>
            </w:r>
          </w:p>
        </w:tc>
        <w:tc>
          <w:tcPr>
            <w:tcW w:w="36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33,638</w:t>
            </w: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33,258</w:t>
            </w:r>
          </w:p>
        </w:tc>
      </w:tr>
      <w:tr>
        <w:trPr>
          <w:trHeight w:val="20"/>
        </w:trPr>
        <w:tc>
          <w:tcPr>
            <w:tcW w:w="80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w:t>
      </w:r>
    </w:p>
    <w:p>
      <w:pPr>
        <w:spacing w:after="0" w:line="16" w:lineRule="exact"/>
        <w:rPr>
          <w:sz w:val="20"/>
          <w:szCs w:val="20"/>
          <w:color w:val="auto"/>
        </w:rPr>
      </w:pPr>
    </w:p>
    <w:p>
      <w:pPr>
        <w:jc w:val="both"/>
        <w:ind w:firstLine="3"/>
        <w:spacing w:after="0" w:line="242" w:lineRule="auto"/>
        <w:tabs>
          <w:tab w:leader="none" w:pos="209"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of December 31, 2022, the Company recorded an aggregate of $3.0 million for cancellation charges related to the Company's cancellation of its agreement with Lonza Ltd for the Phase 3 manufacturing of NGM621 following Merck's decision to not exercise its option to license NGM621 and the Company's decision not to proceed with further development of NGM621, of which $1.8 million was recorded in accrued manufacturing costs and $1.2 million was included in accounts payable. See Note 5 for additional information.</w:t>
      </w:r>
    </w:p>
    <w:p>
      <w:pPr>
        <w:spacing w:after="0" w:line="184" w:lineRule="exact"/>
        <w:rPr>
          <w:sz w:val="20"/>
          <w:szCs w:val="20"/>
          <w:color w:val="auto"/>
        </w:rPr>
      </w:pPr>
    </w:p>
    <w:p>
      <w:pPr>
        <w:ind w:right="6920" w:firstLine="3"/>
        <w:spacing w:after="0" w:line="392" w:lineRule="auto"/>
        <w:tabs>
          <w:tab w:leader="none" w:pos="29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Research Collaboration and License Agreements </w:t>
      </w:r>
      <w:r>
        <w:rPr>
          <w:rFonts w:ascii="Arial" w:cs="Arial" w:eastAsia="Arial" w:hAnsi="Arial"/>
          <w:sz w:val="17"/>
          <w:szCs w:val="17"/>
          <w:b w:val="1"/>
          <w:bCs w:val="1"/>
          <w:i w:val="1"/>
          <w:iCs w:val="1"/>
          <w:color w:val="0D0D0D"/>
        </w:rPr>
        <w:t>Merck</w:t>
      </w:r>
    </w:p>
    <w:p>
      <w:pPr>
        <w:jc w:val="both"/>
        <w:ind w:firstLine="619"/>
        <w:spacing w:after="0" w:line="255" w:lineRule="auto"/>
        <w:rPr>
          <w:sz w:val="20"/>
          <w:szCs w:val="20"/>
          <w:color w:val="auto"/>
        </w:rPr>
      </w:pPr>
      <w:r>
        <w:rPr>
          <w:rFonts w:ascii="Arial" w:cs="Arial" w:eastAsia="Arial" w:hAnsi="Arial"/>
          <w:sz w:val="17"/>
          <w:szCs w:val="17"/>
          <w:color w:val="auto"/>
        </w:rPr>
        <w:t>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phase of the collaboration was for five years and was extended by Merck for an additional two years through March 2022. As part of that extension, Merck agreed to continue to fund up to $75.0 million of the Company's R&amp;D efforts each year consistent with the initial five-year research term and, in lieu of a $20.0 million extension fee payable to the Company, Merck agreed to make additional payments totaling up to $20.0 million in support of the Company's R&amp;D activities during 2021 through the first quarter of 2022.</w:t>
      </w:r>
    </w:p>
    <w:p>
      <w:pPr>
        <w:spacing w:after="0" w:line="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On June 30, 2021, the Company entered into an amended and restated research collaboration, product development and license agreement with Merck, or the Amended Collaboration Agreement, replacing the Original Collaboration Agreement and extending the research phase of the collaboration generally through March 31, 2024, with possible extensions for each of the various programs to allow the Company or Merck to complete ongoing development, but with a narrower scope than in the Original 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7" w:name="page118"/>
    <w:bookmarkEnd w:id="11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and other activities on compounds that are directed to one of up to two undisclosed targets outside of the fields of ophthalmology and CVM disease, or the Lab Programs.</w:t>
      </w:r>
    </w:p>
    <w:p>
      <w:pPr>
        <w:spacing w:after="0" w:line="8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Currently, the only ongoing research activities funded under the Amended Collaboration Agreement are certain CVM-related activities and remaining activities under the Lab Programs, or the Remaining Research Programs. The ophthalmology compounds in the collaboration under the Amended Collaboration Agreement initially included NGM621 (and its related compounds) and compounds directed against two other undisclosed ophthalmology targets (and their related compounds). Merck had a one-time option to license NGM621, its related compounds and the ophthalmology bundle upon completion of the Phase 2 CATALINA trial. In December 2022, Merck notified us that it would not exercise its option to license NGM621 and its related compounds, nor would Merck exercise the related ophthalmology bundle option; accordingly, these options expired unexercised in January 2023 and the programs are now wholly-owned by us. Further, Merck did not elect for us to continue to conduct R&amp;D on any compounds from our other ophthalmology programs that were subject to the collaboration, which are preclinical and directed to undisclosed targets. Such an election would have resulted in an extended or tail period in which Merck would continue to fund our R&amp;D of such ophthalmology compounds. Because Merck did not exercise its ophthalmology license options or make such a tail period election, we do not have any funding from Merck to pursue such ophthalmology programs.</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Merck owned approximately 16% of the Company's outstanding shares as of December 31, 2022.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Amended Collaboration Agreement</w:t>
      </w:r>
    </w:p>
    <w:p>
      <w:pPr>
        <w:spacing w:after="0" w:line="132"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7"/>
          <w:szCs w:val="17"/>
          <w:color w:val="auto"/>
        </w:rPr>
        <w:t>Pursuant to the Amended Collaboration Agreement, the prior two-year extension of the research phase under the Original Agreement was deemed to end on March 31, 2021, while a new three-year research phase commenced on April 1, 2021. Under the Original Collaboration Agreement, all of the Company’s R&amp;D programs, both those existing at the time the Company entered into the Original Collaboration Agreement and those the Company worked on during the research phase of the collaboration, other than aldafermin, were included within the scope of the collaboration. Under the terms of the Original Collaboration Agreement, upon completion of a human proof-of-concept trial for a particular collaboration compound, regardless of the results of such trial, Merck had the one-time option to obtain an exclusive, worldwide license, on specified terms, to that collaboration compound, as well as to all other compounds that were directed against the same target and that result in the same effect on such target, or the related compounds, referred to as the Merck license option. Under the Amended Collaboration Agreement, the scope of the collaboration and the resulting programs for which Merck has the Merck license option was narrowed, but included NGM621 and its related compounds, and compounds directed against two other undisclosed ophthalmology targets and their related compounds and the CVM-related activities and the Lab Programs. Collaboration compounds that remained within the R&amp;D scope of the continuing collaboration under the Amended Collaboration Agreement are referred to as continuing collaboration compounds. Given the narrowed research scope under the Amended Collaboration Agreement, the Company gained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are not included within the R&amp;D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spacing w:after="0" w:line="107"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Under the Amended Collaboration Agreement, Merck continued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 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We do not expect any new CVM-related programs to be added to the collaboration.</w:t>
      </w:r>
    </w:p>
    <w:p>
      <w:pPr>
        <w:spacing w:after="0" w:line="9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Merck had a one-time right to exercise its Merck license option, during the research phase or a tail period following such research phase, as applicable, for any continuing collaboration compound on a continuing program-by-continuing program basis when the Company or Merck achieves the specified Merck license option exercise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8" w:name="page119"/>
    <w:bookmarkEnd w:id="11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point. The Merck license option exercise point for all collaboration compounds under the Original Collaboration Agreement was the completion of a human proof-of-concept trial, exercisable within 60 days of Merck's receipt of an agreed-upon data package for the relevant program. This remained the Merck license option exercise point under the Amended Collaboration Agreement for the continuing collaboration compounds directed to ophthalmology targets, including NGM621 and its related compounds and the continuing collaboration compounds from two other ophthalmology programs directed against undisclosed ophthalmology targets and their related compounds (including NGM621 and its related compounds, collectively referred to as the continuing ophthalmology collaboration compounds). Merck also had an additional one-time option at the same license option exercise point to obtain an exclusive, worldwide license to all of the continuing ophthalmology collaboration compounds together, referred to as the ophthalmology bundle option. As described above, Merck's license option for NGM621 (and its related compounds) and compounds directed against two other undisclosed ophthalmology targets (and their related compounds) expired unexercised in January 2023.</w:t>
      </w:r>
    </w:p>
    <w:p>
      <w:pPr>
        <w:spacing w:after="0" w:line="9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spacing w:after="0" w:line="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As was the case under the Original Collaboration Agreement, under the Amended Collaboration Agreement, if Merck exercises a Merck license option and obtains the relevant exclusive, worldwide license for a continuing collaboration compound and its related compounds, Merck will pay an option exercise fee to the Company and will be responsible, at its own cost, for any further development and commercialization activities for continuing collaboration compounds within that licensed continuing program. In such case, the Company will have the option to receive milestones and royalty payments or, in certain cases, to co-fund development and participate in a global cost and profit share arrangement of up to 50%, with an additional option to co-detail any such licensed continuing collaboration compound in the United States under the same terms as set forth in the Original Collaboration Agreement. If the Company elects to exercise its cost and profit share option for a particular continuing collaboration compound and its related compounds, Merck has agreed to advance to the Company and/or assume up to 25% of the Company’s share of the global development costs for such licensed compound, subject to an aggregate cap over the course of the collaboration. All such amounts advanced or assumed by Merck would accrue interest and be recouped by Merck in full out of the Company’s share of any profits resulting from sales of the licensed compound for which the Company elected to exercise its cost and profit share option before the Company was entitled to receive any of those profits.</w:t>
      </w:r>
    </w:p>
    <w:p>
      <w:pPr>
        <w:spacing w:after="0" w:line="9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w:t>
      </w:r>
    </w:p>
    <w:p>
      <w:pPr>
        <w:spacing w:after="0" w:line="9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Under the Amended Collaboration Agreement, the parties’ rights and obligations with respect to MK-3655 (NGM313) and related FGFR1c/KLB agonists for which Merck exercised its Merck license option in November 2018 did not change.</w:t>
      </w:r>
    </w:p>
    <w:p>
      <w:pPr>
        <w:spacing w:after="0" w:line="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March 2022, the Company and Merck entered into a letter agreement, or the Letter Agreement, regarding NGM621 manufacturing activities that the Company undertook with the intention of avoiding a significant delay between the completion of the CATALINA trial and the start of any Phase 3 clinical trial for NGM621.</w:t>
      </w:r>
    </w:p>
    <w:p>
      <w:pPr>
        <w:spacing w:after="0" w:line="89"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Under the Amended Collaboration Agreement, Merck provided $86.0 million in research funding for the four calendar quarters that ended on March 31, 2022, which included the remaining $16.0 million of the up to $20.0 million in additional payments Merck agreed to pay as part of exercising its first option to extend the research phase of the collaboration under the Original Collaboration Agreement for two years through March 16, 2022. The Company was obligated to use commercially reasonable efforts to expend, and did spend, at least $35.0 million of such $86.0 million in funding during the same time frame on the ophthalmology and CVM-related programs and Lab Programs as required under the Amended Collaboration Agreement. The Company was permitted to use the remainder of the $86.0 million in research funding provided by Merck during such time frame to advance the released NGM compounds. During the remaining two years of the research phase after March 2022, Merck could provide up to a total of $20.0 million in research funding for the ophthalmology and CVM-related programs and the Lab Programs. Pursuant to the Letter Agreement, the Company also used part of this research funding to cover the costs of its personnel who provide support for the manufacturing activities that the Company undertook in preparation for a potential Phase 3 clinical trial for NGM621. Merck also funded certain R&amp;D costs related to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19" w:name="page120"/>
    <w:bookmarkEnd w:id="11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NGM621 prior to Merck's decision to not exercise its license option with respect to NGM621 in December 2022. In accordance with the Letter Agreement, Merck agreed to reimburse the Company the maximum reimbursable amount for NGM621 third-party manufacturing costs of $4.75 million which is included in the related party receivable balance as of December 31, 2022. Merck continues to have license options for the CVM-related continuing programs and the Lab Programs.</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research phase for the CVM-related continuing programs will continue until March 31, 2024, unless the parties mutually agree to extend the research phase to March 31, 2026, in which case Merck would provide up to a total of $20.0 million in research funding during those additional two years. Although the research phase for the Lab Programs was scheduled to end no later than December 31, 2022, the Company is continuing to provide certain limited activities in 2023 to wrap up the Lab Programs.</w:t>
      </w:r>
    </w:p>
    <w:p>
      <w:pPr>
        <w:spacing w:after="0" w:line="9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January 2023, the Company announced that Merck notified the Company of its decision to terminate the Phase 2b trial of MK-3655 in patients with nonalcoholic steatohepatitis, or NASH, and liver fibrosis stage 2 or 3, or F2/F3, and Merck subsequently provided the Company with the required 90-days' notice of partial termination of the Amended Collaboration Agreement as it relates to MK-3655 and its related compounds. As a result, in late April 2023, the license rights granted to Merck in 2018 with respect to MK-3655 will revert to the Company and the program will become wholly-owned by the Company.</w:t>
      </w:r>
    </w:p>
    <w:p>
      <w:pPr>
        <w:spacing w:after="0" w:line="9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As under the Original Collaboration Agreement, Merck has the right under the Amended Collaboration Agreement to review the then-ongoing continuing programs in the three-month period before the end of applicable research phase and to elect to designate one or more continuing programs for which R&amp;D would continue to be conducted, until the applicable Merck license option exercise point is reached, for up to three years after the end of such research phase, with the possibility of extension if the Company is conducting ongoing ophthalmology clinical trials, if Merck is using commercially reasonable efforts to progress one or more ophthalmology continuing programs or if Merck determines to continue progressing a CVM-related continuing program or Lab Programs toward the nomination of a research program development candidate, and any such extension is referred to as an Amended Collaboration Agreement tail period. Under the Amended Collaboration Agreement, the Amended Collaboration Agreement tail period, if any, for the CVM-related continuing programs or any Lab Programs, Merck would be primarily responsible for performing all R&amp;D activities, itself or through third-party contractors.</w:t>
      </w:r>
    </w:p>
    <w:p>
      <w:pPr>
        <w:spacing w:after="0" w:line="98"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The Company concluded that the Amended Collaboration Agreement is a separate arrangement containing a three-year performance obligation to provide distinct R&amp;D services in accordance with ASC 606. At December 31, 2022, the total transaction price under the Amended Collaboration Agreement is $120.3 million which includes $86.0 million in research funding for the four calendar quarters that ended on March 31, 2022, $15.7 million in research funding for the ophthalmology and CVM-related continuing programs and the Lab Programs during the remaining two years of the research phase after March 2022, $13.9 million in estimated NGM621 reimbursable expenses and costs during the remaining two years of the research phase after March 2022 and $4.75 million for reimbursable amounts paid to a third-party manufacturer in accordance with the terms of the Letter Agreement. The Company will continue to re-evaluate the transaction price as uncertain events are resolved or other changes in circumstances occur. The Company continues performing its R&amp;D services in the area of both the 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 For the period that started on January 1, 2023 and ends on March 31, 2024, the Company expects Merck will provide funding of approximately $13.0 million in the aggregate for the ongoing CVM-related activities, the remaining activities under the Lab Programs, and for certain costs and reimbursements related to the NGM621 program and this amount is included in the transaction price.</w:t>
      </w:r>
    </w:p>
    <w:p>
      <w:pPr>
        <w:spacing w:after="0" w:line="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considered whether the Merck license option and the ophthalmology bundle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0" w:name="page121"/>
    <w:bookmarkEnd w:id="12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 breakout of the milestone payments in connection with the potential achievement of certain clinical development events for each of the first three indications is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rPr>
              <w:t>First</w:t>
            </w: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9"/>
              </w:rPr>
              <w:t>Second</w:t>
            </w:r>
          </w:p>
        </w:tc>
        <w:tc>
          <w:tcPr>
            <w:tcW w:w="220" w:type="dxa"/>
            <w:vAlign w:val="bottom"/>
          </w:tcPr>
          <w:p>
            <w:pPr>
              <w:spacing w:after="0"/>
              <w:rPr>
                <w:sz w:val="14"/>
                <w:szCs w:val="14"/>
                <w:color w:val="auto"/>
              </w:rPr>
            </w:pPr>
          </w:p>
        </w:tc>
        <w:tc>
          <w:tcPr>
            <w:tcW w:w="1220" w:type="dxa"/>
            <w:vAlign w:val="bottom"/>
          </w:tcPr>
          <w:p>
            <w:pPr>
              <w:jc w:val="right"/>
              <w:ind w:right="438"/>
              <w:spacing w:after="0"/>
              <w:rPr>
                <w:sz w:val="20"/>
                <w:szCs w:val="20"/>
                <w:color w:val="auto"/>
              </w:rPr>
            </w:pPr>
            <w:r>
              <w:rPr>
                <w:rFonts w:ascii="Arial" w:cs="Arial" w:eastAsia="Arial" w:hAnsi="Arial"/>
                <w:sz w:val="15"/>
                <w:szCs w:val="15"/>
                <w:b w:val="1"/>
                <w:bCs w:val="1"/>
                <w:color w:val="auto"/>
              </w:rPr>
              <w:t>Third</w:t>
            </w:r>
          </w:p>
        </w:tc>
      </w:tr>
      <w:tr>
        <w:trPr>
          <w:trHeight w:val="205"/>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Indication</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rPr>
              <w:t>Indication</w:t>
            </w:r>
          </w:p>
        </w:tc>
        <w:tc>
          <w:tcPr>
            <w:tcW w:w="220" w:type="dxa"/>
            <w:vAlign w:val="bottom"/>
          </w:tcPr>
          <w:p>
            <w:pPr>
              <w:spacing w:after="0"/>
              <w:rPr>
                <w:sz w:val="17"/>
                <w:szCs w:val="17"/>
                <w:color w:val="auto"/>
              </w:rPr>
            </w:pPr>
          </w:p>
        </w:tc>
        <w:tc>
          <w:tcPr>
            <w:tcW w:w="1220" w:type="dxa"/>
            <w:vAlign w:val="bottom"/>
          </w:tcPr>
          <w:p>
            <w:pPr>
              <w:jc w:val="right"/>
              <w:ind w:right="278"/>
              <w:spacing w:after="0"/>
              <w:rPr>
                <w:sz w:val="20"/>
                <w:szCs w:val="20"/>
                <w:color w:val="auto"/>
              </w:rPr>
            </w:pPr>
            <w:r>
              <w:rPr>
                <w:rFonts w:ascii="Arial" w:cs="Arial" w:eastAsia="Arial" w:hAnsi="Arial"/>
                <w:sz w:val="15"/>
                <w:szCs w:val="15"/>
                <w:b w:val="1"/>
                <w:bCs w:val="1"/>
                <w:color w:val="auto"/>
              </w:rPr>
              <w:t>Indication</w:t>
            </w:r>
          </w:p>
        </w:tc>
      </w:tr>
      <w:tr>
        <w:trPr>
          <w:trHeight w:val="161"/>
        </w:trPr>
        <w:tc>
          <w:tcPr>
            <w:tcW w:w="6680" w:type="dxa"/>
            <w:vAlign w:val="bottom"/>
            <w:tcBorders>
              <w:top w:val="single" w:sz="8" w:color="CCEEFF"/>
            </w:tcBorders>
            <w:shd w:val="clear" w:color="auto" w:fill="CCEEFF"/>
          </w:tcPr>
          <w:p>
            <w:pPr>
              <w:ind w:left="80"/>
              <w:spacing w:after="0" w:line="161" w:lineRule="exact"/>
              <w:rPr>
                <w:sz w:val="20"/>
                <w:szCs w:val="20"/>
                <w:color w:val="auto"/>
              </w:rPr>
            </w:pPr>
            <w:r>
              <w:rPr>
                <w:rFonts w:ascii="Arial" w:cs="Arial" w:eastAsia="Arial" w:hAnsi="Arial"/>
                <w:sz w:val="17"/>
                <w:szCs w:val="17"/>
                <w:color w:val="auto"/>
              </w:rPr>
              <w:t>Upon administration of an applicable product to the first patient in the first Phase 3</w:t>
            </w: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220"/>
        </w:trPr>
        <w:tc>
          <w:tcPr>
            <w:tcW w:w="66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clinical trial for such product for the given indication</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w:t>
            </w:r>
          </w:p>
        </w:tc>
      </w:tr>
      <w:tr>
        <w:trPr>
          <w:trHeight w:val="180"/>
        </w:trPr>
        <w:tc>
          <w:tcPr>
            <w:tcW w:w="6680" w:type="dxa"/>
            <w:vAlign w:val="bottom"/>
          </w:tcPr>
          <w:p>
            <w:pPr>
              <w:ind w:left="80"/>
              <w:spacing w:after="0" w:line="180" w:lineRule="exact"/>
              <w:rPr>
                <w:sz w:val="20"/>
                <w:szCs w:val="20"/>
                <w:color w:val="auto"/>
              </w:rPr>
            </w:pPr>
            <w:r>
              <w:rPr>
                <w:rFonts w:ascii="Arial" w:cs="Arial" w:eastAsia="Arial" w:hAnsi="Arial"/>
                <w:sz w:val="17"/>
                <w:szCs w:val="17"/>
                <w:color w:val="auto"/>
              </w:rPr>
              <w:t>Upon first completion of a proof-of-concept trial for a CVM-related research program</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9"/>
        </w:trPr>
        <w:tc>
          <w:tcPr>
            <w:tcW w:w="6680" w:type="dxa"/>
            <w:vAlign w:val="bottom"/>
          </w:tcPr>
          <w:p>
            <w:pPr>
              <w:ind w:left="80"/>
              <w:spacing w:after="0"/>
              <w:rPr>
                <w:sz w:val="20"/>
                <w:szCs w:val="20"/>
                <w:color w:val="auto"/>
              </w:rPr>
            </w:pPr>
            <w:r>
              <w:rPr>
                <w:rFonts w:ascii="Arial" w:cs="Arial" w:eastAsia="Arial" w:hAnsi="Arial"/>
                <w:sz w:val="17"/>
                <w:szCs w:val="17"/>
                <w:color w:val="auto"/>
              </w:rPr>
              <w:t>development candidate</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0"/>
        </w:trPr>
        <w:tc>
          <w:tcPr>
            <w:tcW w:w="6680" w:type="dxa"/>
            <w:vAlign w:val="bottom"/>
            <w:shd w:val="clear" w:color="auto" w:fill="CCEEFF"/>
          </w:tcPr>
          <w:p>
            <w:pPr>
              <w:ind w:left="80"/>
              <w:spacing w:after="0" w:line="180" w:lineRule="exact"/>
              <w:rPr>
                <w:sz w:val="20"/>
                <w:szCs w:val="20"/>
                <w:color w:val="auto"/>
              </w:rPr>
            </w:pPr>
            <w:r>
              <w:rPr>
                <w:rFonts w:ascii="Arial" w:cs="Arial" w:eastAsia="Arial" w:hAnsi="Arial"/>
                <w:sz w:val="17"/>
                <w:szCs w:val="17"/>
                <w:color w:val="auto"/>
              </w:rPr>
              <w:t>Upon first completion of a proof-of-concept trial for a certain research development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0"/>
        </w:trPr>
        <w:tc>
          <w:tcPr>
            <w:tcW w:w="66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candidate for a lab program</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83"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7"/>
          <w:szCs w:val="17"/>
          <w:color w:val="auto"/>
        </w:rPr>
        <w:t>A breakout of the aggregate milestone payments in connection with the potential achievement of both acceptance of an application for and receipt of regulatory approval for each of the first three indications, for each of the three geographic areas, is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First</w:t>
            </w: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Second</w:t>
            </w: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Third</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Indication</w:t>
            </w:r>
          </w:p>
        </w:tc>
        <w:tc>
          <w:tcPr>
            <w:tcW w:w="2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Indication</w:t>
            </w: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Indication</w:t>
            </w:r>
          </w:p>
        </w:tc>
        <w:tc>
          <w:tcPr>
            <w:tcW w:w="340" w:type="dxa"/>
            <w:vAlign w:val="bottom"/>
          </w:tcPr>
          <w:p>
            <w:pPr>
              <w:spacing w:after="0"/>
              <w:rPr>
                <w:sz w:val="18"/>
                <w:szCs w:val="18"/>
                <w:color w:val="auto"/>
              </w:rPr>
            </w:pPr>
          </w:p>
        </w:tc>
        <w:tc>
          <w:tcPr>
            <w:tcW w:w="1180" w:type="dxa"/>
            <w:vAlign w:val="bottom"/>
          </w:tcPr>
          <w:p>
            <w:pPr>
              <w:jc w:val="right"/>
              <w:ind w:right="496"/>
              <w:spacing w:after="0"/>
              <w:rPr>
                <w:sz w:val="20"/>
                <w:szCs w:val="20"/>
                <w:color w:val="auto"/>
              </w:rPr>
            </w:pPr>
            <w:r>
              <w:rPr>
                <w:rFonts w:ascii="Arial" w:cs="Arial" w:eastAsia="Arial" w:hAnsi="Arial"/>
                <w:sz w:val="15"/>
                <w:szCs w:val="15"/>
                <w:b w:val="1"/>
                <w:bCs w:val="1"/>
                <w:color w:val="auto"/>
              </w:rPr>
              <w:t>Total</w:t>
            </w:r>
          </w:p>
        </w:tc>
      </w:tr>
      <w:tr>
        <w:trPr>
          <w:trHeight w:val="238"/>
        </w:trPr>
        <w:tc>
          <w:tcPr>
            <w:tcW w:w="4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United States</w:t>
            </w:r>
          </w:p>
        </w:tc>
        <w:tc>
          <w:tcPr>
            <w:tcW w:w="240" w:type="dxa"/>
            <w:vAlign w:val="bottom"/>
            <w:tcBorders>
              <w:top w:val="single" w:sz="8" w:color="auto"/>
              <w:bottom w:val="single" w:sz="8" w:color="CFF0FC"/>
            </w:tcBorders>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CFF0FC"/>
            </w:tcBorders>
            <w:shd w:val="clear" w:color="auto" w:fill="CFF0FC"/>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56,250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CFF0FC"/>
            </w:tcBorders>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37,500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168,750</w:t>
            </w: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color w:val="auto"/>
              </w:rPr>
              <w:t>European Union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135,000</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Japan</w:t>
            </w:r>
          </w:p>
        </w:tc>
        <w:tc>
          <w:tcPr>
            <w:tcW w:w="24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22,500</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67,500</w:t>
            </w:r>
          </w:p>
        </w:tc>
      </w:tr>
      <w:tr>
        <w:trPr>
          <w:trHeight w:val="223"/>
        </w:trPr>
        <w:tc>
          <w:tcPr>
            <w:tcW w:w="474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165,000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123,750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82,500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371,250</w:t>
            </w:r>
          </w:p>
        </w:tc>
      </w:tr>
      <w:tr>
        <w:trPr>
          <w:trHeight w:val="27"/>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Related Party Revenue</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recognized revenue from its collaboration and license agreements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right="19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25"/>
        </w:trPr>
        <w:tc>
          <w:tcPr>
            <w:tcW w:w="6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5"/>
                <w:szCs w:val="15"/>
                <w:b w:val="1"/>
                <w:bCs w:val="1"/>
                <w:color w:val="auto"/>
              </w:rPr>
              <w:t>2020</w:t>
            </w:r>
          </w:p>
        </w:tc>
      </w:tr>
      <w:tr>
        <w:trPr>
          <w:trHeight w:val="230"/>
        </w:trPr>
        <w:tc>
          <w:tcPr>
            <w:tcW w:w="6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Related party revenue</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55,333</w:t>
            </w:r>
          </w:p>
        </w:tc>
        <w:tc>
          <w:tcPr>
            <w:tcW w:w="52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77,882</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87,368</w:t>
            </w:r>
          </w:p>
        </w:tc>
      </w:tr>
      <w:tr>
        <w:trPr>
          <w:trHeight w:val="27"/>
        </w:trPr>
        <w:tc>
          <w:tcPr>
            <w:tcW w:w="63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r>
    </w:tbl>
    <w:p>
      <w:pPr>
        <w:spacing w:after="0" w:line="19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For the year ended December 31, 2022, the Company recognized collaboration and license revenue of $55.3 million primarily related to reimbursable R&amp;D activities associated with the performance obligation under the Amended Collaboration Agreement under which Merck is providing significantly less annual R&amp;D funding than it had provided through March 31, 2022. Revenue recognized related to the reimbursable R&amp;D activities was recognized using the cost-based input model related to R&amp;D activities.</w:t>
      </w:r>
    </w:p>
    <w:p>
      <w:pPr>
        <w:spacing w:after="0" w:line="9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For the year ended December 31, 2021, the Company recognized collaboration and license revenue of $77.9 million primarily related to reimbursable R&amp;D activities associated with the performance obligation for the two-year extension period through March 31, 2021 under the Original Collaboration Agreement and from April 1, 2021 through December 31, 2021 under the Amended Collaboration Agreement, all of which were recognized using the cost-based input model.</w:t>
      </w:r>
    </w:p>
    <w:p>
      <w:pPr>
        <w:spacing w:after="0" w:line="9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For the year ended December 31, 2020, the Company recognized collaboration and license revenue under the Original Collaboration Agreement of $87.4 million primarily related to reimbursable R&amp;D activities, including $61.8 million associated with the performance obligation for the prior two-year extension period under the Original Collaboration Agreement, and $4.9 million related to collaboration and license revenue earned under the initial five-year term that ended in March 2020. Revenue related to reimbursable R&amp;D activities was recognized using the cost-based input model.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Contract Assets and Liabilities</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Amounts recognized as revenue prior to the Company having an unconditional right (or a right that is conditioned only on the passage of time) to receipt are recorded as contract assets in the Company's consolidated balance sheets. If the Company expects to have an unconditional right to receive the consideration in the next twelve months, the contract asset will be classified in current assets. As of December 31, 2022 and 2021, the Company did not have a related party contract asset.</w:t>
      </w:r>
    </w:p>
    <w:p>
      <w:pPr>
        <w:spacing w:after="0" w:line="9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Amounts received prior to satisfying the revenue recognition criteria are recorded as contract liabilities in the Company’s consolidated balance sheets. If the related performance obligation is expected to be satisfied within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1" w:name="page122"/>
    <w:bookmarkEnd w:id="121"/>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next twelve months, the contract liability will be classified in current liabilities. As of December 31, 2022 and December 31, 2021, the Company recorded contract liabilities of $0.4 million and $17.8 million, respectively.</w:t>
      </w:r>
    </w:p>
    <w:p>
      <w:pPr>
        <w:spacing w:after="0" w:line="167" w:lineRule="exact"/>
        <w:rPr>
          <w:sz w:val="20"/>
          <w:szCs w:val="20"/>
          <w:color w:val="auto"/>
        </w:rPr>
      </w:pPr>
    </w:p>
    <w:p>
      <w:pPr>
        <w:ind w:right="8000" w:firstLine="3"/>
        <w:spacing w:after="0" w:line="392" w:lineRule="auto"/>
        <w:tabs>
          <w:tab w:leader="none" w:pos="334"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Leases and Lease Guarantee</w:t>
      </w:r>
    </w:p>
    <w:p>
      <w:pPr>
        <w:jc w:val="both"/>
        <w:ind w:firstLine="619"/>
        <w:spacing w:after="0" w:line="255" w:lineRule="auto"/>
        <w:rPr>
          <w:sz w:val="20"/>
          <w:szCs w:val="20"/>
          <w:color w:val="auto"/>
        </w:rPr>
      </w:pPr>
      <w:r>
        <w:rPr>
          <w:rFonts w:ascii="Arial" w:cs="Arial" w:eastAsia="Arial" w:hAnsi="Arial"/>
          <w:sz w:val="17"/>
          <w:szCs w:val="17"/>
          <w:color w:val="auto"/>
        </w:rPr>
        <w:t>In December 2015, the Company entered into an operating lease agreement, or the 333 Oyster Point lease agreement, for its corporate office space and facilities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As of December 31, 2022, restricted cash on the Company's consolidated balance sheets included a letter of credit in the amount of $1.5 million required under the 333 Oyster Point lease agreement.</w:t>
      </w:r>
    </w:p>
    <w:p>
      <w:pPr>
        <w:spacing w:after="0" w:line="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December 31, 2022, the weighted-average remaining lease term for the 333 Oyster Point lease agreement was 1 year and the weighted-average discount rate used to determine the Company's operating lease liability was 2.85%. Cash paid for amounts included in the measurement of the lease liabilities were $5.3 million and $5.1 million for the years ended December 31, 2022 and December 31, 2021, respectively.</w:t>
      </w:r>
    </w:p>
    <w:p>
      <w:pPr>
        <w:spacing w:after="0" w:line="2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During the year ended December 31, 2022, the components of lease costs, which were included in general and administrative expenses on the Company's consolidated statements of operations,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5"/>
                <w:szCs w:val="15"/>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10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rPr>
              <w:t>2022</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Operating lease costs</w:t>
            </w:r>
          </w:p>
        </w:tc>
        <w:tc>
          <w:tcPr>
            <w:tcW w:w="1340" w:type="dxa"/>
            <w:vAlign w:val="bottom"/>
            <w:tcBorders>
              <w:bottom w:val="single" w:sz="8" w:color="CFF0FC"/>
            </w:tcBorders>
            <w:shd w:val="clear" w:color="auto" w:fill="CFF0FC"/>
          </w:tcPr>
          <w:p>
            <w:pPr>
              <w:jc w:val="right"/>
              <w:ind w:right="1138"/>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2,166</w:t>
            </w: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113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2,166</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7"/>
                <w:szCs w:val="17"/>
                <w:color w:val="auto"/>
              </w:rPr>
              <w:t>Variable lease costs (1)</w:t>
            </w:r>
          </w:p>
        </w:tc>
        <w:tc>
          <w:tcPr>
            <w:tcW w:w="1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1,286</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lease costs</w:t>
            </w:r>
          </w:p>
        </w:tc>
        <w:tc>
          <w:tcPr>
            <w:tcW w:w="1340" w:type="dxa"/>
            <w:vAlign w:val="bottom"/>
            <w:tcBorders>
              <w:bottom w:val="single" w:sz="8" w:color="auto"/>
            </w:tcBorders>
            <w:shd w:val="clear" w:color="auto" w:fill="CFF0FC"/>
          </w:tcPr>
          <w:p>
            <w:pPr>
              <w:jc w:val="right"/>
              <w:ind w:right="1138"/>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3,452</w:t>
            </w: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auto"/>
            </w:tcBorders>
            <w:shd w:val="clear" w:color="auto" w:fill="CFF0FC"/>
          </w:tcPr>
          <w:p>
            <w:pPr>
              <w:jc w:val="right"/>
              <w:ind w:right="113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3,401</w:t>
            </w: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_________________</w:t>
            </w: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7100" w:type="dxa"/>
            <w:vAlign w:val="bottom"/>
            <w:vMerge w:val="continue"/>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firstLine="3"/>
        <w:spacing w:after="0" w:line="237" w:lineRule="auto"/>
        <w:tabs>
          <w:tab w:leader="none" w:pos="214" w:val="left"/>
        </w:tabs>
        <w:numPr>
          <w:ilvl w:val="0"/>
          <w:numId w:val="49"/>
        </w:numPr>
        <w:rPr>
          <w:rFonts w:ascii="Arial" w:cs="Arial" w:eastAsia="Arial" w:hAnsi="Arial"/>
          <w:sz w:val="14"/>
          <w:szCs w:val="14"/>
          <w:color w:val="auto"/>
        </w:rPr>
      </w:pPr>
      <w:r>
        <w:rPr>
          <w:rFonts w:ascii="Arial" w:cs="Arial" w:eastAsia="Arial" w:hAnsi="Arial"/>
          <w:sz w:val="14"/>
          <w:szCs w:val="14"/>
          <w:color w:val="auto"/>
        </w:rPr>
        <w:t>Variable lease costs include certain additional charges for operating costs, including insurance, maintenance, taxes and other costs incurred, which are billed based on both usage and as a percentage of the Company’s share of total square footage.</w:t>
      </w:r>
    </w:p>
    <w:p>
      <w:pPr>
        <w:spacing w:after="0" w:line="102"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As of December 31, 2022, the maturities of the Company’s operating lease liabilities and future minimum lease payments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113905" cy="139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p>
      <w:pPr>
        <w:spacing w:after="0" w:line="123" w:lineRule="exact"/>
        <w:rPr>
          <w:sz w:val="20"/>
          <w:szCs w:val="20"/>
          <w:color w:val="auto"/>
        </w:rPr>
      </w:pPr>
    </w:p>
    <w:p>
      <w:pPr>
        <w:ind w:left="20" w:right="3220"/>
        <w:spacing w:after="0" w:line="281" w:lineRule="auto"/>
        <w:rPr>
          <w:sz w:val="20"/>
          <w:szCs w:val="20"/>
          <w:color w:val="auto"/>
        </w:rPr>
      </w:pPr>
      <w:r>
        <w:rPr>
          <w:rFonts w:ascii="Arial" w:cs="Arial" w:eastAsia="Arial" w:hAnsi="Arial"/>
          <w:sz w:val="17"/>
          <w:szCs w:val="17"/>
          <w:color w:val="auto"/>
        </w:rPr>
        <w:t>Total undiscounted lease payments for the year ending December 31, 2023 Less: present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13905" cy="163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3905" cy="1638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Present value of lease liabilities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5,455</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(70)</w:t>
      </w:r>
    </w:p>
    <w:p>
      <w:pPr>
        <w:spacing w:after="0" w:line="37" w:lineRule="exact"/>
        <w:rPr>
          <w:sz w:val="20"/>
          <w:szCs w:val="20"/>
          <w:color w:val="auto"/>
        </w:rPr>
      </w:pPr>
    </w:p>
    <w:p>
      <w:pPr>
        <w:ind w:left="1020" w:hanging="1011"/>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5,385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9740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960" w:space="720"/>
            <w:col w:w="1560"/>
          </w:cols>
          <w:pgMar w:left="320" w:top="244" w:right="339" w:bottom="1440" w:gutter="0" w:footer="0" w:header="0"/>
          <w:type w:val="continuous"/>
        </w:sectPr>
      </w:pPr>
    </w:p>
    <w:p>
      <w:pPr>
        <w:spacing w:after="0" w:line="13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July 2022, the Company entered into an operating lease agreement, or the 2024 Lease Agreement, for its corporate office space and facilities at 333 Oyster Point Blvd., South San Francisco, California, which the Company currently occupies pursuant to a sublease agreement that is scheduled to expire on December 31, 2023. Pursuant to the 2024 Lease Agreement, the lease term with the new landlord begins on January 1, 2024 and expires on December 31, 2033, and the Company will pay an initial monthly base rent of approximately $0.9 million for the first year, which is subject to increase at an annual rate of 3.5% each year thereafter, plus certain operating and tax expenses. Base rent during the initial ten-year term of the 2024 Lease Agreement will total $124.1 million. The 2024 Lease Agreement provides a tenant improvement allowance of approximately $4.9 million. The Company has an option to extend the 2024 Lease Agreement for a period of either eight or ten years after the initial term. In July 2022, pursuant to the 2024 Lease Agreement, the Company provided the landlord with a letter of credit in the amount of $2.5 million, which the landlord may draw from upon the occurrence of certain events provided in the lease.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type w:val="continuous"/>
        </w:sectPr>
      </w:pPr>
    </w:p>
    <w:bookmarkStart w:id="122" w:name="page123"/>
    <w:bookmarkEnd w:id="122"/>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3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Company has 10.0 million shares of preferred stock authorized, which may be issued at the discretion of the Company’s board of directors. The board of directors may issue shares of preferred stock in one or more series and may fix the number, rights, preferences, privileges and restrictions on such shares. These rights, preferences and privileges could include dividend rights, conversion rights, voting rights, terms of redemption, liquidation preferences and sinking fund terms. As of December 31, 2022, the Company does not have any shares of preferred stock issued or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Offering of Common Stock</w:t>
      </w:r>
    </w:p>
    <w:p>
      <w:pPr>
        <w:spacing w:after="0" w:line="13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January 2021, the Company sold 5.3 million shares of its common stock through an underwritten public offering at a price to the public of $27.00 per share for aggregate net proceeds to the Company of $134.6 million, after deducting underwriting discounts and commissions and other offering expenses paid by the Company. The offering closed on January 8, 2021.</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2022 and 2021, the Company had 81.9 million and 78.0 million shares of common stock outstanding, respectively.</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had reserved the following shares of common stock for issuance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140" w:type="dxa"/>
            <w:vAlign w:val="bottom"/>
            <w:tcBorders>
              <w:bottom w:val="single" w:sz="8" w:color="auto"/>
            </w:tcBorders>
            <w:gridSpan w:val="3"/>
          </w:tcPr>
          <w:p>
            <w:pPr>
              <w:ind w:left="1080"/>
              <w:spacing w:after="0"/>
              <w:rPr>
                <w:sz w:val="20"/>
                <w:szCs w:val="20"/>
                <w:color w:val="auto"/>
              </w:rPr>
            </w:pPr>
            <w:r>
              <w:rPr>
                <w:rFonts w:ascii="Arial" w:cs="Arial" w:eastAsia="Arial" w:hAnsi="Arial"/>
                <w:sz w:val="15"/>
                <w:szCs w:val="15"/>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25"/>
        </w:trPr>
        <w:tc>
          <w:tcPr>
            <w:tcW w:w="80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38"/>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Reserve balance for Sales Agreement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10,937</w:t>
            </w: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14,183</w:t>
            </w:r>
          </w:p>
        </w:tc>
      </w:tr>
      <w:tr>
        <w:trPr>
          <w:trHeight w:val="230"/>
        </w:trPr>
        <w:tc>
          <w:tcPr>
            <w:tcW w:w="8060" w:type="dxa"/>
            <w:vAlign w:val="bottom"/>
          </w:tcPr>
          <w:p>
            <w:pPr>
              <w:ind w:left="20"/>
              <w:spacing w:after="0"/>
              <w:rPr>
                <w:sz w:val="20"/>
                <w:szCs w:val="20"/>
                <w:color w:val="auto"/>
              </w:rPr>
            </w:pPr>
            <w:r>
              <w:rPr>
                <w:rFonts w:ascii="Arial" w:cs="Arial" w:eastAsia="Arial" w:hAnsi="Arial"/>
                <w:sz w:val="17"/>
                <w:szCs w:val="17"/>
                <w:color w:val="auto"/>
              </w:rPr>
              <w:t>Common stock options outstanding</w:t>
            </w:r>
          </w:p>
        </w:tc>
        <w:tc>
          <w:tcPr>
            <w:tcW w:w="1520" w:type="dxa"/>
            <w:vAlign w:val="bottom"/>
          </w:tcPr>
          <w:p>
            <w:pPr>
              <w:jc w:val="right"/>
              <w:spacing w:after="0"/>
              <w:rPr>
                <w:sz w:val="20"/>
                <w:szCs w:val="20"/>
                <w:color w:val="auto"/>
              </w:rPr>
            </w:pPr>
            <w:r>
              <w:rPr>
                <w:rFonts w:ascii="Arial" w:cs="Arial" w:eastAsia="Arial" w:hAnsi="Arial"/>
                <w:sz w:val="17"/>
                <w:szCs w:val="17"/>
                <w:color w:val="auto"/>
              </w:rPr>
              <w:t>14,215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10,485</w:t>
            </w:r>
          </w:p>
        </w:tc>
      </w:tr>
      <w:tr>
        <w:trPr>
          <w:trHeight w:val="27"/>
        </w:trPr>
        <w:tc>
          <w:tcPr>
            <w:tcW w:w="8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Common stock options available for grant</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5,661</w:t>
            </w: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6,698</w:t>
            </w:r>
          </w:p>
        </w:tc>
      </w:tr>
      <w:tr>
        <w:trPr>
          <w:trHeight w:val="230"/>
        </w:trPr>
        <w:tc>
          <w:tcPr>
            <w:tcW w:w="8060" w:type="dxa"/>
            <w:vAlign w:val="bottom"/>
          </w:tcPr>
          <w:p>
            <w:pPr>
              <w:ind w:left="20"/>
              <w:spacing w:after="0"/>
              <w:rPr>
                <w:sz w:val="20"/>
                <w:szCs w:val="20"/>
                <w:color w:val="auto"/>
              </w:rPr>
            </w:pPr>
            <w:r>
              <w:rPr>
                <w:rFonts w:ascii="Arial" w:cs="Arial" w:eastAsia="Arial" w:hAnsi="Arial"/>
                <w:sz w:val="17"/>
                <w:szCs w:val="17"/>
                <w:color w:val="auto"/>
              </w:rPr>
              <w:t>ESPP shares available for purchase</w:t>
            </w:r>
          </w:p>
        </w:tc>
        <w:tc>
          <w:tcPr>
            <w:tcW w:w="152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507</w:t>
            </w:r>
          </w:p>
        </w:tc>
      </w:tr>
      <w:tr>
        <w:trPr>
          <w:trHeight w:val="27"/>
        </w:trPr>
        <w:tc>
          <w:tcPr>
            <w:tcW w:w="8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401(k) matching plan</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18</w:t>
            </w:r>
          </w:p>
        </w:tc>
      </w:tr>
      <w:tr>
        <w:trPr>
          <w:trHeight w:val="250"/>
        </w:trPr>
        <w:tc>
          <w:tcPr>
            <w:tcW w:w="8060" w:type="dxa"/>
            <w:vAlign w:val="bottom"/>
          </w:tcPr>
          <w:p>
            <w:pPr>
              <w:ind w:left="20"/>
              <w:spacing w:after="0"/>
              <w:rPr>
                <w:sz w:val="20"/>
                <w:szCs w:val="20"/>
                <w:color w:val="auto"/>
              </w:rPr>
            </w:pPr>
            <w:r>
              <w:rPr>
                <w:rFonts w:ascii="Arial" w:cs="Arial" w:eastAsia="Arial" w:hAnsi="Arial"/>
                <w:sz w:val="17"/>
                <w:szCs w:val="17"/>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31,269</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31,891</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Open Market Sale Agreement</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 During the year ended December 31, 2022, approximately 3.2 million shares were sold pursuant to the Sales Agreement for net proceeds to the Company of $49.4 million, after deducting issuance costs. As of December 31, 2022, $76.2 million of the Company’s common stock remained available to be sold under the Sales Agreement, subject to conditions specified in the Sales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13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2018, the Company adopted the 2018 Equity Incentive Plan, or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123" w:name="page124"/>
    <w:bookmarkEnd w:id="12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granted by the Company generally vest within four years and are exercisable from the grant date until ten years after the date of grant. Vesting of certain employee options may be accelerated in the event of a change in control of the Company. Pursuant to the terms of the 2018 Plan, the number of shares reserved and available to issue will automatically increase on January 1st of each year in an amount equal to 4% of the total number of common shares outstanding on the December 31st immediately preceding calendar year, unless the board of directors elects to forego or reduce such increase. As of December 31, 2022, 19.9 million shares of common stock had been authorized for issuance under the 2018 Plan and the Company's 2008 Equity Incentive Plan which expired in 2018.</w:t>
      </w:r>
    </w:p>
    <w:p>
      <w:pPr>
        <w:spacing w:after="0" w:line="95"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Stock options are governed by stock option agreements between the Company and recipients of stock options. The exercise price of each option may not be less than 100% of the fair market value of the common stock subject to the option on the date the option is granted. A 10% or greater stockholder may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of the Company’s board of directors, provided that the term of incentive stock options may not exceed ten years from the date of grant for options granted to those other than 10% stockholders.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Early Exercise of Stock Options</w:t>
      </w:r>
    </w:p>
    <w:p>
      <w:pPr>
        <w:spacing w:after="0" w:line="13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Company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Employee Stock Purchase Plan</w:t>
      </w:r>
    </w:p>
    <w:p>
      <w:pPr>
        <w:spacing w:after="0" w:line="134"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In March 2019, the Company adopted the ESPP. The Company reserved 1,000,000 shares of common stock pursuant to purchase rights granted to the Company’s employees. The ESPP provides that the number of shares reserved and available for issuance will automatically increase on January 1 of each calendar year, beginning January 1, 2020, by the lesser of (1) 1.0% of the total number of shares of common stock outstanding on December 31 of the preceding calendar year, (2) 1,000,000 shares or (3) a number determined by the Company’s board of directors that is less than (1) and (2). Under the ESPP, eligible employees are granted the right to purchase shares of the Company’s common stock through payroll deductions that cannot exceed 15.0%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ESPP is considered a compensatory plan. As of December 31, 2022, 736,170 shares of common stock had been purchased under the ESPP.</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4" w:name="page125"/>
    <w:bookmarkEnd w:id="124"/>
    <w:p>
      <w:pPr>
        <w:ind w:left="620"/>
        <w:spacing w:after="0"/>
        <w:rPr>
          <w:sz w:val="20"/>
          <w:szCs w:val="20"/>
          <w:color w:val="auto"/>
        </w:rPr>
      </w:pPr>
      <w:r>
        <w:rPr>
          <w:rFonts w:ascii="Arial" w:cs="Arial" w:eastAsia="Arial" w:hAnsi="Arial"/>
          <w:sz w:val="15"/>
          <w:szCs w:val="15"/>
          <w:color w:val="3051F2"/>
        </w:rPr>
        <w:t>Table of Contents</w:t>
      </w:r>
    </w:p>
    <w:p>
      <w:pPr>
        <w:sectPr>
          <w:pgSz w:w="11900" w:h="16838" w:orient="portrait"/>
          <w:cols w:equalWidth="0" w:num="1">
            <w:col w:w="11240"/>
          </w:cols>
          <w:pgMar w:left="320" w:top="2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activity under the 2008 Plan and the 2018 Plan is as follows:</w:t>
      </w:r>
    </w:p>
    <w:p>
      <w:pPr>
        <w:spacing w:after="0" w:line="331"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31750</wp:posOffset>
            </wp:positionV>
            <wp:extent cx="20059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52" w:lineRule="exact"/>
        <w:rPr>
          <w:sz w:val="20"/>
          <w:szCs w:val="20"/>
          <w:color w:val="auto"/>
        </w:rPr>
      </w:pPr>
    </w:p>
    <w:tbl>
      <w:tblPr>
        <w:tblLayout w:type="fixed"/>
        <w:tblInd w:w="5240" w:type="dxa"/>
        <w:tblCellMar>
          <w:top w:w="0" w:type="dxa"/>
          <w:left w:w="0" w:type="dxa"/>
          <w:bottom w:w="0" w:type="dxa"/>
          <w:right w:w="0" w:type="dxa"/>
        </w:tblCellMar>
      </w:tblPr>
      <w:tr>
        <w:trPr>
          <w:trHeight w:val="180"/>
        </w:trPr>
        <w:tc>
          <w:tcPr>
            <w:tcW w:w="1300" w:type="dxa"/>
            <w:vAlign w:val="bottom"/>
          </w:tcPr>
          <w:p>
            <w:pPr>
              <w:spacing w:after="0"/>
              <w:rPr>
                <w:sz w:val="15"/>
                <w:szCs w:val="15"/>
                <w:color w:val="auto"/>
              </w:rPr>
            </w:pPr>
          </w:p>
        </w:tc>
        <w:tc>
          <w:tcPr>
            <w:tcW w:w="1120" w:type="dxa"/>
            <w:vAlign w:val="bottom"/>
          </w:tcPr>
          <w:p>
            <w:pPr>
              <w:jc w:val="center"/>
              <w:ind w:left="343"/>
              <w:spacing w:after="0"/>
              <w:rPr>
                <w:sz w:val="20"/>
                <w:szCs w:val="20"/>
                <w:color w:val="auto"/>
              </w:rPr>
            </w:pPr>
            <w:r>
              <w:rPr>
                <w:rFonts w:ascii="Arial" w:cs="Arial" w:eastAsia="Arial" w:hAnsi="Arial"/>
                <w:sz w:val="15"/>
                <w:szCs w:val="15"/>
                <w:b w:val="1"/>
                <w:bCs w:val="1"/>
                <w:color w:val="auto"/>
              </w:rPr>
              <w:t>Weighted</w:t>
            </w:r>
          </w:p>
        </w:tc>
      </w:tr>
      <w:tr>
        <w:trPr>
          <w:trHeight w:val="180"/>
        </w:trPr>
        <w:tc>
          <w:tcPr>
            <w:tcW w:w="1300" w:type="dxa"/>
            <w:vAlign w:val="bottom"/>
          </w:tcPr>
          <w:p>
            <w:pPr>
              <w:jc w:val="center"/>
              <w:ind w:right="363"/>
              <w:spacing w:after="0"/>
              <w:rPr>
                <w:sz w:val="20"/>
                <w:szCs w:val="20"/>
                <w:color w:val="auto"/>
              </w:rPr>
            </w:pPr>
            <w:r>
              <w:rPr>
                <w:rFonts w:ascii="Arial" w:cs="Arial" w:eastAsia="Arial" w:hAnsi="Arial"/>
                <w:sz w:val="15"/>
                <w:szCs w:val="15"/>
                <w:b w:val="1"/>
                <w:bCs w:val="1"/>
                <w:color w:val="auto"/>
              </w:rPr>
              <w:t>Number of</w:t>
            </w:r>
          </w:p>
        </w:tc>
        <w:tc>
          <w:tcPr>
            <w:tcW w:w="1120" w:type="dxa"/>
            <w:vAlign w:val="bottom"/>
          </w:tcPr>
          <w:p>
            <w:pPr>
              <w:jc w:val="center"/>
              <w:ind w:left="323"/>
              <w:spacing w:after="0"/>
              <w:rPr>
                <w:sz w:val="20"/>
                <w:szCs w:val="20"/>
                <w:color w:val="auto"/>
              </w:rPr>
            </w:pPr>
            <w:r>
              <w:rPr>
                <w:rFonts w:ascii="Arial" w:cs="Arial" w:eastAsia="Arial" w:hAnsi="Arial"/>
                <w:sz w:val="15"/>
                <w:szCs w:val="15"/>
                <w:b w:val="1"/>
                <w:bCs w:val="1"/>
                <w:color w:val="auto"/>
              </w:rPr>
              <w:t>Average</w:t>
            </w:r>
          </w:p>
        </w:tc>
      </w:tr>
      <w:tr>
        <w:trPr>
          <w:trHeight w:val="193"/>
        </w:trPr>
        <w:tc>
          <w:tcPr>
            <w:tcW w:w="1300" w:type="dxa"/>
            <w:vAlign w:val="bottom"/>
          </w:tcPr>
          <w:p>
            <w:pPr>
              <w:jc w:val="center"/>
              <w:ind w:right="363"/>
              <w:spacing w:after="0"/>
              <w:rPr>
                <w:sz w:val="20"/>
                <w:szCs w:val="20"/>
                <w:color w:val="auto"/>
              </w:rPr>
            </w:pPr>
            <w:r>
              <w:rPr>
                <w:rFonts w:ascii="Arial" w:cs="Arial" w:eastAsia="Arial" w:hAnsi="Arial"/>
                <w:sz w:val="15"/>
                <w:szCs w:val="15"/>
                <w:b w:val="1"/>
                <w:bCs w:val="1"/>
                <w:color w:val="auto"/>
              </w:rPr>
              <w:t>Options (in</w:t>
            </w:r>
          </w:p>
        </w:tc>
        <w:tc>
          <w:tcPr>
            <w:tcW w:w="1120" w:type="dxa"/>
            <w:vAlign w:val="bottom"/>
          </w:tcPr>
          <w:p>
            <w:pPr>
              <w:jc w:val="center"/>
              <w:ind w:left="323"/>
              <w:spacing w:after="0"/>
              <w:rPr>
                <w:sz w:val="20"/>
                <w:szCs w:val="20"/>
                <w:color w:val="auto"/>
              </w:rPr>
            </w:pPr>
            <w:r>
              <w:rPr>
                <w:rFonts w:ascii="Arial" w:cs="Arial" w:eastAsia="Arial" w:hAnsi="Arial"/>
                <w:sz w:val="15"/>
                <w:szCs w:val="15"/>
                <w:b w:val="1"/>
                <w:bCs w:val="1"/>
                <w:color w:val="auto"/>
              </w:rPr>
              <w:t>Exercise</w:t>
            </w:r>
          </w:p>
        </w:tc>
      </w:tr>
      <w:tr>
        <w:trPr>
          <w:trHeight w:val="204"/>
        </w:trPr>
        <w:tc>
          <w:tcPr>
            <w:tcW w:w="1300" w:type="dxa"/>
            <w:vAlign w:val="bottom"/>
          </w:tcPr>
          <w:p>
            <w:pPr>
              <w:jc w:val="center"/>
              <w:ind w:right="343"/>
              <w:spacing w:after="0"/>
              <w:rPr>
                <w:sz w:val="20"/>
                <w:szCs w:val="20"/>
                <w:color w:val="auto"/>
              </w:rPr>
            </w:pPr>
            <w:r>
              <w:rPr>
                <w:rFonts w:ascii="Arial" w:cs="Arial" w:eastAsia="Arial" w:hAnsi="Arial"/>
                <w:sz w:val="15"/>
                <w:szCs w:val="15"/>
                <w:b w:val="1"/>
                <w:bCs w:val="1"/>
                <w:color w:val="auto"/>
              </w:rPr>
              <w:t>Thousands)</w:t>
            </w:r>
          </w:p>
        </w:tc>
        <w:tc>
          <w:tcPr>
            <w:tcW w:w="1120" w:type="dxa"/>
            <w:vAlign w:val="bottom"/>
          </w:tcPr>
          <w:p>
            <w:pPr>
              <w:jc w:val="center"/>
              <w:ind w:left="343"/>
              <w:spacing w:after="0"/>
              <w:rPr>
                <w:sz w:val="20"/>
                <w:szCs w:val="20"/>
                <w:color w:val="auto"/>
              </w:rPr>
            </w:pPr>
            <w:r>
              <w:rPr>
                <w:rFonts w:ascii="Arial" w:cs="Arial" w:eastAsia="Arial" w:hAnsi="Arial"/>
                <w:sz w:val="15"/>
                <w:szCs w:val="15"/>
                <w:b w:val="1"/>
                <w:bCs w:val="1"/>
                <w:color w:val="auto"/>
              </w:rPr>
              <w:t>Price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80" w:type="dxa"/>
            <w:vAlign w:val="bottom"/>
          </w:tcPr>
          <w:p>
            <w:pPr>
              <w:jc w:val="center"/>
              <w:ind w:right="23"/>
              <w:spacing w:after="0"/>
              <w:rPr>
                <w:sz w:val="20"/>
                <w:szCs w:val="20"/>
                <w:color w:val="auto"/>
              </w:rPr>
            </w:pPr>
            <w:r>
              <w:rPr>
                <w:rFonts w:ascii="Arial" w:cs="Arial" w:eastAsia="Arial" w:hAnsi="Arial"/>
                <w:sz w:val="15"/>
                <w:szCs w:val="15"/>
                <w:b w:val="1"/>
                <w:bCs w:val="1"/>
                <w:color w:val="auto"/>
              </w:rPr>
              <w:t>Weighted</w:t>
            </w:r>
          </w:p>
        </w:tc>
        <w:tc>
          <w:tcPr>
            <w:tcW w:w="1660" w:type="dxa"/>
            <w:vAlign w:val="bottom"/>
          </w:tcPr>
          <w:p>
            <w:pPr>
              <w:spacing w:after="0"/>
              <w:rPr>
                <w:sz w:val="15"/>
                <w:szCs w:val="15"/>
                <w:color w:val="auto"/>
              </w:rPr>
            </w:pPr>
          </w:p>
        </w:tc>
      </w:tr>
      <w:tr>
        <w:trPr>
          <w:trHeight w:val="180"/>
        </w:trPr>
        <w:tc>
          <w:tcPr>
            <w:tcW w:w="1280" w:type="dxa"/>
            <w:vAlign w:val="bottom"/>
          </w:tcPr>
          <w:p>
            <w:pPr>
              <w:jc w:val="center"/>
              <w:ind w:right="23"/>
              <w:spacing w:after="0"/>
              <w:rPr>
                <w:sz w:val="20"/>
                <w:szCs w:val="20"/>
                <w:color w:val="auto"/>
              </w:rPr>
            </w:pPr>
            <w:r>
              <w:rPr>
                <w:rFonts w:ascii="Arial" w:cs="Arial" w:eastAsia="Arial" w:hAnsi="Arial"/>
                <w:sz w:val="15"/>
                <w:szCs w:val="15"/>
                <w:b w:val="1"/>
                <w:bCs w:val="1"/>
                <w:color w:val="auto"/>
              </w:rPr>
              <w:t>Average</w:t>
            </w:r>
          </w:p>
        </w:tc>
        <w:tc>
          <w:tcPr>
            <w:tcW w:w="1660" w:type="dxa"/>
            <w:vAlign w:val="bottom"/>
          </w:tcPr>
          <w:p>
            <w:pPr>
              <w:spacing w:after="0"/>
              <w:rPr>
                <w:sz w:val="15"/>
                <w:szCs w:val="15"/>
                <w:color w:val="auto"/>
              </w:rPr>
            </w:pPr>
          </w:p>
        </w:tc>
      </w:tr>
      <w:tr>
        <w:trPr>
          <w:trHeight w:val="193"/>
        </w:trPr>
        <w:tc>
          <w:tcPr>
            <w:tcW w:w="1280" w:type="dxa"/>
            <w:vAlign w:val="bottom"/>
          </w:tcPr>
          <w:p>
            <w:pPr>
              <w:jc w:val="center"/>
              <w:ind w:right="23"/>
              <w:spacing w:after="0"/>
              <w:rPr>
                <w:sz w:val="20"/>
                <w:szCs w:val="20"/>
                <w:color w:val="auto"/>
              </w:rPr>
            </w:pPr>
            <w:r>
              <w:rPr>
                <w:rFonts w:ascii="Arial" w:cs="Arial" w:eastAsia="Arial" w:hAnsi="Arial"/>
                <w:sz w:val="15"/>
                <w:szCs w:val="15"/>
                <w:b w:val="1"/>
                <w:bCs w:val="1"/>
                <w:color w:val="auto"/>
              </w:rPr>
              <w:t>Remaining</w:t>
            </w:r>
          </w:p>
        </w:tc>
        <w:tc>
          <w:tcPr>
            <w:tcW w:w="1660" w:type="dxa"/>
            <w:vAlign w:val="bottom"/>
          </w:tcPr>
          <w:p>
            <w:pPr>
              <w:jc w:val="center"/>
              <w:ind w:left="23"/>
              <w:spacing w:after="0"/>
              <w:rPr>
                <w:sz w:val="20"/>
                <w:szCs w:val="20"/>
                <w:color w:val="auto"/>
              </w:rPr>
            </w:pPr>
            <w:r>
              <w:rPr>
                <w:rFonts w:ascii="Arial" w:cs="Arial" w:eastAsia="Arial" w:hAnsi="Arial"/>
                <w:sz w:val="15"/>
                <w:szCs w:val="15"/>
                <w:b w:val="1"/>
                <w:bCs w:val="1"/>
                <w:color w:val="auto"/>
              </w:rPr>
              <w:t>Aggregate</w:t>
            </w:r>
          </w:p>
        </w:tc>
      </w:tr>
      <w:tr>
        <w:trPr>
          <w:trHeight w:val="180"/>
        </w:trPr>
        <w:tc>
          <w:tcPr>
            <w:tcW w:w="1280" w:type="dxa"/>
            <w:vAlign w:val="bottom"/>
          </w:tcPr>
          <w:p>
            <w:pPr>
              <w:jc w:val="center"/>
              <w:ind w:right="23"/>
              <w:spacing w:after="0"/>
              <w:rPr>
                <w:sz w:val="20"/>
                <w:szCs w:val="20"/>
                <w:color w:val="auto"/>
              </w:rPr>
            </w:pPr>
            <w:r>
              <w:rPr>
                <w:rFonts w:ascii="Arial" w:cs="Arial" w:eastAsia="Arial" w:hAnsi="Arial"/>
                <w:sz w:val="15"/>
                <w:szCs w:val="15"/>
                <w:b w:val="1"/>
                <w:bCs w:val="1"/>
                <w:color w:val="auto"/>
              </w:rPr>
              <w:t>Contractual Life</w:t>
            </w:r>
          </w:p>
        </w:tc>
        <w:tc>
          <w:tcPr>
            <w:tcW w:w="1660" w:type="dxa"/>
            <w:vAlign w:val="bottom"/>
          </w:tcPr>
          <w:p>
            <w:pPr>
              <w:jc w:val="center"/>
              <w:ind w:left="23"/>
              <w:spacing w:after="0"/>
              <w:rPr>
                <w:sz w:val="20"/>
                <w:szCs w:val="20"/>
                <w:color w:val="auto"/>
              </w:rPr>
            </w:pPr>
            <w:r>
              <w:rPr>
                <w:rFonts w:ascii="Arial" w:cs="Arial" w:eastAsia="Arial" w:hAnsi="Arial"/>
                <w:sz w:val="15"/>
                <w:szCs w:val="15"/>
                <w:b w:val="1"/>
                <w:bCs w:val="1"/>
                <w:color w:val="auto"/>
              </w:rPr>
              <w:t>Intrinsic</w:t>
            </w:r>
          </w:p>
        </w:tc>
      </w:tr>
      <w:tr>
        <w:trPr>
          <w:trHeight w:val="204"/>
        </w:trPr>
        <w:tc>
          <w:tcPr>
            <w:tcW w:w="1280" w:type="dxa"/>
            <w:vAlign w:val="bottom"/>
          </w:tcPr>
          <w:p>
            <w:pPr>
              <w:jc w:val="center"/>
              <w:ind w:right="23"/>
              <w:spacing w:after="0"/>
              <w:rPr>
                <w:sz w:val="20"/>
                <w:szCs w:val="20"/>
                <w:color w:val="auto"/>
              </w:rPr>
            </w:pPr>
            <w:r>
              <w:rPr>
                <w:rFonts w:ascii="Arial" w:cs="Arial" w:eastAsia="Arial" w:hAnsi="Arial"/>
                <w:sz w:val="15"/>
                <w:szCs w:val="15"/>
                <w:b w:val="1"/>
                <w:bCs w:val="1"/>
                <w:color w:val="auto"/>
              </w:rPr>
              <w:t>(In Years)</w:t>
            </w:r>
          </w:p>
        </w:tc>
        <w:tc>
          <w:tcPr>
            <w:tcW w:w="1660" w:type="dxa"/>
            <w:vAlign w:val="bottom"/>
          </w:tcPr>
          <w:p>
            <w:pPr>
              <w:jc w:val="center"/>
              <w:ind w:left="23"/>
              <w:spacing w:after="0"/>
              <w:rPr>
                <w:sz w:val="20"/>
                <w:szCs w:val="20"/>
                <w:color w:val="auto"/>
              </w:rPr>
            </w:pPr>
            <w:r>
              <w:rPr>
                <w:rFonts w:ascii="Arial" w:cs="Arial" w:eastAsia="Arial" w:hAnsi="Arial"/>
                <w:sz w:val="15"/>
                <w:szCs w:val="15"/>
                <w:b w:val="1"/>
                <w:bCs w:val="1"/>
                <w:color w:val="auto"/>
              </w:rPr>
              <w:t>Value (In Thousands)</w:t>
            </w:r>
          </w:p>
        </w:tc>
      </w:tr>
    </w:tbl>
    <w:p>
      <w:pPr>
        <w:spacing w:after="0" w:line="11" w:lineRule="exact"/>
        <w:rPr>
          <w:sz w:val="20"/>
          <w:szCs w:val="20"/>
          <w:color w:val="auto"/>
        </w:rPr>
      </w:pPr>
    </w:p>
    <w:p>
      <w:pPr>
        <w:sectPr>
          <w:pgSz w:w="11900" w:h="16838" w:orient="portrait"/>
          <w:cols w:equalWidth="0" w:num="2">
            <w:col w:w="7660" w:space="540"/>
            <w:col w:w="3040"/>
          </w:cols>
          <w:pgMar w:left="320" w:top="244"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10,485</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w:t>
            </w: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52,349</w:t>
            </w:r>
          </w:p>
        </w:tc>
      </w:tr>
      <w:tr>
        <w:trPr>
          <w:trHeight w:val="218"/>
        </w:trPr>
        <w:tc>
          <w:tcPr>
            <w:tcW w:w="492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4,925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12.82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4920" w:type="dxa"/>
            <w:vAlign w:val="bottom"/>
          </w:tcPr>
          <w:p>
            <w:pPr>
              <w:ind w:left="120"/>
              <w:spacing w:after="0"/>
              <w:rPr>
                <w:sz w:val="20"/>
                <w:szCs w:val="20"/>
                <w:color w:val="auto"/>
              </w:rPr>
            </w:pPr>
            <w:r>
              <w:rPr>
                <w:rFonts w:ascii="Arial" w:cs="Arial" w:eastAsia="Arial" w:hAnsi="Arial"/>
                <w:sz w:val="17"/>
                <w:szCs w:val="17"/>
                <w:color w:val="auto"/>
              </w:rPr>
              <w:t>Options forfeited</w:t>
            </w:r>
          </w:p>
        </w:tc>
        <w:tc>
          <w:tcPr>
            <w:tcW w:w="1520" w:type="dxa"/>
            <w:vAlign w:val="bottom"/>
          </w:tcPr>
          <w:p>
            <w:pPr>
              <w:jc w:val="right"/>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4920" w:type="dxa"/>
            <w:vAlign w:val="bottom"/>
          </w:tcPr>
          <w:p>
            <w:pPr>
              <w:ind w:left="20"/>
              <w:spacing w:after="0"/>
              <w:rPr>
                <w:sz w:val="20"/>
                <w:szCs w:val="20"/>
                <w:color w:val="auto"/>
              </w:rPr>
            </w:pPr>
            <w:r>
              <w:rPr>
                <w:rFonts w:ascii="Arial" w:cs="Arial" w:eastAsia="Arial" w:hAnsi="Arial"/>
                <w:sz w:val="17"/>
                <w:szCs w:val="17"/>
                <w:color w:val="auto"/>
              </w:rPr>
              <w:t>Balances at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1,749</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and expected to vest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13,646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920" w:type="dxa"/>
            <w:vAlign w:val="bottom"/>
          </w:tcPr>
          <w:p>
            <w:pPr>
              <w:ind w:left="20"/>
              <w:spacing w:after="0" w:line="191" w:lineRule="exact"/>
              <w:rPr>
                <w:sz w:val="20"/>
                <w:szCs w:val="20"/>
                <w:color w:val="auto"/>
              </w:rPr>
            </w:pPr>
            <w:r>
              <w:rPr>
                <w:rFonts w:ascii="Arial" w:cs="Arial" w:eastAsia="Arial" w:hAnsi="Arial"/>
                <w:sz w:val="17"/>
                <w:szCs w:val="17"/>
                <w:color w:val="auto"/>
              </w:rPr>
              <w:t>Exercisable at December 31, 2022</w:t>
            </w:r>
          </w:p>
        </w:tc>
        <w:tc>
          <w:tcPr>
            <w:tcW w:w="15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9,087</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374"/>
              <w:spacing w:after="0" w:line="191"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13.99</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5.63</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14"/>
              <w:spacing w:after="0" w:line="191"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1,749</w:t>
            </w:r>
          </w:p>
        </w:tc>
      </w:tr>
      <w:tr>
        <w:trPr>
          <w:trHeight w:val="20"/>
        </w:trPr>
        <w:tc>
          <w:tcPr>
            <w:tcW w:w="49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aggregate intrinsic values of options outstanding, vested and expected to vest, and exercisable were calculated as the difference between the exercise price of the options and the estimated fair value of the Company’s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Stock-based compensation expense for stock options was calculated based on awards previously granted to employees, directors and non-employees that are ultimately expected to vest and has been reduced for estimated forfeitures.</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Stock-based compensation expense was allocated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25"/>
        </w:trPr>
        <w:tc>
          <w:tcPr>
            <w:tcW w:w="63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2020</w:t>
            </w:r>
          </w:p>
        </w:tc>
      </w:tr>
      <w:tr>
        <w:trPr>
          <w:trHeight w:val="238"/>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Research and development</w:t>
            </w:r>
          </w:p>
        </w:tc>
        <w:tc>
          <w:tcPr>
            <w:tcW w:w="34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17,875</w:t>
            </w:r>
          </w:p>
        </w:tc>
        <w:tc>
          <w:tcPr>
            <w:tcW w:w="52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14,271</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8,339</w:t>
            </w:r>
          </w:p>
        </w:tc>
      </w:tr>
      <w:tr>
        <w:trPr>
          <w:trHeight w:val="230"/>
        </w:trPr>
        <w:tc>
          <w:tcPr>
            <w:tcW w:w="63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14,508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11,971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7,312</w:t>
            </w:r>
          </w:p>
        </w:tc>
      </w:tr>
      <w:tr>
        <w:trPr>
          <w:trHeight w:val="27"/>
        </w:trPr>
        <w:tc>
          <w:tcPr>
            <w:tcW w:w="63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0"/>
        </w:trPr>
        <w:tc>
          <w:tcPr>
            <w:tcW w:w="6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stock-based compensation expense</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32,383</w:t>
            </w:r>
          </w:p>
        </w:tc>
        <w:tc>
          <w:tcPr>
            <w:tcW w:w="520" w:type="dxa"/>
            <w:vAlign w:val="bottom"/>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26,242</w:t>
            </w:r>
          </w:p>
        </w:tc>
        <w:tc>
          <w:tcPr>
            <w:tcW w:w="10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15,651</w:t>
            </w: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Stock-based compensation expense included expense related to the ESPP of $2.9 million, $1.6 million and $1.2 million for the years ended December 31, 2022, 2021 and 2020,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Assumptions</w:t>
      </w:r>
    </w:p>
    <w:p>
      <w:pPr>
        <w:spacing w:after="0" w:line="13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91"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expected volatility is based on the historical volatility of the Company's stock and the stock of similar entities within the Company’s industry over periods commensurate with the Company’s expected term assumption. The expected term of stock option grants represents the weighted-average period the options are expected to remain outstanding and is based on the “simplified” method where the expected term is the midpoint between the vesting date and the end of the contractual term for each option. The Company bases the risk-free interest rate on the interest rate payable on U.S. Treasury securities in effect at the time of grant for a period that is commensurate with the assumed expected option term. In reference to the expected dividend yield assumption, the Company has not historically paid, and does not expect for the foreseeable future to pay, a dividend.</w:t>
      </w:r>
    </w:p>
    <w:p>
      <w:pPr>
        <w:spacing w:after="0" w:line="9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weighted average grant-date fair value of stock options granted during the years ended December 31, 2022, 2021 and 2020 was $8.63, $18.57 and $10.86 per share, respectively. The intrinsic value of stock options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type w:val="continuous"/>
        </w:sectPr>
      </w:pPr>
    </w:p>
    <w:bookmarkStart w:id="125" w:name="page126"/>
    <w:bookmarkEnd w:id="12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exercised was $3.2 million, $34.2 million and $40.9 million for the years ended December 31, 2022, 2021 and 2020, respectively. Due to the Company’s net operating losses, the Company did not realize any tax benefits from stock-based payment arrangements for the years ended December 31, 2022, 2021 and 2020.</w:t>
      </w:r>
    </w:p>
    <w:p>
      <w:pPr>
        <w:spacing w:after="0" w:line="8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fair value of stock option awards granted to employees and directors was estimated at the date of grant using a Black-Scholes option-pricing model with the following weighted average valuation assumptions:</w:t>
      </w:r>
    </w:p>
    <w:p>
      <w:pPr>
        <w:spacing w:after="0" w:line="210" w:lineRule="exact"/>
        <w:rPr>
          <w:sz w:val="20"/>
          <w:szCs w:val="20"/>
          <w:color w:val="auto"/>
        </w:rPr>
      </w:pPr>
    </w:p>
    <w:p>
      <w:pPr>
        <w:ind w:left="770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31750</wp:posOffset>
            </wp:positionV>
            <wp:extent cx="32334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2020</w:t>
            </w:r>
          </w:p>
        </w:tc>
      </w:tr>
      <w:tr>
        <w:trPr>
          <w:trHeight w:val="238"/>
        </w:trPr>
        <w:tc>
          <w:tcPr>
            <w:tcW w:w="7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Volatility</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78 %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72 %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68 %</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Expected term (years)</w:t>
            </w:r>
          </w:p>
        </w:tc>
        <w:tc>
          <w:tcPr>
            <w:tcW w:w="60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6.23</w:t>
            </w:r>
          </w:p>
        </w:tc>
      </w:tr>
      <w:tr>
        <w:trPr>
          <w:trHeight w:val="27"/>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8"/>
        </w:trPr>
        <w:tc>
          <w:tcPr>
            <w:tcW w:w="7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2.52 %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0.95 %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1.04 %</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Expected dividend yield</w:t>
            </w: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156"/>
              <w:spacing w:after="0"/>
              <w:rPr>
                <w:sz w:val="20"/>
                <w:szCs w:val="20"/>
                <w:color w:val="auto"/>
              </w:rPr>
            </w:pPr>
            <w:r>
              <w:rPr>
                <w:rFonts w:ascii="Arial" w:cs="Arial" w:eastAsia="Arial" w:hAnsi="Arial"/>
                <w:sz w:val="17"/>
                <w:szCs w:val="17"/>
                <w:color w:val="auto"/>
              </w:rPr>
              <w:t>—</w:t>
            </w:r>
          </w:p>
        </w:tc>
      </w:tr>
    </w:tbl>
    <w:p>
      <w:pPr>
        <w:spacing w:after="0" w:line="20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As of December 31, 2022, total compensation cost not yet recognized related to unvested stock options granted to employees and directors was $54.3 million, which is expected to be recognized over a weighted-average period of 2.6 years.</w:t>
      </w:r>
    </w:p>
    <w:p>
      <w:pPr>
        <w:spacing w:after="0" w:line="8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fair value of the rights granted to employees under the ESPP was estimated at the date of offer using a Black-Scholes option-pricing model with the following weighted average valuation assumptions:</w:t>
      </w:r>
    </w:p>
    <w:p>
      <w:pPr>
        <w:spacing w:after="0" w:line="120" w:lineRule="exact"/>
        <w:rPr>
          <w:sz w:val="20"/>
          <w:szCs w:val="20"/>
          <w:color w:val="auto"/>
        </w:rPr>
      </w:pPr>
    </w:p>
    <w:p>
      <w:pPr>
        <w:ind w:left="770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31750</wp:posOffset>
            </wp:positionV>
            <wp:extent cx="32334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2020</w:t>
            </w:r>
          </w:p>
        </w:tc>
      </w:tr>
      <w:tr>
        <w:trPr>
          <w:trHeight w:val="238"/>
        </w:trPr>
        <w:tc>
          <w:tcPr>
            <w:tcW w:w="7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Volatility</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110 %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72 %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74 %</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Expected term (years)</w:t>
            </w:r>
          </w:p>
        </w:tc>
        <w:tc>
          <w:tcPr>
            <w:tcW w:w="60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7"/>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8"/>
        </w:trPr>
        <w:tc>
          <w:tcPr>
            <w:tcW w:w="7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3.76 %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0.27 %</w:t>
            </w:r>
          </w:p>
        </w:tc>
        <w:tc>
          <w:tcPr>
            <w:tcW w:w="10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0.15 %</w:t>
            </w: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Expected dividend yield</w:t>
            </w:r>
          </w:p>
        </w:tc>
        <w:tc>
          <w:tcPr>
            <w:tcW w:w="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156"/>
              <w:spacing w:after="0"/>
              <w:rPr>
                <w:sz w:val="20"/>
                <w:szCs w:val="20"/>
                <w:color w:val="auto"/>
              </w:rPr>
            </w:pPr>
            <w:r>
              <w:rPr>
                <w:rFonts w:ascii="Arial" w:cs="Arial" w:eastAsia="Arial" w:hAnsi="Arial"/>
                <w:sz w:val="17"/>
                <w:szCs w:val="17"/>
                <w:color w:val="auto"/>
              </w:rPr>
              <w:t>—</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Employee Benefit Plan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Company sponsors a 401(k) defined contribution plan for its employees. Employee contributions are voluntary. In December 2011, the Company adopted the 401(k) Matching Plan, under which the Company makes matching contributions in the form of common stock at a rate of $1.00 for each $2.00 of employee contributions up to a maximum of $3,500 of common stock per employee per year beginning in 2022 and $750 prior to 2022. As of December 31, 2022 and 2021, the Company had reserved 192,385 and 17,813 shares of common stock for issuance pursuant to the 401(k) Matching Plan, respectively. Matching contributions of 7,615, 4,117 and 6,344 shares, or $137,000, $125,000 and $119,000 were issued for the years ended December 31, 2022,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has reported pre-tax operating losses for all periods presented. The Company has not reflected any benefit for corresponding tax net operating loss carryforwards in the accompanying consolidated financial statements. The Company has established a full valuation allowance against its deferred tax assets due to the uncertainty surrounding the realization of such assets.</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Company’s losses before income taxes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5"/>
                <w:szCs w:val="15"/>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00" w:type="dxa"/>
            <w:vAlign w:val="bottom"/>
            <w:tcBorders>
              <w:bottom w:val="single" w:sz="8" w:color="CFF0FC"/>
            </w:tcBorders>
          </w:tcPr>
          <w:p>
            <w:pPr>
              <w:spacing w:after="0"/>
              <w:rPr>
                <w:sz w:val="19"/>
                <w:szCs w:val="19"/>
                <w:color w:val="auto"/>
              </w:rPr>
            </w:pPr>
          </w:p>
        </w:tc>
        <w:tc>
          <w:tcPr>
            <w:tcW w:w="3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Domestic</w:t>
            </w:r>
          </w:p>
        </w:tc>
        <w:tc>
          <w:tcPr>
            <w:tcW w:w="3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(161,813)</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(120,858)</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(102,209)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7"/>
                <w:szCs w:val="17"/>
                <w:color w:val="auto"/>
              </w:rPr>
              <w:t>Foreign</w:t>
            </w:r>
          </w:p>
        </w:tc>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FF0FC"/>
            </w:tcBorders>
          </w:tcPr>
          <w:p>
            <w:pPr>
              <w:spacing w:after="0"/>
              <w:rPr>
                <w:sz w:val="2"/>
                <w:szCs w:val="2"/>
                <w:color w:val="auto"/>
              </w:rPr>
            </w:pPr>
          </w:p>
        </w:tc>
        <w:tc>
          <w:tcPr>
            <w:tcW w:w="32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w:t>
            </w:r>
          </w:p>
        </w:tc>
        <w:tc>
          <w:tcPr>
            <w:tcW w:w="3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(162,667)</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(120,335)</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(102,487)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3280" w:type="dxa"/>
            <w:vAlign w:val="bottom"/>
            <w:tcBorders>
              <w:top w:val="single" w:sz="8" w:color="CFF0FC"/>
              <w:bottom w:val="single" w:sz="8" w:color="CFF0FC"/>
            </w:tcBorders>
            <w:vMerge w:val="restart"/>
          </w:tcPr>
          <w:p>
            <w:pPr>
              <w:jc w:val="right"/>
              <w:ind w:right="534"/>
              <w:spacing w:after="0"/>
              <w:rPr>
                <w:sz w:val="20"/>
                <w:szCs w:val="20"/>
                <w:color w:val="auto"/>
              </w:rPr>
            </w:pPr>
            <w:r>
              <w:rPr>
                <w:rFonts w:ascii="Arial" w:cs="Arial" w:eastAsia="Arial" w:hAnsi="Arial"/>
                <w:sz w:val="17"/>
                <w:szCs w:val="17"/>
                <w:color w:val="auto"/>
              </w:rPr>
              <w:t>126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31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Borders>
              <w:bottom w:val="single" w:sz="8" w:color="9A9A9A"/>
            </w:tcBorders>
          </w:tcPr>
          <w:p>
            <w:pPr>
              <w:spacing w:after="0"/>
              <w:rPr>
                <w:sz w:val="18"/>
                <w:szCs w:val="18"/>
                <w:color w:val="auto"/>
              </w:rPr>
            </w:pPr>
          </w:p>
        </w:tc>
        <w:tc>
          <w:tcPr>
            <w:tcW w:w="32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6" w:name="page127"/>
    <w:bookmarkEnd w:id="126"/>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the statutory U.S. federal rate to the Company’s effective tax rate is as follows:</w:t>
      </w:r>
    </w:p>
    <w:p>
      <w:pPr>
        <w:spacing w:after="0" w:line="240" w:lineRule="exact"/>
        <w:rPr>
          <w:sz w:val="20"/>
          <w:szCs w:val="20"/>
          <w:color w:val="auto"/>
        </w:rPr>
      </w:pPr>
    </w:p>
    <w:p>
      <w:pPr>
        <w:ind w:left="770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31750</wp:posOffset>
            </wp:positionV>
            <wp:extent cx="32334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5"/>
              <w:spacing w:after="0"/>
              <w:rPr>
                <w:sz w:val="20"/>
                <w:szCs w:val="20"/>
                <w:color w:val="auto"/>
              </w:rPr>
            </w:pPr>
            <w:r>
              <w:rPr>
                <w:rFonts w:ascii="Arial" w:cs="Arial" w:eastAsia="Arial" w:hAnsi="Arial"/>
                <w:sz w:val="15"/>
                <w:szCs w:val="15"/>
                <w:b w:val="1"/>
                <w:bCs w:val="1"/>
                <w:color w:val="auto"/>
              </w:rPr>
              <w:t>2020</w:t>
            </w:r>
          </w:p>
        </w:tc>
      </w:tr>
      <w:tr>
        <w:trPr>
          <w:trHeight w:val="238"/>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U.S. federal tax at statutory rate</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21.0 %</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Foreign tax rate differential</w:t>
            </w:r>
          </w:p>
        </w:tc>
        <w:tc>
          <w:tcPr>
            <w:tcW w:w="620" w:type="dxa"/>
            <w:vAlign w:val="bottom"/>
          </w:tcPr>
          <w:p>
            <w:pPr>
              <w:jc w:val="right"/>
              <w:ind w:right="13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w:t>
            </w:r>
          </w:p>
        </w:tc>
      </w:tr>
      <w:tr>
        <w:trPr>
          <w:trHeight w:val="27"/>
        </w:trPr>
        <w:tc>
          <w:tcPr>
            <w:tcW w:w="6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State, net of federal benefit</w:t>
            </w:r>
          </w:p>
        </w:tc>
        <w:tc>
          <w:tcPr>
            <w:tcW w:w="1200" w:type="dxa"/>
            <w:vAlign w:val="bottom"/>
            <w:tcBorders>
              <w:bottom w:val="single" w:sz="8" w:color="CFF0FC"/>
            </w:tcBorders>
            <w:gridSpan w:val="4"/>
            <w:shd w:val="clear" w:color="auto" w:fill="CFF0FC"/>
          </w:tcPr>
          <w:p>
            <w:pPr>
              <w:jc w:val="right"/>
              <w:ind w:right="71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(0.1)</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Stock-based compensation (recovery)</w:t>
            </w:r>
          </w:p>
        </w:tc>
        <w:tc>
          <w:tcPr>
            <w:tcW w:w="620" w:type="dxa"/>
            <w:vAlign w:val="bottom"/>
          </w:tcPr>
          <w:p>
            <w:pPr>
              <w:jc w:val="right"/>
              <w:ind w:right="9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3.8</w:t>
            </w:r>
          </w:p>
        </w:tc>
      </w:tr>
      <w:tr>
        <w:trPr>
          <w:trHeight w:val="27"/>
        </w:trPr>
        <w:tc>
          <w:tcPr>
            <w:tcW w:w="6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7"/>
                <w:szCs w:val="17"/>
                <w:color w:val="auto"/>
              </w:rPr>
              <w:t>Change in valuation allowance</w:t>
            </w:r>
          </w:p>
        </w:tc>
        <w:tc>
          <w:tcPr>
            <w:tcW w:w="62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7"/>
                <w:szCs w:val="17"/>
                <w:color w:val="auto"/>
                <w:w w:val="94"/>
              </w:rPr>
              <w:t>(19.9)</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(25.0)</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620" w:type="dxa"/>
            <w:vAlign w:val="bottom"/>
          </w:tcPr>
          <w:p>
            <w:pPr>
              <w:jc w:val="right"/>
              <w:ind w:right="13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0.3</w:t>
            </w:r>
          </w:p>
        </w:tc>
      </w:tr>
      <w:tr>
        <w:trPr>
          <w:trHeight w:val="27"/>
        </w:trPr>
        <w:tc>
          <w:tcPr>
            <w:tcW w:w="610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710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gridSpan w:val="4"/>
            <w:shd w:val="clear" w:color="auto" w:fill="CFF0FC"/>
          </w:tcPr>
          <w:p>
            <w:pPr>
              <w:jc w:val="right"/>
              <w:ind w:right="514"/>
              <w:spacing w:after="0"/>
              <w:rPr>
                <w:sz w:val="20"/>
                <w:szCs w:val="20"/>
                <w:color w:val="auto"/>
              </w:rPr>
            </w:pPr>
            <w:r>
              <w:rPr>
                <w:rFonts w:ascii="Arial" w:cs="Arial" w:eastAsia="Arial" w:hAnsi="Arial"/>
                <w:sz w:val="17"/>
                <w:szCs w:val="17"/>
                <w:color w:val="auto"/>
              </w:rPr>
              <w:t>— %</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 %</w:t>
            </w:r>
          </w:p>
        </w:tc>
        <w:tc>
          <w:tcPr>
            <w:tcW w:w="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 %</w:t>
            </w: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7100" w:type="dxa"/>
            <w:vAlign w:val="bottom"/>
            <w:gridSpan w:val="2"/>
          </w:tcPr>
          <w:p>
            <w:pPr>
              <w:ind w:left="620"/>
              <w:spacing w:after="0"/>
              <w:rPr>
                <w:sz w:val="20"/>
                <w:szCs w:val="20"/>
                <w:color w:val="auto"/>
              </w:rPr>
            </w:pPr>
            <w:r>
              <w:rPr>
                <w:rFonts w:ascii="Arial" w:cs="Arial" w:eastAsia="Arial" w:hAnsi="Arial"/>
                <w:sz w:val="17"/>
                <w:szCs w:val="17"/>
                <w:color w:val="auto"/>
              </w:rPr>
              <w:t>The components of the net deferred tax assets are as follows (in thousands):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6"/>
        </w:trPr>
        <w:tc>
          <w:tcPr>
            <w:tcW w:w="6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25"/>
        </w:trPr>
        <w:tc>
          <w:tcPr>
            <w:tcW w:w="6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25"/>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Net operating loss carryforwards</w:t>
            </w:r>
          </w:p>
        </w:tc>
        <w:tc>
          <w:tcPr>
            <w:tcW w:w="1200" w:type="dxa"/>
            <w:vAlign w:val="bottom"/>
            <w:gridSpan w:val="4"/>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77,563</w:t>
            </w:r>
          </w:p>
        </w:tc>
        <w:tc>
          <w:tcPr>
            <w:tcW w:w="600" w:type="dxa"/>
            <w:vAlign w:val="bottom"/>
            <w:gridSpan w:val="3"/>
          </w:tcPr>
          <w:p>
            <w:pPr>
              <w:jc w:val="right"/>
              <w:ind w:right="2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83,322</w:t>
            </w:r>
          </w:p>
        </w:tc>
      </w:tr>
      <w:tr>
        <w:trPr>
          <w:trHeight w:val="27"/>
        </w:trPr>
        <w:tc>
          <w:tcPr>
            <w:tcW w:w="7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Capitalized R&amp;D Section 174</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31,964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Stock-based compensation</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4,739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7,579</w:t>
            </w:r>
          </w:p>
        </w:tc>
      </w:tr>
      <w:tr>
        <w:trPr>
          <w:trHeight w:val="27"/>
        </w:trPr>
        <w:tc>
          <w:tcPr>
            <w:tcW w:w="7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2,918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2,918</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Lease liability</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1,132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2,198</w:t>
            </w:r>
          </w:p>
        </w:tc>
      </w:tr>
      <w:tr>
        <w:trPr>
          <w:trHeight w:val="27"/>
        </w:trPr>
        <w:tc>
          <w:tcPr>
            <w:tcW w:w="7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temporary differences</w:t>
            </w: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Total gross deferred tax assets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118,751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96,531</w:t>
            </w:r>
          </w:p>
        </w:tc>
      </w:tr>
      <w:tr>
        <w:trPr>
          <w:trHeight w:val="27"/>
        </w:trPr>
        <w:tc>
          <w:tcPr>
            <w:tcW w:w="7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Depreciation and amortization</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(779)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(997)</w:t>
            </w:r>
          </w:p>
        </w:tc>
      </w:tr>
      <w:tr>
        <w:trPr>
          <w:trHeight w:val="27"/>
        </w:trPr>
        <w:tc>
          <w:tcPr>
            <w:tcW w:w="7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ROU asset</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Non-qualified stock options with 83(b) election</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7"/>
        </w:trPr>
        <w:tc>
          <w:tcPr>
            <w:tcW w:w="710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gross deferred tax liabilities</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(1,234)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(1,862)</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Net deferred tax assets before valuation allowance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117,517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94,669</w:t>
            </w:r>
          </w:p>
        </w:tc>
      </w:tr>
      <w:tr>
        <w:trPr>
          <w:trHeight w:val="27"/>
        </w:trPr>
        <w:tc>
          <w:tcPr>
            <w:tcW w:w="7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 valuation allowance</w:t>
            </w: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(117,517)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(94,669)</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7"/>
                <w:szCs w:val="17"/>
                <w:color w:val="auto"/>
              </w:rPr>
              <w:t>Net deferred tax assets</w:t>
            </w:r>
          </w:p>
        </w:tc>
        <w:tc>
          <w:tcPr>
            <w:tcW w:w="940" w:type="dxa"/>
            <w:vAlign w:val="bottom"/>
            <w:gridSpan w:val="3"/>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7"/>
        </w:trPr>
        <w:tc>
          <w:tcPr>
            <w:tcW w:w="6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more-likely-than-not to be realized and, accordingly, has provided a valuation allowance.</w:t>
      </w:r>
    </w:p>
    <w:p>
      <w:pPr>
        <w:spacing w:after="0" w:line="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$22.8 million and $24.6 million during the years ended December 31, 2022 and 2021, respectively.</w:t>
      </w:r>
    </w:p>
    <w:p>
      <w:pPr>
        <w:spacing w:after="0" w:line="8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of December 31, 2022, the Company had approximately $345.4 million in federal net operating loss carryforwards to reduce future taxable income. Of this amount, $285.6 million was generated after December 31, 2017 and can be carried forward indefinitely. The federal net operating loss carryforwards generated prior to January 1, 2018 are subject to a 20-year carryforward period and will begin to expire after 2032. The utilization of the federal net operating loss carryforwards generated in fiscal year 2020 and onwards is limited to 80% of the federal taxable income. The Company also had approximately $466.6 million in state net operating loss carryforwards to reduce future taxable income, which will begin to expire after 2028, if not utilized.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7" w:name="page128"/>
    <w:bookmarkEnd w:id="127"/>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accordance with the 2017 Tax Act, research and experimental, or R&amp;E, expenses under Internal Revenue Code Section 174 are required to be capitalized beginning in 2022. R&amp;E expenses are required to be amortized over a period of five years for domestic expenses and 15 years for foreign expenses.</w:t>
      </w:r>
    </w:p>
    <w:p>
      <w:pPr>
        <w:spacing w:after="0" w:line="8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had approximately $3.1 million in federal R&amp;D tax credits for each of the years ended December 31, 2022 and 2021. In addition, the Company had approximately $4.0 million in state R&amp;D tax credits for each of the years ended December 31, 2022 and 2021. The federal research credits will begin to expire in the years 2028 through 2035, if not utilized. The state R&amp;D credits have no expiration date and can be carried forward indefinitely.</w:t>
      </w:r>
    </w:p>
    <w:p>
      <w:pPr>
        <w:spacing w:after="0" w:line="9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As of December 31, 2022, the Company had no foreign net operating loss carryforwards. As of December 31, 2021, the Company had foreign net operating loss carryforwards of approximately $21.3 million which had no expiration date.</w:t>
      </w:r>
    </w:p>
    <w:p>
      <w:pPr>
        <w:spacing w:after="0" w:line="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Utilization of the Company’s net operating losses and R&amp;D tax credits may be subject to a substantial annual limitation due to the “change in ownership” provisions of the Internal Revenue Code of 1986, as amended, and similar state provisions. The annual limitation may result in the expiration of net operating losses and R&amp;D tax credits before utilization.</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the Company’s unrecognized tax benefits is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1"/>
        </w:trPr>
        <w:tc>
          <w:tcPr>
            <w:tcW w:w="63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2020</w:t>
            </w:r>
          </w:p>
        </w:tc>
      </w:tr>
      <w:tr>
        <w:trPr>
          <w:trHeight w:val="213"/>
        </w:trPr>
        <w:tc>
          <w:tcPr>
            <w:tcW w:w="6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beginning of year</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25,870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10,346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3,819</w:t>
            </w: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Additions based on tax positions related to prior year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4,447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314</w:t>
            </w:r>
          </w:p>
        </w:tc>
      </w:tr>
      <w:tr>
        <w:trPr>
          <w:trHeight w:val="219"/>
        </w:trPr>
        <w:tc>
          <w:tcPr>
            <w:tcW w:w="6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Additions based on tax positions related to current year</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12,778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11,077</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6,213</w:t>
            </w:r>
          </w:p>
        </w:tc>
      </w:tr>
      <w:tr>
        <w:trPr>
          <w:trHeight w:val="213"/>
        </w:trPr>
        <w:tc>
          <w:tcPr>
            <w:tcW w:w="6380" w:type="dxa"/>
            <w:vAlign w:val="bottom"/>
          </w:tcPr>
          <w:p>
            <w:pPr>
              <w:ind w:left="20"/>
              <w:spacing w:after="0"/>
              <w:rPr>
                <w:sz w:val="20"/>
                <w:szCs w:val="20"/>
                <w:color w:val="auto"/>
              </w:rPr>
            </w:pPr>
            <w:r>
              <w:rPr>
                <w:rFonts w:ascii="Arial" w:cs="Arial" w:eastAsia="Arial" w:hAnsi="Arial"/>
                <w:sz w:val="17"/>
                <w:szCs w:val="17"/>
                <w:color w:val="auto"/>
              </w:rPr>
              <w:t>Balance at end of year</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25,870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10,346</w:t>
            </w: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entire amount of the unrecognized tax benefits would not impact the Company’s effective tax rate if recognized. The Company has elected to include interest and penalties as a component of tax expense. During the years ended December 31, 2022 and 2021,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91" w:lineRule="exact"/>
        <w:rPr>
          <w:sz w:val="20"/>
          <w:szCs w:val="20"/>
          <w:color w:val="auto"/>
        </w:rPr>
      </w:pPr>
    </w:p>
    <w:p>
      <w:pPr>
        <w:ind w:right="340" w:firstLine="619"/>
        <w:spacing w:after="0" w:line="265" w:lineRule="auto"/>
        <w:rPr>
          <w:sz w:val="20"/>
          <w:szCs w:val="20"/>
          <w:color w:val="auto"/>
        </w:rPr>
      </w:pPr>
      <w:r>
        <w:rPr>
          <w:rFonts w:ascii="Arial" w:cs="Arial" w:eastAsia="Arial" w:hAnsi="Arial"/>
          <w:sz w:val="17"/>
          <w:szCs w:val="17"/>
          <w:color w:val="auto"/>
        </w:rPr>
        <w:t>The Company files U.S. federal, state and foreign income tax returns with varying statutes of limitations. The tax years from inception in 2008 to December 31, 2022 remain subject to examination.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of December 31, 2022,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2022, the design and operation of our disclosure controls and procedures were effective at a reasonable assurance level.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8" w:name="page129"/>
    <w:bookmarkEnd w:id="128"/>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There was no change in our internal control over financial reporting identified in connection with the evaluation required by Rule 13a-15(f) and 15d-15(f) of the Exchange Act that occurred during the quarter ended December 31, 2022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w:t>
      </w:r>
    </w:p>
    <w:p>
      <w:pPr>
        <w:spacing w:after="0" w:line="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independent registered public accounting firm, Ernst &amp; Young LLP, has audited our Consolidated Financial Statements included in Item 8 of this Annual Report on Form 10-K and have issued an audit report on our internal control over financial reporting as of December 31, 2022 which appears below.</w:t>
      </w:r>
    </w:p>
    <w:p>
      <w:pPr>
        <w:spacing w:after="0" w:line="172" w:lineRule="exact"/>
        <w:rPr>
          <w:sz w:val="20"/>
          <w:szCs w:val="20"/>
          <w:color w:val="auto"/>
        </w:rPr>
      </w:pPr>
    </w:p>
    <w:p>
      <w:pPr>
        <w:ind w:right="2940" w:firstLine="3558"/>
        <w:spacing w:after="0" w:line="38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NGM Biopharmaceuticals, Inc. </w:t>
      </w:r>
      <w:r>
        <w:rPr>
          <w:rFonts w:ascii="Arial" w:cs="Arial" w:eastAsia="Arial" w:hAnsi="Arial"/>
          <w:sz w:val="17"/>
          <w:szCs w:val="17"/>
          <w:b w:val="1"/>
          <w:bCs w:val="1"/>
          <w:color w:val="auto"/>
        </w:rPr>
        <w:t>Opinion on Internal Control over Financial Reporting</w:t>
      </w:r>
    </w:p>
    <w:p>
      <w:pPr>
        <w:jc w:val="both"/>
        <w:spacing w:after="0" w:line="257" w:lineRule="auto"/>
        <w:rPr>
          <w:sz w:val="20"/>
          <w:szCs w:val="20"/>
          <w:color w:val="auto"/>
        </w:rPr>
      </w:pPr>
      <w:r>
        <w:rPr>
          <w:rFonts w:ascii="Arial" w:cs="Arial" w:eastAsia="Arial" w:hAnsi="Arial"/>
          <w:sz w:val="17"/>
          <w:szCs w:val="17"/>
          <w:color w:val="auto"/>
        </w:rPr>
        <w:t>We have audited NGM Biopharmaceuticals, Inc.’s internal control over financial reporting as of December 31, 2022, based on criteria established in Internal Control - Integrated Framework issued by the Committee of Sponsoring Organizations of the Treadway Commission (2013 framework) (the COSO criteria). In our opinion, NGM Biopharmaceuticals, Inc. (the Company) maintained, in all material respects, effective internal control over financial reporting as of December 31, 2022, based on the COSO criteria.</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as of December 31, 2022 and 2021, the related consolidated statements of operations, comprehensive loss, stockholders’ equity, and cash flows for each of the three years in the period ended December 31, 2022, and the related notes and our report dated February 28, 2023 expressed an unqualified opinion thereon.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29" w:name="page130"/>
    <w:bookmarkEnd w:id="129"/>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San Mateo, California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9B.</w:t>
        <w:tab/>
        <w:t>Other Information.</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On February 27, 2023, the Compensation Committee of our Board of Directors approved an addendum, or the Addendum, to the offer letter agreement between us and Hsiao D. Lieu, M.D., dated January 16, 2019. Pursuant to the Addendum,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Dr. Lieu will be entitled to (i) continued payment of his base salary for six months; (ii) payment or reimbursement of COBRA premiums for him and his eligible dependents for up to six months; and (iii) full vesting of any unvested equity awards held by Dr. Lieu.</w:t>
      </w:r>
    </w:p>
    <w:p>
      <w:pPr>
        <w:spacing w:after="0" w:line="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The foregoing description of the Addendum does not purport to be complete and is qualified in its entirety by reference to the full text of the Addendum, which is filed herewith as Exhibit 10.14.</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III</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34"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The information required by this item regarding directors and director nominees, executive officers, the board of directors and its committees, and certain corporate governance matters is incorporated by reference to the information set forth under the captions “Proposal No. 1 —Election of Directors,” “Corporate Governance and Board Matters” and “Executive Officers” to be included in our Proxy Statement for our 2023 Annual Meeting of Stockholders, or the 2023 Proxy Statement. If required, information required by this item regarding compliance with Section 16(a) of the Exchange Act is incorporated by reference to the information set forth under the caption “Delinquent Section 16(a) Reports” to be included in our 2023 Proxy Statement. The 2023 Proxy Statement will be filed with the SEC no later than 120 days after December 31, 2022.</w:t>
      </w:r>
    </w:p>
    <w:p>
      <w:pPr>
        <w:spacing w:after="0" w:line="95"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7"/>
          <w:szCs w:val="17"/>
          <w:color w:val="auto"/>
        </w:rPr>
        <w:t>Our written code of business conduct and ethics, the Code of Conduct, applies to all of our employees, officers and directors, including our principal executive officer, principal financial officer, principal accounting officer or controller or persons performing similar functions. The Code of Conduct is available on our corporate website at https://www.ngmbio.com/ in the Investors &amp; Media section under “Corporate Governance.”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30" w:name="page131"/>
    <w:bookmarkEnd w:id="130"/>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Information required by this item regarding executive compensation is incorporated by reference to the information set forth under the captions “Compensation Discussion and Analysis,” “Executive Compensation,” “CEO Pay Ratio” and “Director Compensation” in the 2023 Proxy Statement.</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Plans at December 31, 2022” in the 2023 Proxy Statement.</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13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the 2023 Proxy Statement.</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tab/>
        <w:t>Principal Accounting Fees and Services.</w:t>
      </w:r>
    </w:p>
    <w:p>
      <w:pPr>
        <w:spacing w:after="0" w:line="13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Information required by this item regarding principal accounting fees and services is incorporated by reference to the information set forth under the caption “Proposal No. 3—Ratification of Selection of Independent Registered Public Accounting Firm” in the 2023 Proxy Statement.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134" w:lineRule="exact"/>
        <w:rPr>
          <w:sz w:val="20"/>
          <w:szCs w:val="20"/>
          <w:color w:val="auto"/>
        </w:rPr>
      </w:pPr>
    </w:p>
    <w:p>
      <w:pPr>
        <w:ind w:left="620" w:hanging="617"/>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on Form 10-K:</w:t>
      </w:r>
    </w:p>
    <w:p>
      <w:pPr>
        <w:spacing w:after="0" w:line="95" w:lineRule="exact"/>
        <w:rPr>
          <w:rFonts w:ascii="Arial" w:cs="Arial" w:eastAsia="Arial" w:hAnsi="Arial"/>
          <w:sz w:val="17"/>
          <w:szCs w:val="17"/>
          <w:color w:val="auto"/>
        </w:rPr>
      </w:pPr>
    </w:p>
    <w:p>
      <w:pPr>
        <w:ind w:left="1220" w:hanging="598"/>
        <w:spacing w:after="0"/>
        <w:tabs>
          <w:tab w:leader="none" w:pos="1220"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See Index to Consolidated Financial Statements in Part II, Item 8 of this Annual Report on Form 10-K.</w:t>
      </w:r>
    </w:p>
    <w:p>
      <w:pPr>
        <w:spacing w:after="0" w:line="113" w:lineRule="exact"/>
        <w:rPr>
          <w:rFonts w:ascii="Arial" w:cs="Arial" w:eastAsia="Arial" w:hAnsi="Arial"/>
          <w:sz w:val="17"/>
          <w:szCs w:val="17"/>
          <w:color w:val="auto"/>
        </w:rPr>
      </w:pPr>
    </w:p>
    <w:p>
      <w:pPr>
        <w:ind w:left="1240" w:hanging="618"/>
        <w:spacing w:after="0" w:line="287" w:lineRule="auto"/>
        <w:tabs>
          <w:tab w:leader="none" w:pos="1228"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None. All financial statement schedules are omitted because they are not applicable, not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instructions, or the requested information is included in the consolidated financial statements or notes thereto.</w:t>
      </w:r>
    </w:p>
    <w:p>
      <w:pPr>
        <w:spacing w:after="0" w:line="48" w:lineRule="exact"/>
        <w:rPr>
          <w:rFonts w:ascii="Arial" w:cs="Arial" w:eastAsia="Arial" w:hAnsi="Arial"/>
          <w:sz w:val="17"/>
          <w:szCs w:val="17"/>
          <w:color w:val="auto"/>
        </w:rPr>
      </w:pPr>
    </w:p>
    <w:p>
      <w:pPr>
        <w:ind w:left="1220" w:hanging="598"/>
        <w:spacing w:after="0"/>
        <w:tabs>
          <w:tab w:leader="none" w:pos="1220"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The following is a list of exhibits filed with this Annual Report or incorporated herein by reference: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Incorporated by Reference</w:t>
            </w:r>
          </w:p>
        </w:tc>
        <w:tc>
          <w:tcPr>
            <w:tcW w:w="1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300"/>
              <w:spacing w:after="0" w:line="162" w:lineRule="exact"/>
              <w:rPr>
                <w:sz w:val="20"/>
                <w:szCs w:val="20"/>
                <w:color w:val="auto"/>
              </w:rPr>
            </w:pPr>
            <w:r>
              <w:rPr>
                <w:rFonts w:ascii="Arial" w:cs="Arial" w:eastAsia="Arial" w:hAnsi="Arial"/>
                <w:sz w:val="17"/>
                <w:szCs w:val="17"/>
                <w:b w:val="1"/>
                <w:bCs w:val="1"/>
                <w:color w:val="auto"/>
              </w:rPr>
              <w:t>Exhibit</w:t>
            </w: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center"/>
              <w:ind w:right="54"/>
              <w:spacing w:after="0" w:line="162" w:lineRule="exact"/>
              <w:rPr>
                <w:sz w:val="20"/>
                <w:szCs w:val="20"/>
                <w:color w:val="auto"/>
              </w:rPr>
            </w:pPr>
            <w:r>
              <w:rPr>
                <w:rFonts w:ascii="Arial" w:cs="Arial" w:eastAsia="Arial" w:hAnsi="Arial"/>
                <w:sz w:val="17"/>
                <w:szCs w:val="17"/>
                <w:b w:val="1"/>
                <w:bCs w:val="1"/>
                <w:color w:val="auto"/>
                <w:w w:val="96"/>
              </w:rPr>
              <w:t>Filing</w:t>
            </w:r>
          </w:p>
        </w:tc>
        <w:tc>
          <w:tcPr>
            <w:tcW w:w="112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Filed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300" w:type="dxa"/>
            <w:vAlign w:val="bottom"/>
          </w:tcPr>
          <w:p>
            <w:pPr>
              <w:ind w:left="260"/>
              <w:spacing w:after="0"/>
              <w:rPr>
                <w:sz w:val="20"/>
                <w:szCs w:val="20"/>
                <w:color w:val="auto"/>
              </w:rPr>
            </w:pPr>
            <w:r>
              <w:rPr>
                <w:rFonts w:ascii="Arial" w:cs="Arial" w:eastAsia="Arial" w:hAnsi="Arial"/>
                <w:sz w:val="17"/>
                <w:szCs w:val="17"/>
                <w:b w:val="1"/>
                <w:bCs w:val="1"/>
                <w:color w:val="auto"/>
              </w:rPr>
              <w:t>Number</w:t>
            </w:r>
          </w:p>
        </w:tc>
        <w:tc>
          <w:tcPr>
            <w:tcW w:w="4020" w:type="dxa"/>
            <w:vAlign w:val="bottom"/>
            <w:gridSpan w:val="10"/>
          </w:tcPr>
          <w:p>
            <w:pPr>
              <w:spacing w:after="0"/>
              <w:rPr>
                <w:sz w:val="20"/>
                <w:szCs w:val="20"/>
                <w:color w:val="auto"/>
              </w:rPr>
            </w:pPr>
            <w:r>
              <w:rPr>
                <w:rFonts w:ascii="Arial" w:cs="Arial" w:eastAsia="Arial" w:hAnsi="Arial"/>
                <w:sz w:val="17"/>
                <w:szCs w:val="17"/>
                <w:b w:val="1"/>
                <w:bCs w:val="1"/>
                <w:color w:val="auto"/>
              </w:rPr>
              <w:t>Exhibit Description</w:t>
            </w: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7"/>
                <w:szCs w:val="17"/>
                <w:b w:val="1"/>
                <w:bCs w:val="1"/>
                <w:color w:val="auto"/>
              </w:rPr>
              <w:t>Form</w:t>
            </w:r>
          </w:p>
        </w:tc>
        <w:tc>
          <w:tcPr>
            <w:tcW w:w="1360" w:type="dxa"/>
            <w:vAlign w:val="bottom"/>
          </w:tcPr>
          <w:p>
            <w:pPr>
              <w:ind w:left="380"/>
              <w:spacing w:after="0"/>
              <w:rPr>
                <w:sz w:val="20"/>
                <w:szCs w:val="20"/>
                <w:color w:val="auto"/>
              </w:rPr>
            </w:pPr>
            <w:r>
              <w:rPr>
                <w:rFonts w:ascii="Arial" w:cs="Arial" w:eastAsia="Arial" w:hAnsi="Arial"/>
                <w:sz w:val="17"/>
                <w:szCs w:val="17"/>
                <w:b w:val="1"/>
                <w:bCs w:val="1"/>
                <w:color w:val="auto"/>
              </w:rPr>
              <w:t>File No.</w:t>
            </w:r>
          </w:p>
        </w:tc>
        <w:tc>
          <w:tcPr>
            <w:tcW w:w="1080" w:type="dxa"/>
            <w:vAlign w:val="bottom"/>
          </w:tcPr>
          <w:p>
            <w:pPr>
              <w:ind w:left="200"/>
              <w:spacing w:after="0"/>
              <w:rPr>
                <w:sz w:val="20"/>
                <w:szCs w:val="20"/>
                <w:color w:val="auto"/>
              </w:rPr>
            </w:pPr>
            <w:r>
              <w:rPr>
                <w:rFonts w:ascii="Arial" w:cs="Arial" w:eastAsia="Arial" w:hAnsi="Arial"/>
                <w:sz w:val="17"/>
                <w:szCs w:val="17"/>
                <w:b w:val="1"/>
                <w:bCs w:val="1"/>
                <w:color w:val="auto"/>
              </w:rPr>
              <w:t>Exhibit</w:t>
            </w:r>
          </w:p>
        </w:tc>
        <w:tc>
          <w:tcPr>
            <w:tcW w:w="1020" w:type="dxa"/>
            <w:vAlign w:val="bottom"/>
          </w:tcPr>
          <w:p>
            <w:pPr>
              <w:jc w:val="center"/>
              <w:ind w:right="54"/>
              <w:spacing w:after="0"/>
              <w:rPr>
                <w:sz w:val="20"/>
                <w:szCs w:val="20"/>
                <w:color w:val="auto"/>
              </w:rPr>
            </w:pPr>
            <w:r>
              <w:rPr>
                <w:rFonts w:ascii="Arial" w:cs="Arial" w:eastAsia="Arial" w:hAnsi="Arial"/>
                <w:sz w:val="17"/>
                <w:szCs w:val="17"/>
                <w:b w:val="1"/>
                <w:bCs w:val="1"/>
                <w:color w:val="auto"/>
                <w:w w:val="97"/>
              </w:rPr>
              <w:t>Date</w:t>
            </w: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Herewith</w:t>
            </w:r>
          </w:p>
        </w:tc>
        <w:tc>
          <w:tcPr>
            <w:tcW w:w="0" w:type="dxa"/>
            <w:vAlign w:val="bottom"/>
          </w:tcPr>
          <w:p>
            <w:pPr>
              <w:spacing w:after="0"/>
              <w:rPr>
                <w:sz w:val="1"/>
                <w:szCs w:val="1"/>
                <w:color w:val="auto"/>
              </w:rPr>
            </w:pPr>
          </w:p>
        </w:tc>
      </w:tr>
      <w:tr>
        <w:trPr>
          <w:trHeight w:val="174"/>
        </w:trPr>
        <w:tc>
          <w:tcPr>
            <w:tcW w:w="1300" w:type="dxa"/>
            <w:vAlign w:val="bottom"/>
          </w:tcPr>
          <w:p>
            <w:pPr>
              <w:ind w:left="20"/>
              <w:spacing w:after="0" w:line="174" w:lineRule="exact"/>
              <w:rPr>
                <w:sz w:val="20"/>
                <w:szCs w:val="20"/>
                <w:color w:val="auto"/>
              </w:rPr>
            </w:pPr>
            <w:r>
              <w:rPr>
                <w:rFonts w:ascii="Arial" w:cs="Arial" w:eastAsia="Arial" w:hAnsi="Arial"/>
                <w:sz w:val="17"/>
                <w:szCs w:val="17"/>
                <w:color w:val="auto"/>
              </w:rPr>
              <w:t>3.1</w:t>
            </w:r>
          </w:p>
        </w:tc>
        <w:tc>
          <w:tcPr>
            <w:tcW w:w="4020" w:type="dxa"/>
            <w:vAlign w:val="bottom"/>
            <w:gridSpan w:val="10"/>
          </w:tcPr>
          <w:p>
            <w:pPr>
              <w:spacing w:after="0" w:line="174" w:lineRule="exact"/>
              <w:rPr>
                <w:rFonts w:ascii="Arial" w:cs="Arial" w:eastAsia="Arial" w:hAnsi="Arial"/>
                <w:sz w:val="17"/>
                <w:szCs w:val="17"/>
                <w:color w:val="0000FF"/>
              </w:rPr>
            </w:pPr>
            <w:hyperlink r:id="rId175">
              <w:r>
                <w:rPr>
                  <w:rFonts w:ascii="Arial" w:cs="Arial" w:eastAsia="Arial" w:hAnsi="Arial"/>
                  <w:sz w:val="17"/>
                  <w:szCs w:val="17"/>
                  <w:color w:val="0000FF"/>
                </w:rPr>
                <w:t>Amended and Restated Certificate of Incorporation</w:t>
              </w:r>
            </w:hyperlink>
          </w:p>
        </w:tc>
        <w:tc>
          <w:tcPr>
            <w:tcW w:w="200" w:type="dxa"/>
            <w:vAlign w:val="bottom"/>
          </w:tcPr>
          <w:p>
            <w:pPr>
              <w:spacing w:after="0"/>
              <w:rPr>
                <w:sz w:val="15"/>
                <w:szCs w:val="15"/>
                <w:color w:val="auto"/>
              </w:rPr>
            </w:pPr>
          </w:p>
        </w:tc>
        <w:tc>
          <w:tcPr>
            <w:tcW w:w="8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7"/>
                <w:szCs w:val="17"/>
                <w:color w:val="auto"/>
              </w:rPr>
              <w:t>8-K</w:t>
            </w:r>
          </w:p>
        </w:tc>
        <w:tc>
          <w:tcPr>
            <w:tcW w:w="13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7"/>
                <w:szCs w:val="17"/>
                <w:color w:val="auto"/>
              </w:rPr>
              <w:t>001-38853</w:t>
            </w:r>
          </w:p>
        </w:tc>
        <w:tc>
          <w:tcPr>
            <w:tcW w:w="1080" w:type="dxa"/>
            <w:vAlign w:val="bottom"/>
            <w:tcBorders>
              <w:top w:val="single" w:sz="8" w:color="auto"/>
            </w:tcBorders>
          </w:tcPr>
          <w:p>
            <w:pPr>
              <w:jc w:val="center"/>
              <w:ind w:right="34"/>
              <w:spacing w:after="0" w:line="174" w:lineRule="exact"/>
              <w:rPr>
                <w:sz w:val="20"/>
                <w:szCs w:val="20"/>
                <w:color w:val="auto"/>
              </w:rPr>
            </w:pPr>
            <w:r>
              <w:rPr>
                <w:rFonts w:ascii="Arial" w:cs="Arial" w:eastAsia="Arial" w:hAnsi="Arial"/>
                <w:sz w:val="17"/>
                <w:szCs w:val="17"/>
                <w:color w:val="auto"/>
              </w:rPr>
              <w:t>3.1</w:t>
            </w:r>
          </w:p>
        </w:tc>
        <w:tc>
          <w:tcPr>
            <w:tcW w:w="1020" w:type="dxa"/>
            <w:vAlign w:val="bottom"/>
            <w:tcBorders>
              <w:top w:val="single" w:sz="8" w:color="auto"/>
            </w:tcBorders>
          </w:tcPr>
          <w:p>
            <w:pPr>
              <w:jc w:val="center"/>
              <w:ind w:right="54"/>
              <w:spacing w:after="0" w:line="174" w:lineRule="exact"/>
              <w:rPr>
                <w:sz w:val="20"/>
                <w:szCs w:val="20"/>
                <w:color w:val="auto"/>
              </w:rPr>
            </w:pPr>
            <w:r>
              <w:rPr>
                <w:rFonts w:ascii="Arial" w:cs="Arial" w:eastAsia="Arial" w:hAnsi="Arial"/>
                <w:sz w:val="17"/>
                <w:szCs w:val="17"/>
                <w:color w:val="auto"/>
              </w:rPr>
              <w:t>4/8/19</w:t>
            </w:r>
          </w:p>
        </w:tc>
        <w:tc>
          <w:tcPr>
            <w:tcW w:w="1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3.2</w:t>
            </w:r>
          </w:p>
        </w:tc>
        <w:tc>
          <w:tcPr>
            <w:tcW w:w="2400" w:type="dxa"/>
            <w:vAlign w:val="bottom"/>
            <w:tcBorders>
              <w:top w:val="single" w:sz="8" w:color="0000FF"/>
              <w:bottom w:val="single" w:sz="8" w:color="0000FF"/>
            </w:tcBorders>
            <w:gridSpan w:val="3"/>
          </w:tcPr>
          <w:p>
            <w:pPr>
              <w:spacing w:after="0"/>
              <w:rPr>
                <w:rFonts w:ascii="Arial" w:cs="Arial" w:eastAsia="Arial" w:hAnsi="Arial"/>
                <w:sz w:val="17"/>
                <w:szCs w:val="17"/>
                <w:color w:val="0000FF"/>
              </w:rPr>
            </w:pPr>
            <w:hyperlink r:id="rId176">
              <w:r>
                <w:rPr>
                  <w:rFonts w:ascii="Arial" w:cs="Arial" w:eastAsia="Arial" w:hAnsi="Arial"/>
                  <w:sz w:val="17"/>
                  <w:szCs w:val="17"/>
                  <w:color w:val="0000FF"/>
                </w:rPr>
                <w:t>Amended and Restated Bylaws</w:t>
              </w:r>
            </w:hyperlink>
          </w:p>
        </w:tc>
        <w:tc>
          <w:tcPr>
            <w:tcW w:w="1460" w:type="dxa"/>
            <w:vAlign w:val="bottom"/>
            <w:tcBorders>
              <w:top w:val="single" w:sz="8" w:color="0000FF"/>
            </w:tcBorders>
            <w:gridSpan w:val="3"/>
          </w:tcPr>
          <w:p>
            <w:pPr>
              <w:spacing w:after="0"/>
              <w:rPr>
                <w:sz w:val="17"/>
                <w:szCs w:val="17"/>
                <w:color w:val="auto"/>
              </w:rPr>
            </w:pPr>
          </w:p>
        </w:tc>
        <w:tc>
          <w:tcPr>
            <w:tcW w:w="16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S-1</w:t>
            </w:r>
          </w:p>
        </w:tc>
        <w:tc>
          <w:tcPr>
            <w:tcW w:w="1360" w:type="dxa"/>
            <w:vAlign w:val="bottom"/>
          </w:tcPr>
          <w:p>
            <w:pPr>
              <w:jc w:val="center"/>
              <w:spacing w:after="0"/>
              <w:rPr>
                <w:sz w:val="20"/>
                <w:szCs w:val="20"/>
                <w:color w:val="auto"/>
              </w:rPr>
            </w:pPr>
            <w:r>
              <w:rPr>
                <w:rFonts w:ascii="Arial" w:cs="Arial" w:eastAsia="Arial" w:hAnsi="Arial"/>
                <w:sz w:val="17"/>
                <w:szCs w:val="17"/>
                <w:color w:val="auto"/>
              </w:rPr>
              <w:t>333-227608</w:t>
            </w:r>
          </w:p>
        </w:tc>
        <w:tc>
          <w:tcPr>
            <w:tcW w:w="1080" w:type="dxa"/>
            <w:vAlign w:val="bottom"/>
          </w:tcPr>
          <w:p>
            <w:pPr>
              <w:jc w:val="center"/>
              <w:ind w:right="34"/>
              <w:spacing w:after="0"/>
              <w:rPr>
                <w:sz w:val="20"/>
                <w:szCs w:val="20"/>
                <w:color w:val="auto"/>
              </w:rPr>
            </w:pPr>
            <w:r>
              <w:rPr>
                <w:rFonts w:ascii="Arial" w:cs="Arial" w:eastAsia="Arial" w:hAnsi="Arial"/>
                <w:sz w:val="17"/>
                <w:szCs w:val="17"/>
                <w:color w:val="auto"/>
              </w:rPr>
              <w:t>3.4</w:t>
            </w:r>
          </w:p>
        </w:tc>
        <w:tc>
          <w:tcPr>
            <w:tcW w:w="1020" w:type="dxa"/>
            <w:vAlign w:val="bottom"/>
          </w:tcPr>
          <w:p>
            <w:pPr>
              <w:jc w:val="center"/>
              <w:ind w:right="54"/>
              <w:spacing w:after="0"/>
              <w:rPr>
                <w:sz w:val="20"/>
                <w:szCs w:val="20"/>
                <w:color w:val="auto"/>
              </w:rPr>
            </w:pPr>
            <w:r>
              <w:rPr>
                <w:rFonts w:ascii="Arial" w:cs="Arial" w:eastAsia="Arial" w:hAnsi="Arial"/>
                <w:sz w:val="17"/>
                <w:szCs w:val="17"/>
                <w:color w:val="auto"/>
                <w:w w:val="98"/>
              </w:rPr>
              <w:t>9/28/18</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4.1</w:t>
            </w:r>
          </w:p>
        </w:tc>
        <w:tc>
          <w:tcPr>
            <w:tcW w:w="4020" w:type="dxa"/>
            <w:vAlign w:val="bottom"/>
            <w:tcBorders>
              <w:bottom w:val="single" w:sz="8" w:color="0000FF"/>
            </w:tcBorders>
            <w:gridSpan w:val="10"/>
          </w:tcPr>
          <w:p>
            <w:pPr>
              <w:spacing w:after="0"/>
              <w:rPr>
                <w:rFonts w:ascii="Arial" w:cs="Arial" w:eastAsia="Arial" w:hAnsi="Arial"/>
                <w:sz w:val="17"/>
                <w:szCs w:val="17"/>
                <w:color w:val="0000FF"/>
              </w:rPr>
            </w:pPr>
            <w:hyperlink r:id="rId177">
              <w:r>
                <w:rPr>
                  <w:rFonts w:ascii="Arial" w:cs="Arial" w:eastAsia="Arial" w:hAnsi="Arial"/>
                  <w:sz w:val="17"/>
                  <w:szCs w:val="17"/>
                  <w:color w:val="0000FF"/>
                </w:rPr>
                <w:t>Amended and Restated Investors’ Rights Agreement</w:t>
              </w:r>
            </w:hyperlink>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20" w:type="dxa"/>
            <w:vAlign w:val="bottom"/>
            <w:gridSpan w:val="10"/>
          </w:tcPr>
          <w:p>
            <w:pPr>
              <w:spacing w:after="0" w:line="148" w:lineRule="exact"/>
              <w:rPr>
                <w:rFonts w:ascii="Arial" w:cs="Arial" w:eastAsia="Arial" w:hAnsi="Arial"/>
                <w:sz w:val="17"/>
                <w:szCs w:val="17"/>
                <w:color w:val="0000FF"/>
              </w:rPr>
            </w:pPr>
            <w:hyperlink r:id="rId177">
              <w:r>
                <w:rPr>
                  <w:rFonts w:ascii="Arial" w:cs="Arial" w:eastAsia="Arial" w:hAnsi="Arial"/>
                  <w:sz w:val="17"/>
                  <w:szCs w:val="17"/>
                  <w:color w:val="0000FF"/>
                </w:rPr>
                <w:t>among the Registrant and certain of its stockholders,</w:t>
              </w:r>
            </w:hyperlink>
          </w:p>
        </w:tc>
        <w:tc>
          <w:tcPr>
            <w:tcW w:w="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S-1</w:t>
            </w:r>
          </w:p>
        </w:tc>
        <w:tc>
          <w:tcPr>
            <w:tcW w:w="1360" w:type="dxa"/>
            <w:vAlign w:val="bottom"/>
            <w:vMerge w:val="restart"/>
          </w:tcPr>
          <w:p>
            <w:pPr>
              <w:jc w:val="center"/>
              <w:spacing w:after="0"/>
              <w:rPr>
                <w:sz w:val="20"/>
                <w:szCs w:val="20"/>
                <w:color w:val="auto"/>
              </w:rPr>
            </w:pPr>
            <w:r>
              <w:rPr>
                <w:rFonts w:ascii="Arial" w:cs="Arial" w:eastAsia="Arial" w:hAnsi="Arial"/>
                <w:sz w:val="17"/>
                <w:szCs w:val="17"/>
                <w:color w:val="auto"/>
              </w:rPr>
              <w:t>333-227608</w:t>
            </w:r>
          </w:p>
        </w:tc>
        <w:tc>
          <w:tcPr>
            <w:tcW w:w="1080" w:type="dxa"/>
            <w:vAlign w:val="bottom"/>
            <w:vMerge w:val="restart"/>
          </w:tcPr>
          <w:p>
            <w:pPr>
              <w:jc w:val="center"/>
              <w:ind w:right="34"/>
              <w:spacing w:after="0"/>
              <w:rPr>
                <w:sz w:val="20"/>
                <w:szCs w:val="20"/>
                <w:color w:val="auto"/>
              </w:rPr>
            </w:pPr>
            <w:r>
              <w:rPr>
                <w:rFonts w:ascii="Arial" w:cs="Arial" w:eastAsia="Arial" w:hAnsi="Arial"/>
                <w:sz w:val="17"/>
                <w:szCs w:val="17"/>
                <w:color w:val="auto"/>
              </w:rPr>
              <w:t>4.1</w:t>
            </w:r>
          </w:p>
        </w:tc>
        <w:tc>
          <w:tcPr>
            <w:tcW w:w="1020" w:type="dxa"/>
            <w:vAlign w:val="bottom"/>
            <w:vMerge w:val="restart"/>
          </w:tcPr>
          <w:p>
            <w:pPr>
              <w:jc w:val="center"/>
              <w:ind w:right="54"/>
              <w:spacing w:after="0"/>
              <w:rPr>
                <w:sz w:val="20"/>
                <w:szCs w:val="20"/>
                <w:color w:val="auto"/>
              </w:rPr>
            </w:pPr>
            <w:r>
              <w:rPr>
                <w:rFonts w:ascii="Arial" w:cs="Arial" w:eastAsia="Arial" w:hAnsi="Arial"/>
                <w:sz w:val="17"/>
                <w:szCs w:val="17"/>
                <w:color w:val="auto"/>
              </w:rPr>
              <w:t>9/28/2019</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177">
              <w:r>
                <w:rPr>
                  <w:rFonts w:ascii="Arial" w:cs="Arial" w:eastAsia="Arial" w:hAnsi="Arial"/>
                  <w:sz w:val="15"/>
                  <w:szCs w:val="15"/>
                  <w:color w:val="0000FF"/>
                </w:rPr>
                <w:t>dated March 20, 2015</w:t>
              </w:r>
              <w:r>
                <w:rPr>
                  <w:rFonts w:ascii="Arial" w:cs="Arial" w:eastAsia="Arial" w:hAnsi="Arial"/>
                  <w:sz w:val="15"/>
                  <w:szCs w:val="15"/>
                  <w:color w:val="000000"/>
                </w:rPr>
                <w:t>.</w:t>
              </w:r>
            </w:hyperlink>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tcPr>
          <w:p>
            <w:pPr>
              <w:ind w:left="20"/>
              <w:spacing w:after="0"/>
              <w:rPr>
                <w:sz w:val="20"/>
                <w:szCs w:val="20"/>
                <w:color w:val="auto"/>
              </w:rPr>
            </w:pPr>
            <w:r>
              <w:rPr>
                <w:rFonts w:ascii="Arial" w:cs="Arial" w:eastAsia="Arial" w:hAnsi="Arial"/>
                <w:sz w:val="17"/>
                <w:szCs w:val="17"/>
                <w:color w:val="auto"/>
              </w:rPr>
              <w:t>4.2</w:t>
            </w:r>
          </w:p>
        </w:tc>
        <w:tc>
          <w:tcPr>
            <w:tcW w:w="2680" w:type="dxa"/>
            <w:vAlign w:val="bottom"/>
            <w:tcBorders>
              <w:bottom w:val="single" w:sz="8" w:color="0000FF"/>
            </w:tcBorders>
            <w:gridSpan w:val="4"/>
          </w:tcPr>
          <w:p>
            <w:pPr>
              <w:spacing w:after="0"/>
              <w:rPr>
                <w:rFonts w:ascii="Arial" w:cs="Arial" w:eastAsia="Arial" w:hAnsi="Arial"/>
                <w:sz w:val="17"/>
                <w:szCs w:val="17"/>
                <w:color w:val="0000FF"/>
              </w:rPr>
            </w:pPr>
            <w:hyperlink r:id="rId178">
              <w:r>
                <w:rPr>
                  <w:rFonts w:ascii="Arial" w:cs="Arial" w:eastAsia="Arial" w:hAnsi="Arial"/>
                  <w:sz w:val="17"/>
                  <w:szCs w:val="17"/>
                  <w:color w:val="0000FF"/>
                </w:rPr>
                <w:t>Form of Common Stock Certificate.</w:t>
              </w:r>
            </w:hyperlink>
          </w:p>
        </w:tc>
        <w:tc>
          <w:tcPr>
            <w:tcW w:w="1340" w:type="dxa"/>
            <w:vAlign w:val="bottom"/>
            <w:gridSpan w:val="6"/>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S-1</w:t>
            </w:r>
          </w:p>
        </w:tc>
        <w:tc>
          <w:tcPr>
            <w:tcW w:w="1360" w:type="dxa"/>
            <w:vAlign w:val="bottom"/>
          </w:tcPr>
          <w:p>
            <w:pPr>
              <w:jc w:val="center"/>
              <w:spacing w:after="0"/>
              <w:rPr>
                <w:sz w:val="20"/>
                <w:szCs w:val="20"/>
                <w:color w:val="auto"/>
              </w:rPr>
            </w:pPr>
            <w:r>
              <w:rPr>
                <w:rFonts w:ascii="Arial" w:cs="Arial" w:eastAsia="Arial" w:hAnsi="Arial"/>
                <w:sz w:val="17"/>
                <w:szCs w:val="17"/>
                <w:color w:val="auto"/>
              </w:rPr>
              <w:t>333-227608</w:t>
            </w:r>
          </w:p>
        </w:tc>
        <w:tc>
          <w:tcPr>
            <w:tcW w:w="1080" w:type="dxa"/>
            <w:vAlign w:val="bottom"/>
          </w:tcPr>
          <w:p>
            <w:pPr>
              <w:jc w:val="center"/>
              <w:ind w:right="34"/>
              <w:spacing w:after="0"/>
              <w:rPr>
                <w:sz w:val="20"/>
                <w:szCs w:val="20"/>
                <w:color w:val="auto"/>
              </w:rPr>
            </w:pPr>
            <w:r>
              <w:rPr>
                <w:rFonts w:ascii="Arial" w:cs="Arial" w:eastAsia="Arial" w:hAnsi="Arial"/>
                <w:sz w:val="17"/>
                <w:szCs w:val="17"/>
                <w:color w:val="auto"/>
              </w:rPr>
              <w:t>4.2</w:t>
            </w:r>
          </w:p>
        </w:tc>
        <w:tc>
          <w:tcPr>
            <w:tcW w:w="1020" w:type="dxa"/>
            <w:vAlign w:val="bottom"/>
          </w:tcPr>
          <w:p>
            <w:pPr>
              <w:jc w:val="center"/>
              <w:ind w:right="54"/>
              <w:spacing w:after="0"/>
              <w:rPr>
                <w:sz w:val="20"/>
                <w:szCs w:val="20"/>
                <w:color w:val="auto"/>
              </w:rPr>
            </w:pPr>
            <w:r>
              <w:rPr>
                <w:rFonts w:ascii="Arial" w:cs="Arial" w:eastAsia="Arial" w:hAnsi="Arial"/>
                <w:sz w:val="17"/>
                <w:szCs w:val="17"/>
                <w:color w:val="auto"/>
              </w:rPr>
              <w:t>4/1/2019</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4.3</w:t>
            </w:r>
          </w:p>
        </w:tc>
        <w:tc>
          <w:tcPr>
            <w:tcW w:w="2160" w:type="dxa"/>
            <w:vAlign w:val="bottom"/>
            <w:tcBorders>
              <w:bottom w:val="single" w:sz="8" w:color="0000FF"/>
            </w:tcBorders>
            <w:gridSpan w:val="2"/>
          </w:tcPr>
          <w:p>
            <w:pPr>
              <w:spacing w:after="0"/>
              <w:rPr>
                <w:rFonts w:ascii="Arial" w:cs="Arial" w:eastAsia="Arial" w:hAnsi="Arial"/>
                <w:sz w:val="17"/>
                <w:szCs w:val="17"/>
                <w:color w:val="0000FF"/>
              </w:rPr>
            </w:pPr>
            <w:hyperlink r:id="rId179">
              <w:r>
                <w:rPr>
                  <w:rFonts w:ascii="Arial" w:cs="Arial" w:eastAsia="Arial" w:hAnsi="Arial"/>
                  <w:sz w:val="17"/>
                  <w:szCs w:val="17"/>
                  <w:color w:val="0000FF"/>
                </w:rPr>
                <w:t>Description of Capital Stock.</w:t>
              </w:r>
            </w:hyperlink>
          </w:p>
        </w:tc>
        <w:tc>
          <w:tcPr>
            <w:tcW w:w="186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10-K</w:t>
            </w:r>
          </w:p>
        </w:tc>
        <w:tc>
          <w:tcPr>
            <w:tcW w:w="1360" w:type="dxa"/>
            <w:vAlign w:val="bottom"/>
          </w:tcPr>
          <w:p>
            <w:pPr>
              <w:jc w:val="center"/>
              <w:spacing w:after="0"/>
              <w:rPr>
                <w:sz w:val="20"/>
                <w:szCs w:val="20"/>
                <w:color w:val="auto"/>
              </w:rPr>
            </w:pPr>
            <w:r>
              <w:rPr>
                <w:rFonts w:ascii="Arial" w:cs="Arial" w:eastAsia="Arial" w:hAnsi="Arial"/>
                <w:sz w:val="17"/>
                <w:szCs w:val="17"/>
                <w:color w:val="auto"/>
              </w:rPr>
              <w:t>001-38853</w:t>
            </w:r>
          </w:p>
        </w:tc>
        <w:tc>
          <w:tcPr>
            <w:tcW w:w="1080" w:type="dxa"/>
            <w:vAlign w:val="bottom"/>
          </w:tcPr>
          <w:p>
            <w:pPr>
              <w:jc w:val="center"/>
              <w:ind w:right="34"/>
              <w:spacing w:after="0"/>
              <w:rPr>
                <w:sz w:val="20"/>
                <w:szCs w:val="20"/>
                <w:color w:val="auto"/>
              </w:rPr>
            </w:pPr>
            <w:r>
              <w:rPr>
                <w:rFonts w:ascii="Arial" w:cs="Arial" w:eastAsia="Arial" w:hAnsi="Arial"/>
                <w:sz w:val="17"/>
                <w:szCs w:val="17"/>
                <w:color w:val="auto"/>
              </w:rPr>
              <w:t>4.3</w:t>
            </w:r>
          </w:p>
        </w:tc>
        <w:tc>
          <w:tcPr>
            <w:tcW w:w="1020" w:type="dxa"/>
            <w:vAlign w:val="bottom"/>
          </w:tcPr>
          <w:p>
            <w:pPr>
              <w:jc w:val="center"/>
              <w:ind w:right="54"/>
              <w:spacing w:after="0"/>
              <w:rPr>
                <w:sz w:val="20"/>
                <w:szCs w:val="20"/>
                <w:color w:val="auto"/>
              </w:rPr>
            </w:pPr>
            <w:r>
              <w:rPr>
                <w:rFonts w:ascii="Arial" w:cs="Arial" w:eastAsia="Arial" w:hAnsi="Arial"/>
                <w:sz w:val="17"/>
                <w:szCs w:val="17"/>
                <w:color w:val="auto"/>
              </w:rPr>
              <w:t>3/17/2020</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10.1*</w:t>
            </w:r>
          </w:p>
        </w:tc>
        <w:tc>
          <w:tcPr>
            <w:tcW w:w="4020" w:type="dxa"/>
            <w:vAlign w:val="bottom"/>
            <w:gridSpan w:val="10"/>
          </w:tcPr>
          <w:p>
            <w:pPr>
              <w:spacing w:after="0"/>
              <w:rPr>
                <w:rFonts w:ascii="Arial" w:cs="Arial" w:eastAsia="Arial" w:hAnsi="Arial"/>
                <w:sz w:val="17"/>
                <w:szCs w:val="17"/>
                <w:color w:val="0000FF"/>
              </w:rPr>
            </w:pPr>
            <w:hyperlink r:id="rId180">
              <w:r>
                <w:rPr>
                  <w:rFonts w:ascii="Arial" w:cs="Arial" w:eastAsia="Arial" w:hAnsi="Arial"/>
                  <w:sz w:val="17"/>
                  <w:szCs w:val="17"/>
                  <w:color w:val="0000FF"/>
                </w:rPr>
                <w:t>2008 Equity Incentive Plan, as amended.</w:t>
              </w:r>
            </w:hyperlink>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S-1</w:t>
            </w:r>
          </w:p>
        </w:tc>
        <w:tc>
          <w:tcPr>
            <w:tcW w:w="1360" w:type="dxa"/>
            <w:vAlign w:val="bottom"/>
          </w:tcPr>
          <w:p>
            <w:pPr>
              <w:jc w:val="center"/>
              <w:spacing w:after="0"/>
              <w:rPr>
                <w:sz w:val="20"/>
                <w:szCs w:val="20"/>
                <w:color w:val="auto"/>
              </w:rPr>
            </w:pPr>
            <w:r>
              <w:rPr>
                <w:rFonts w:ascii="Arial" w:cs="Arial" w:eastAsia="Arial" w:hAnsi="Arial"/>
                <w:sz w:val="17"/>
                <w:szCs w:val="17"/>
                <w:color w:val="auto"/>
              </w:rPr>
              <w:t>333-227608</w:t>
            </w:r>
          </w:p>
        </w:tc>
        <w:tc>
          <w:tcPr>
            <w:tcW w:w="1080" w:type="dxa"/>
            <w:vAlign w:val="bottom"/>
          </w:tcPr>
          <w:p>
            <w:pPr>
              <w:jc w:val="center"/>
              <w:ind w:right="14"/>
              <w:spacing w:after="0"/>
              <w:rPr>
                <w:sz w:val="20"/>
                <w:szCs w:val="20"/>
                <w:color w:val="auto"/>
              </w:rPr>
            </w:pPr>
            <w:r>
              <w:rPr>
                <w:rFonts w:ascii="Arial" w:cs="Arial" w:eastAsia="Arial" w:hAnsi="Arial"/>
                <w:sz w:val="17"/>
                <w:szCs w:val="17"/>
                <w:color w:val="auto"/>
              </w:rPr>
              <w:t>10.1</w:t>
            </w:r>
          </w:p>
        </w:tc>
        <w:tc>
          <w:tcPr>
            <w:tcW w:w="1020" w:type="dxa"/>
            <w:vAlign w:val="bottom"/>
          </w:tcPr>
          <w:p>
            <w:pPr>
              <w:jc w:val="center"/>
              <w:ind w:right="54"/>
              <w:spacing w:after="0"/>
              <w:rPr>
                <w:sz w:val="20"/>
                <w:szCs w:val="20"/>
                <w:color w:val="auto"/>
              </w:rPr>
            </w:pPr>
            <w:r>
              <w:rPr>
                <w:rFonts w:ascii="Arial" w:cs="Arial" w:eastAsia="Arial" w:hAnsi="Arial"/>
                <w:sz w:val="17"/>
                <w:szCs w:val="17"/>
                <w:color w:val="auto"/>
              </w:rPr>
              <w:t>9/28/2018</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00" w:type="dxa"/>
            <w:vAlign w:val="bottom"/>
          </w:tcPr>
          <w:p>
            <w:pPr>
              <w:ind w:left="20"/>
              <w:spacing w:after="0"/>
              <w:rPr>
                <w:sz w:val="20"/>
                <w:szCs w:val="20"/>
                <w:color w:val="auto"/>
              </w:rPr>
            </w:pPr>
            <w:r>
              <w:rPr>
                <w:rFonts w:ascii="Arial" w:cs="Arial" w:eastAsia="Arial" w:hAnsi="Arial"/>
                <w:sz w:val="17"/>
                <w:szCs w:val="17"/>
                <w:color w:val="auto"/>
              </w:rPr>
              <w:t>10.2*</w:t>
            </w:r>
          </w:p>
        </w:tc>
        <w:tc>
          <w:tcPr>
            <w:tcW w:w="4020" w:type="dxa"/>
            <w:vAlign w:val="bottom"/>
            <w:gridSpan w:val="10"/>
          </w:tcPr>
          <w:p>
            <w:pPr>
              <w:spacing w:after="0"/>
              <w:rPr>
                <w:rFonts w:ascii="Arial" w:cs="Arial" w:eastAsia="Arial" w:hAnsi="Arial"/>
                <w:sz w:val="17"/>
                <w:szCs w:val="17"/>
                <w:color w:val="0000FF"/>
              </w:rPr>
            </w:pPr>
            <w:hyperlink r:id="rId181">
              <w:r>
                <w:rPr>
                  <w:rFonts w:ascii="Arial" w:cs="Arial" w:eastAsia="Arial" w:hAnsi="Arial"/>
                  <w:sz w:val="17"/>
                  <w:szCs w:val="17"/>
                  <w:color w:val="0000FF"/>
                </w:rPr>
                <w:t>Form of Stock Option Agreement and Stock Option</w:t>
              </w:r>
            </w:hyperlink>
          </w:p>
        </w:tc>
        <w:tc>
          <w:tcPr>
            <w:tcW w:w="20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S-1</w:t>
            </w:r>
          </w:p>
        </w:tc>
        <w:tc>
          <w:tcPr>
            <w:tcW w:w="1360" w:type="dxa"/>
            <w:vAlign w:val="bottom"/>
            <w:vMerge w:val="restart"/>
          </w:tcPr>
          <w:p>
            <w:pPr>
              <w:jc w:val="center"/>
              <w:spacing w:after="0"/>
              <w:rPr>
                <w:sz w:val="20"/>
                <w:szCs w:val="20"/>
                <w:color w:val="auto"/>
              </w:rPr>
            </w:pPr>
            <w:r>
              <w:rPr>
                <w:rFonts w:ascii="Arial" w:cs="Arial" w:eastAsia="Arial" w:hAnsi="Arial"/>
                <w:sz w:val="17"/>
                <w:szCs w:val="17"/>
                <w:color w:val="auto"/>
              </w:rPr>
              <w:t>333-227608</w:t>
            </w:r>
          </w:p>
        </w:tc>
        <w:tc>
          <w:tcPr>
            <w:tcW w:w="1080" w:type="dxa"/>
            <w:vAlign w:val="bottom"/>
            <w:vMerge w:val="restart"/>
          </w:tcPr>
          <w:p>
            <w:pPr>
              <w:jc w:val="center"/>
              <w:ind w:right="14"/>
              <w:spacing w:after="0"/>
              <w:rPr>
                <w:sz w:val="20"/>
                <w:szCs w:val="20"/>
                <w:color w:val="auto"/>
              </w:rPr>
            </w:pPr>
            <w:r>
              <w:rPr>
                <w:rFonts w:ascii="Arial" w:cs="Arial" w:eastAsia="Arial" w:hAnsi="Arial"/>
                <w:sz w:val="17"/>
                <w:szCs w:val="17"/>
                <w:color w:val="auto"/>
              </w:rPr>
              <w:t>10.2</w:t>
            </w:r>
          </w:p>
        </w:tc>
        <w:tc>
          <w:tcPr>
            <w:tcW w:w="1020" w:type="dxa"/>
            <w:vAlign w:val="bottom"/>
            <w:vMerge w:val="restart"/>
          </w:tcPr>
          <w:p>
            <w:pPr>
              <w:jc w:val="center"/>
              <w:ind w:right="54"/>
              <w:spacing w:after="0"/>
              <w:rPr>
                <w:sz w:val="20"/>
                <w:szCs w:val="20"/>
                <w:color w:val="auto"/>
              </w:rPr>
            </w:pPr>
            <w:r>
              <w:rPr>
                <w:rFonts w:ascii="Arial" w:cs="Arial" w:eastAsia="Arial" w:hAnsi="Arial"/>
                <w:sz w:val="17"/>
                <w:szCs w:val="17"/>
                <w:color w:val="auto"/>
              </w:rPr>
              <w:t>9/28/2018</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80" w:type="dxa"/>
            <w:vAlign w:val="bottom"/>
            <w:tcBorders>
              <w:top w:val="single" w:sz="8" w:color="0000FF"/>
            </w:tcBorders>
            <w:gridSpan w:val="7"/>
          </w:tcPr>
          <w:p>
            <w:pPr>
              <w:spacing w:after="0" w:line="135" w:lineRule="exact"/>
              <w:rPr>
                <w:rFonts w:ascii="Arial" w:cs="Arial" w:eastAsia="Arial" w:hAnsi="Arial"/>
                <w:sz w:val="15"/>
                <w:szCs w:val="15"/>
                <w:color w:val="0000FF"/>
              </w:rPr>
            </w:pPr>
            <w:hyperlink r:id="rId181">
              <w:r>
                <w:rPr>
                  <w:rFonts w:ascii="Arial" w:cs="Arial" w:eastAsia="Arial" w:hAnsi="Arial"/>
                  <w:sz w:val="15"/>
                  <w:szCs w:val="15"/>
                  <w:color w:val="0000FF"/>
                </w:rPr>
                <w:t>Grant Notice under the 2008 Equity Incentive Plan.</w:t>
              </w:r>
            </w:hyperlink>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tcPr>
          <w:p>
            <w:pPr>
              <w:ind w:left="20"/>
              <w:spacing w:after="0"/>
              <w:rPr>
                <w:sz w:val="20"/>
                <w:szCs w:val="20"/>
                <w:color w:val="auto"/>
              </w:rPr>
            </w:pPr>
            <w:r>
              <w:rPr>
                <w:rFonts w:ascii="Arial" w:cs="Arial" w:eastAsia="Arial" w:hAnsi="Arial"/>
                <w:sz w:val="17"/>
                <w:szCs w:val="17"/>
                <w:color w:val="auto"/>
              </w:rPr>
              <w:t>10.3*</w:t>
            </w:r>
          </w:p>
        </w:tc>
        <w:tc>
          <w:tcPr>
            <w:tcW w:w="4020" w:type="dxa"/>
            <w:vAlign w:val="bottom"/>
            <w:gridSpan w:val="10"/>
          </w:tcPr>
          <w:p>
            <w:pPr>
              <w:spacing w:after="0"/>
              <w:rPr>
                <w:rFonts w:ascii="Arial" w:cs="Arial" w:eastAsia="Arial" w:hAnsi="Arial"/>
                <w:sz w:val="17"/>
                <w:szCs w:val="17"/>
                <w:color w:val="0000FF"/>
              </w:rPr>
            </w:pPr>
            <w:hyperlink r:id="rId182">
              <w:r>
                <w:rPr>
                  <w:rFonts w:ascii="Arial" w:cs="Arial" w:eastAsia="Arial" w:hAnsi="Arial"/>
                  <w:sz w:val="17"/>
                  <w:szCs w:val="17"/>
                  <w:color w:val="0000FF"/>
                </w:rPr>
                <w:t>Amended and Restated 2018 Equity Incentive Plan.</w:t>
              </w:r>
            </w:hyperlink>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S-1</w:t>
            </w:r>
          </w:p>
        </w:tc>
        <w:tc>
          <w:tcPr>
            <w:tcW w:w="1360" w:type="dxa"/>
            <w:vAlign w:val="bottom"/>
          </w:tcPr>
          <w:p>
            <w:pPr>
              <w:jc w:val="center"/>
              <w:spacing w:after="0"/>
              <w:rPr>
                <w:sz w:val="20"/>
                <w:szCs w:val="20"/>
                <w:color w:val="auto"/>
              </w:rPr>
            </w:pPr>
            <w:r>
              <w:rPr>
                <w:rFonts w:ascii="Arial" w:cs="Arial" w:eastAsia="Arial" w:hAnsi="Arial"/>
                <w:sz w:val="17"/>
                <w:szCs w:val="17"/>
                <w:color w:val="auto"/>
              </w:rPr>
              <w:t>333-227608</w:t>
            </w:r>
          </w:p>
        </w:tc>
        <w:tc>
          <w:tcPr>
            <w:tcW w:w="1080" w:type="dxa"/>
            <w:vAlign w:val="bottom"/>
          </w:tcPr>
          <w:p>
            <w:pPr>
              <w:jc w:val="center"/>
              <w:ind w:right="14"/>
              <w:spacing w:after="0"/>
              <w:rPr>
                <w:sz w:val="20"/>
                <w:szCs w:val="20"/>
                <w:color w:val="auto"/>
              </w:rPr>
            </w:pPr>
            <w:r>
              <w:rPr>
                <w:rFonts w:ascii="Arial" w:cs="Arial" w:eastAsia="Arial" w:hAnsi="Arial"/>
                <w:sz w:val="17"/>
                <w:szCs w:val="17"/>
                <w:color w:val="auto"/>
              </w:rPr>
              <w:t>10.3</w:t>
            </w:r>
          </w:p>
        </w:tc>
        <w:tc>
          <w:tcPr>
            <w:tcW w:w="1020" w:type="dxa"/>
            <w:vAlign w:val="bottom"/>
          </w:tcPr>
          <w:p>
            <w:pPr>
              <w:jc w:val="center"/>
              <w:ind w:right="54"/>
              <w:spacing w:after="0"/>
              <w:rPr>
                <w:sz w:val="20"/>
                <w:szCs w:val="20"/>
                <w:color w:val="auto"/>
              </w:rPr>
            </w:pPr>
            <w:r>
              <w:rPr>
                <w:rFonts w:ascii="Arial" w:cs="Arial" w:eastAsia="Arial" w:hAnsi="Arial"/>
                <w:sz w:val="17"/>
                <w:szCs w:val="17"/>
                <w:color w:val="auto"/>
              </w:rPr>
              <w:t>3/25/2019</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6"/>
        </w:trPr>
        <w:tc>
          <w:tcPr>
            <w:tcW w:w="1300" w:type="dxa"/>
            <w:vAlign w:val="bottom"/>
          </w:tcPr>
          <w:p>
            <w:pPr>
              <w:spacing w:after="0"/>
              <w:rPr>
                <w:sz w:val="24"/>
                <w:szCs w:val="24"/>
                <w:color w:val="auto"/>
              </w:rPr>
            </w:pPr>
          </w:p>
        </w:tc>
        <w:tc>
          <w:tcPr>
            <w:tcW w:w="16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534"/>
              <w:spacing w:after="0"/>
              <w:rPr>
                <w:sz w:val="20"/>
                <w:szCs w:val="20"/>
                <w:color w:val="auto"/>
              </w:rPr>
            </w:pPr>
            <w:r>
              <w:rPr>
                <w:rFonts w:ascii="Arial" w:cs="Arial" w:eastAsia="Arial" w:hAnsi="Arial"/>
                <w:sz w:val="17"/>
                <w:szCs w:val="17"/>
                <w:color w:val="auto"/>
              </w:rPr>
              <w:t>131</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0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31" w:name="page132"/>
    <w:bookmarkEnd w:id="131"/>
    <w:p>
      <w:pPr>
        <w:ind w:left="60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Arial" w:cs="Arial" w:eastAsia="Arial" w:hAnsi="Arial"/>
                <w:sz w:val="17"/>
                <w:szCs w:val="17"/>
                <w:color w:val="auto"/>
              </w:rPr>
              <w:t>10.4*</w:t>
            </w:r>
          </w:p>
        </w:tc>
        <w:tc>
          <w:tcPr>
            <w:tcW w:w="4320" w:type="dxa"/>
            <w:vAlign w:val="bottom"/>
            <w:gridSpan w:val="37"/>
          </w:tcPr>
          <w:p>
            <w:pPr>
              <w:spacing w:after="0"/>
              <w:rPr>
                <w:rFonts w:ascii="Arial" w:cs="Arial" w:eastAsia="Arial" w:hAnsi="Arial"/>
                <w:sz w:val="17"/>
                <w:szCs w:val="17"/>
                <w:color w:val="0000FF"/>
              </w:rPr>
            </w:pPr>
            <w:hyperlink r:id="rId185">
              <w:r>
                <w:rPr>
                  <w:rFonts w:ascii="Arial" w:cs="Arial" w:eastAsia="Arial" w:hAnsi="Arial"/>
                  <w:sz w:val="17"/>
                  <w:szCs w:val="17"/>
                  <w:color w:val="0000FF"/>
                </w:rPr>
                <w:t>Forms of Stock Option Agreement and Notice of Grant</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160" w:type="dxa"/>
            <w:vAlign w:val="bottom"/>
            <w:tcBorders>
              <w:top w:val="single" w:sz="8" w:color="0000FF"/>
            </w:tcBorders>
            <w:gridSpan w:val="29"/>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of Stock Option under the Amended and Restated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80" w:type="dxa"/>
            <w:vAlign w:val="bottom"/>
            <w:tcBorders>
              <w:top w:val="single" w:sz="8" w:color="0000FF"/>
              <w:bottom w:val="single" w:sz="8" w:color="0000FF"/>
            </w:tcBorders>
            <w:gridSpan w:val="5"/>
          </w:tcPr>
          <w:p>
            <w:pPr>
              <w:spacing w:after="0" w:line="135" w:lineRule="exact"/>
              <w:rPr>
                <w:rFonts w:ascii="Arial" w:cs="Arial" w:eastAsia="Arial" w:hAnsi="Arial"/>
                <w:sz w:val="15"/>
                <w:szCs w:val="15"/>
                <w:color w:val="0000FF"/>
              </w:rPr>
            </w:pPr>
            <w:hyperlink r:id="rId185">
              <w:r>
                <w:rPr>
                  <w:rFonts w:ascii="Arial" w:cs="Arial" w:eastAsia="Arial" w:hAnsi="Arial"/>
                  <w:sz w:val="15"/>
                  <w:szCs w:val="15"/>
                  <w:color w:val="0000FF"/>
                </w:rPr>
                <w:t>2018 Equity Incentive Plan.</w:t>
              </w:r>
            </w:hyperlink>
          </w:p>
        </w:tc>
        <w:tc>
          <w:tcPr>
            <w:tcW w:w="172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10.5*</w:t>
            </w:r>
          </w:p>
        </w:tc>
        <w:tc>
          <w:tcPr>
            <w:tcW w:w="4320" w:type="dxa"/>
            <w:vAlign w:val="bottom"/>
            <w:gridSpan w:val="37"/>
          </w:tcPr>
          <w:p>
            <w:pPr>
              <w:spacing w:after="0"/>
              <w:rPr>
                <w:rFonts w:ascii="Arial" w:cs="Arial" w:eastAsia="Arial" w:hAnsi="Arial"/>
                <w:sz w:val="17"/>
                <w:szCs w:val="17"/>
                <w:color w:val="0000FF"/>
              </w:rPr>
            </w:pPr>
            <w:hyperlink r:id="rId186">
              <w:r>
                <w:rPr>
                  <w:rFonts w:ascii="Arial" w:cs="Arial" w:eastAsia="Arial" w:hAnsi="Arial"/>
                  <w:sz w:val="17"/>
                  <w:szCs w:val="17"/>
                  <w:color w:val="0000FF"/>
                </w:rPr>
                <w:t>Forms of Restricted Stock Unit Agreement and Notice</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80" w:type="dxa"/>
            <w:vAlign w:val="bottom"/>
            <w:tcBorders>
              <w:top w:val="single" w:sz="8" w:color="0000FF"/>
            </w:tcBorders>
            <w:gridSpan w:val="26"/>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of Grant of Restricted Stock Unit under the Amended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2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and Restated 2018 Equity Incentive Plan.</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10.6*</w:t>
            </w:r>
          </w:p>
        </w:tc>
        <w:tc>
          <w:tcPr>
            <w:tcW w:w="3140" w:type="dxa"/>
            <w:vAlign w:val="bottom"/>
            <w:tcBorders>
              <w:top w:val="single" w:sz="8" w:color="0000FF"/>
            </w:tcBorders>
            <w:gridSpan w:val="10"/>
          </w:tcPr>
          <w:p>
            <w:pPr>
              <w:spacing w:after="0"/>
              <w:rPr>
                <w:rFonts w:ascii="Arial" w:cs="Arial" w:eastAsia="Arial" w:hAnsi="Arial"/>
                <w:sz w:val="17"/>
                <w:szCs w:val="17"/>
                <w:color w:val="0000FF"/>
              </w:rPr>
            </w:pPr>
            <w:hyperlink r:id="rId187">
              <w:r>
                <w:rPr>
                  <w:rFonts w:ascii="Arial" w:cs="Arial" w:eastAsia="Arial" w:hAnsi="Arial"/>
                  <w:sz w:val="17"/>
                  <w:szCs w:val="17"/>
                  <w:color w:val="0000FF"/>
                </w:rPr>
                <w:t>2019 Employee Stock Purchase Plan.</w:t>
              </w:r>
            </w:hyperlink>
          </w:p>
        </w:tc>
        <w:tc>
          <w:tcPr>
            <w:tcW w:w="1180" w:type="dxa"/>
            <w:vAlign w:val="bottom"/>
            <w:gridSpan w:val="27"/>
          </w:tcPr>
          <w:p>
            <w:pPr>
              <w:spacing w:after="0"/>
              <w:rPr>
                <w:sz w:val="18"/>
                <w:szCs w:val="18"/>
                <w:color w:val="auto"/>
              </w:rPr>
            </w:pPr>
          </w:p>
        </w:tc>
        <w:tc>
          <w:tcPr>
            <w:tcW w:w="520" w:type="dxa"/>
            <w:vAlign w:val="bottom"/>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10.7*</w:t>
            </w:r>
          </w:p>
        </w:tc>
        <w:tc>
          <w:tcPr>
            <w:tcW w:w="4020" w:type="dxa"/>
            <w:vAlign w:val="bottom"/>
            <w:tcBorders>
              <w:bottom w:val="single" w:sz="8" w:color="0000FF"/>
            </w:tcBorders>
            <w:gridSpan w:val="24"/>
          </w:tcPr>
          <w:p>
            <w:pPr>
              <w:spacing w:after="0"/>
              <w:rPr>
                <w:rFonts w:ascii="Arial" w:cs="Arial" w:eastAsia="Arial" w:hAnsi="Arial"/>
                <w:sz w:val="17"/>
                <w:szCs w:val="17"/>
                <w:color w:val="0000FF"/>
              </w:rPr>
            </w:pPr>
            <w:hyperlink r:id="rId188">
              <w:r>
                <w:rPr>
                  <w:rFonts w:ascii="Arial" w:cs="Arial" w:eastAsia="Arial" w:hAnsi="Arial"/>
                  <w:sz w:val="17"/>
                  <w:szCs w:val="17"/>
                  <w:color w:val="0000FF"/>
                </w:rPr>
                <w:t>Form of Indemnification Agreement, by and between</w:t>
              </w:r>
            </w:hyperlink>
          </w:p>
        </w:tc>
        <w:tc>
          <w:tcPr>
            <w:tcW w:w="30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320" w:type="dxa"/>
            <w:vAlign w:val="bottom"/>
            <w:gridSpan w:val="37"/>
          </w:tcPr>
          <w:p>
            <w:pPr>
              <w:spacing w:after="0" w:line="148" w:lineRule="exact"/>
              <w:rPr>
                <w:rFonts w:ascii="Arial" w:cs="Arial" w:eastAsia="Arial" w:hAnsi="Arial"/>
                <w:sz w:val="17"/>
                <w:szCs w:val="17"/>
                <w:color w:val="0000FF"/>
              </w:rPr>
            </w:pPr>
            <w:hyperlink r:id="rId188">
              <w:r>
                <w:rPr>
                  <w:rFonts w:ascii="Arial" w:cs="Arial" w:eastAsia="Arial" w:hAnsi="Arial"/>
                  <w:sz w:val="17"/>
                  <w:szCs w:val="17"/>
                  <w:color w:val="0000FF"/>
                </w:rPr>
                <w:t>NGM Biopharmaceuticals, Inc. and each of its directors</w:t>
              </w:r>
            </w:hyperlink>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80" w:type="dxa"/>
            <w:vAlign w:val="bottom"/>
            <w:tcBorders>
              <w:top w:val="single" w:sz="8" w:color="0000FF"/>
            </w:tcBorders>
            <w:gridSpan w:val="35"/>
          </w:tcPr>
          <w:p>
            <w:pPr>
              <w:spacing w:after="0" w:line="135" w:lineRule="exact"/>
              <w:rPr>
                <w:rFonts w:ascii="Arial" w:cs="Arial" w:eastAsia="Arial" w:hAnsi="Arial"/>
                <w:sz w:val="15"/>
                <w:szCs w:val="15"/>
                <w:color w:val="0000FF"/>
              </w:rPr>
            </w:pPr>
            <w:hyperlink r:id="rId188">
              <w:r>
                <w:rPr>
                  <w:rFonts w:ascii="Arial" w:cs="Arial" w:eastAsia="Arial" w:hAnsi="Arial"/>
                  <w:sz w:val="15"/>
                  <w:szCs w:val="15"/>
                  <w:color w:val="0000FF"/>
                </w:rPr>
                <w:t>and executive officers.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10.8*</w:t>
            </w:r>
          </w:p>
        </w:tc>
        <w:tc>
          <w:tcPr>
            <w:tcW w:w="4320" w:type="dxa"/>
            <w:vAlign w:val="bottom"/>
            <w:gridSpan w:val="37"/>
          </w:tcPr>
          <w:p>
            <w:pPr>
              <w:spacing w:after="0"/>
              <w:rPr>
                <w:rFonts w:ascii="Arial" w:cs="Arial" w:eastAsia="Arial" w:hAnsi="Arial"/>
                <w:sz w:val="17"/>
                <w:szCs w:val="17"/>
                <w:color w:val="0000FF"/>
              </w:rPr>
            </w:pPr>
            <w:hyperlink r:id="rId189">
              <w:r>
                <w:rPr>
                  <w:rFonts w:ascii="Arial" w:cs="Arial" w:eastAsia="Arial" w:hAnsi="Arial"/>
                  <w:sz w:val="17"/>
                  <w:szCs w:val="17"/>
                  <w:color w:val="0000FF"/>
                </w:rPr>
                <w:t>NGM Biopharmaceuticals, Inc. Non-Employee Director</w:t>
              </w:r>
            </w:hyperlink>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Borders>
              <w:top w:val="single" w:sz="8" w:color="0000FF"/>
            </w:tcBorders>
            <w:gridSpan w:val="32"/>
          </w:tcPr>
          <w:p>
            <w:pPr>
              <w:spacing w:after="0" w:line="148" w:lineRule="exact"/>
              <w:rPr>
                <w:rFonts w:ascii="Arial" w:cs="Arial" w:eastAsia="Arial" w:hAnsi="Arial"/>
                <w:sz w:val="17"/>
                <w:szCs w:val="17"/>
                <w:color w:val="0000FF"/>
              </w:rPr>
            </w:pPr>
            <w:hyperlink r:id="rId189">
              <w:r>
                <w:rPr>
                  <w:rFonts w:ascii="Arial" w:cs="Arial" w:eastAsia="Arial" w:hAnsi="Arial"/>
                  <w:sz w:val="17"/>
                  <w:szCs w:val="17"/>
                  <w:color w:val="0000FF"/>
                </w:rPr>
                <w:t>Compensation Policy.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10.9*</w:t>
            </w:r>
          </w:p>
        </w:tc>
        <w:tc>
          <w:tcPr>
            <w:tcW w:w="4320" w:type="dxa"/>
            <w:vAlign w:val="bottom"/>
            <w:gridSpan w:val="37"/>
          </w:tcPr>
          <w:p>
            <w:pPr>
              <w:spacing w:after="0"/>
              <w:rPr>
                <w:sz w:val="20"/>
                <w:szCs w:val="20"/>
                <w:color w:val="auto"/>
              </w:rPr>
            </w:pPr>
            <w:r>
              <w:rPr>
                <w:rFonts w:ascii="Arial" w:cs="Arial" w:eastAsia="Arial" w:hAnsi="Arial"/>
                <w:sz w:val="17"/>
                <w:szCs w:val="17"/>
                <w:color w:val="0000FF"/>
              </w:rPr>
              <w:t>Amended and Restated Non-Employee Director</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640" w:type="dxa"/>
            <w:vAlign w:val="bottom"/>
            <w:tcBorders>
              <w:top w:val="single" w:sz="8" w:color="0000FF"/>
            </w:tcBorders>
            <w:gridSpan w:val="13"/>
          </w:tcPr>
          <w:p>
            <w:pPr>
              <w:spacing w:after="0" w:line="148" w:lineRule="exact"/>
              <w:rPr>
                <w:sz w:val="20"/>
                <w:szCs w:val="20"/>
                <w:color w:val="auto"/>
              </w:rPr>
            </w:pPr>
            <w:r>
              <w:rPr>
                <w:rFonts w:ascii="Arial" w:cs="Arial" w:eastAsia="Arial" w:hAnsi="Arial"/>
                <w:sz w:val="17"/>
                <w:szCs w:val="17"/>
                <w:color w:val="0000FF"/>
              </w:rPr>
              <w:t>Executive Compensation Policy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10.10*</w:t>
            </w:r>
          </w:p>
        </w:tc>
        <w:tc>
          <w:tcPr>
            <w:tcW w:w="4320" w:type="dxa"/>
            <w:vAlign w:val="bottom"/>
            <w:gridSpan w:val="37"/>
          </w:tcPr>
          <w:p>
            <w:pPr>
              <w:spacing w:after="0"/>
              <w:rPr>
                <w:sz w:val="20"/>
                <w:szCs w:val="20"/>
                <w:color w:val="auto"/>
              </w:rPr>
            </w:pPr>
            <w:r>
              <w:rPr>
                <w:rFonts w:ascii="Arial" w:cs="Arial" w:eastAsia="Arial" w:hAnsi="Arial"/>
                <w:sz w:val="17"/>
                <w:szCs w:val="17"/>
                <w:color w:val="0000FF"/>
              </w:rPr>
              <w:t>Forms of Stock Option Agreement and Notice of Grant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160" w:type="dxa"/>
            <w:vAlign w:val="bottom"/>
            <w:tcBorders>
              <w:top w:val="single" w:sz="8" w:color="0000FF"/>
            </w:tcBorders>
            <w:gridSpan w:val="29"/>
          </w:tcPr>
          <w:p>
            <w:pPr>
              <w:spacing w:after="0" w:line="148" w:lineRule="exact"/>
              <w:rPr>
                <w:sz w:val="20"/>
                <w:szCs w:val="20"/>
                <w:color w:val="auto"/>
              </w:rPr>
            </w:pPr>
            <w:r>
              <w:rPr>
                <w:rFonts w:ascii="Arial" w:cs="Arial" w:eastAsia="Arial" w:hAnsi="Arial"/>
                <w:sz w:val="17"/>
                <w:szCs w:val="17"/>
                <w:color w:val="0000FF"/>
              </w:rPr>
              <w:t>of Stock Option for Non-employee Directors Under the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10-Q</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140" w:type="dxa"/>
            <w:vAlign w:val="bottom"/>
            <w:tcBorders>
              <w:top w:val="single" w:sz="8" w:color="0000FF"/>
            </w:tcBorders>
            <w:gridSpan w:val="28"/>
          </w:tcPr>
          <w:p>
            <w:pPr>
              <w:spacing w:after="0" w:line="135" w:lineRule="exact"/>
              <w:rPr>
                <w:sz w:val="20"/>
                <w:szCs w:val="20"/>
                <w:color w:val="auto"/>
              </w:rPr>
            </w:pPr>
            <w:r>
              <w:rPr>
                <w:rFonts w:ascii="Arial" w:cs="Arial" w:eastAsia="Arial" w:hAnsi="Arial"/>
                <w:sz w:val="15"/>
                <w:szCs w:val="15"/>
                <w:color w:val="0000FF"/>
              </w:rPr>
              <w:t>Amended and Restated 2018 Equity Incentive Plan</w:t>
            </w:r>
            <w:r>
              <w:rPr>
                <w:rFonts w:ascii="Arial" w:cs="Arial" w:eastAsia="Arial" w:hAnsi="Arial"/>
                <w:sz w:val="15"/>
                <w:szCs w:val="15"/>
                <w:color w:val="000000"/>
              </w:rPr>
              <w:t>.</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20"/>
                <w:szCs w:val="20"/>
                <w:color w:val="auto"/>
              </w:rPr>
            </w:pPr>
            <w:r>
              <w:rPr>
                <w:rFonts w:ascii="Arial" w:cs="Arial" w:eastAsia="Arial" w:hAnsi="Arial"/>
                <w:sz w:val="17"/>
                <w:szCs w:val="17"/>
                <w:color w:val="auto"/>
              </w:rPr>
              <w:t>10.11</w:t>
            </w:r>
          </w:p>
        </w:tc>
        <w:tc>
          <w:tcPr>
            <w:tcW w:w="3900" w:type="dxa"/>
            <w:vAlign w:val="bottom"/>
            <w:tcBorders>
              <w:top w:val="single" w:sz="8" w:color="0000FF"/>
            </w:tcBorders>
            <w:gridSpan w:val="19"/>
          </w:tcPr>
          <w:p>
            <w:pPr>
              <w:spacing w:after="0"/>
              <w:rPr>
                <w:rFonts w:ascii="Arial" w:cs="Arial" w:eastAsia="Arial" w:hAnsi="Arial"/>
                <w:sz w:val="17"/>
                <w:szCs w:val="17"/>
                <w:color w:val="0000FF"/>
              </w:rPr>
            </w:pPr>
            <w:hyperlink r:id="rId190">
              <w:r>
                <w:rPr>
                  <w:rFonts w:ascii="Arial" w:cs="Arial" w:eastAsia="Arial" w:hAnsi="Arial"/>
                  <w:sz w:val="17"/>
                  <w:szCs w:val="17"/>
                  <w:color w:val="0000FF"/>
                </w:rPr>
                <w:t>Sublease Agreement, by and between NGM</w:t>
              </w:r>
            </w:hyperlink>
          </w:p>
        </w:tc>
        <w:tc>
          <w:tcPr>
            <w:tcW w:w="420" w:type="dxa"/>
            <w:vAlign w:val="bottom"/>
            <w:gridSpan w:val="18"/>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360" w:type="dxa"/>
            <w:vAlign w:val="bottom"/>
            <w:tcBorders>
              <w:top w:val="single" w:sz="8" w:color="0000FF"/>
            </w:tcBorders>
            <w:gridSpan w:val="12"/>
          </w:tcPr>
          <w:p>
            <w:pPr>
              <w:spacing w:after="0" w:line="149" w:lineRule="exact"/>
              <w:rPr>
                <w:rFonts w:ascii="Arial" w:cs="Arial" w:eastAsia="Arial" w:hAnsi="Arial"/>
                <w:sz w:val="17"/>
                <w:szCs w:val="17"/>
                <w:color w:val="0000FF"/>
              </w:rPr>
            </w:pPr>
            <w:hyperlink r:id="rId190">
              <w:r>
                <w:rPr>
                  <w:rFonts w:ascii="Arial" w:cs="Arial" w:eastAsia="Arial" w:hAnsi="Arial"/>
                  <w:sz w:val="17"/>
                  <w:szCs w:val="17"/>
                  <w:color w:val="0000FF"/>
                </w:rPr>
                <w:t>Biopharmaceuticals, Inc. and AMGEN Inc.,</w:t>
              </w:r>
            </w:hyperlink>
          </w:p>
        </w:tc>
        <w:tc>
          <w:tcPr>
            <w:tcW w:w="960" w:type="dxa"/>
            <w:vAlign w:val="bottom"/>
            <w:gridSpan w:val="25"/>
          </w:tcPr>
          <w:p>
            <w:pPr>
              <w:spacing w:after="0" w:line="149" w:lineRule="exact"/>
              <w:rPr>
                <w:rFonts w:ascii="Arial" w:cs="Arial" w:eastAsia="Arial" w:hAnsi="Arial"/>
                <w:sz w:val="17"/>
                <w:szCs w:val="17"/>
                <w:color w:val="0000FF"/>
              </w:rPr>
            </w:pPr>
            <w:hyperlink r:id="rId190">
              <w:r>
                <w:rPr>
                  <w:rFonts w:ascii="Arial" w:cs="Arial" w:eastAsia="Arial" w:hAnsi="Arial"/>
                  <w:sz w:val="17"/>
                  <w:szCs w:val="17"/>
                  <w:color w:val="0000FF"/>
                </w:rPr>
                <w:t>dated</w:t>
              </w:r>
            </w:hyperlink>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3"/>
          </w:tcPr>
          <w:p>
            <w:pPr>
              <w:spacing w:after="0" w:line="135" w:lineRule="exact"/>
              <w:rPr>
                <w:rFonts w:ascii="Arial" w:cs="Arial" w:eastAsia="Arial" w:hAnsi="Arial"/>
                <w:sz w:val="15"/>
                <w:szCs w:val="15"/>
                <w:color w:val="0000FF"/>
              </w:rPr>
            </w:pPr>
            <w:hyperlink r:id="rId190">
              <w:r>
                <w:rPr>
                  <w:rFonts w:ascii="Arial" w:cs="Arial" w:eastAsia="Arial" w:hAnsi="Arial"/>
                  <w:sz w:val="15"/>
                  <w:szCs w:val="15"/>
                  <w:color w:val="0000FF"/>
                </w:rPr>
                <w:t>December 11, 2015.</w:t>
              </w:r>
            </w:hyperlink>
          </w:p>
        </w:tc>
        <w:tc>
          <w:tcPr>
            <w:tcW w:w="2180" w:type="dxa"/>
            <w:vAlign w:val="bottom"/>
            <w:tcBorders>
              <w:top w:val="single" w:sz="8" w:color="0000FF"/>
            </w:tcBorders>
            <w:gridSpan w:val="12"/>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10.12*</w:t>
            </w:r>
          </w:p>
        </w:tc>
        <w:tc>
          <w:tcPr>
            <w:tcW w:w="4320" w:type="dxa"/>
            <w:vAlign w:val="bottom"/>
            <w:gridSpan w:val="37"/>
          </w:tcPr>
          <w:p>
            <w:pPr>
              <w:spacing w:after="0"/>
              <w:rPr>
                <w:rFonts w:ascii="Arial" w:cs="Arial" w:eastAsia="Arial" w:hAnsi="Arial"/>
                <w:sz w:val="17"/>
                <w:szCs w:val="17"/>
                <w:color w:val="0000FF"/>
              </w:rPr>
            </w:pPr>
            <w:hyperlink r:id="rId191">
              <w:r>
                <w:rPr>
                  <w:rFonts w:ascii="Arial" w:cs="Arial" w:eastAsia="Arial" w:hAnsi="Arial"/>
                  <w:sz w:val="17"/>
                  <w:szCs w:val="17"/>
                  <w:color w:val="0000FF"/>
                </w:rPr>
                <w:t>Executive Employment Offer Letter, by and between</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980" w:type="dxa"/>
            <w:vAlign w:val="bottom"/>
            <w:tcBorders>
              <w:top w:val="single" w:sz="8" w:color="0000FF"/>
            </w:tcBorders>
            <w:gridSpan w:val="22"/>
          </w:tcPr>
          <w:p>
            <w:pPr>
              <w:spacing w:after="0" w:line="148" w:lineRule="exact"/>
              <w:rPr>
                <w:rFonts w:ascii="Arial" w:cs="Arial" w:eastAsia="Arial" w:hAnsi="Arial"/>
                <w:sz w:val="17"/>
                <w:szCs w:val="17"/>
                <w:color w:val="0000FF"/>
              </w:rPr>
            </w:pPr>
            <w:hyperlink r:id="rId191">
              <w:r>
                <w:rPr>
                  <w:rFonts w:ascii="Arial" w:cs="Arial" w:eastAsia="Arial" w:hAnsi="Arial"/>
                  <w:sz w:val="17"/>
                  <w:szCs w:val="17"/>
                  <w:color w:val="0000FF"/>
                </w:rPr>
                <w:t>NGM Biopharmaceuticals, Inc. and Jin-Long Chen,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60" w:type="dxa"/>
            <w:vAlign w:val="bottom"/>
            <w:tcBorders>
              <w:top w:val="single" w:sz="8" w:color="0000FF"/>
            </w:tcBorders>
            <w:gridSpan w:val="17"/>
          </w:tcPr>
          <w:p>
            <w:pPr>
              <w:spacing w:after="0" w:line="135" w:lineRule="exact"/>
              <w:rPr>
                <w:rFonts w:ascii="Arial" w:cs="Arial" w:eastAsia="Arial" w:hAnsi="Arial"/>
                <w:sz w:val="15"/>
                <w:szCs w:val="15"/>
                <w:color w:val="0000FF"/>
              </w:rPr>
            </w:pPr>
            <w:hyperlink r:id="rId191">
              <w:r>
                <w:rPr>
                  <w:rFonts w:ascii="Arial" w:cs="Arial" w:eastAsia="Arial" w:hAnsi="Arial"/>
                  <w:sz w:val="15"/>
                  <w:szCs w:val="15"/>
                  <w:color w:val="0000FF"/>
                </w:rPr>
                <w:t>Ph.D.</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10.13*</w:t>
            </w:r>
          </w:p>
        </w:tc>
        <w:tc>
          <w:tcPr>
            <w:tcW w:w="4320" w:type="dxa"/>
            <w:vAlign w:val="bottom"/>
            <w:gridSpan w:val="37"/>
          </w:tcPr>
          <w:p>
            <w:pPr>
              <w:spacing w:after="0"/>
              <w:rPr>
                <w:rFonts w:ascii="Arial" w:cs="Arial" w:eastAsia="Arial" w:hAnsi="Arial"/>
                <w:sz w:val="17"/>
                <w:szCs w:val="17"/>
                <w:color w:val="0000FF"/>
              </w:rPr>
            </w:pPr>
            <w:hyperlink r:id="rId192">
              <w:r>
                <w:rPr>
                  <w:rFonts w:ascii="Arial" w:cs="Arial" w:eastAsia="Arial" w:hAnsi="Arial"/>
                  <w:sz w:val="17"/>
                  <w:szCs w:val="17"/>
                  <w:color w:val="0000FF"/>
                </w:rPr>
                <w:t>Executive Employment Agreement, by and between</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20"/>
          </w:tcPr>
          <w:p>
            <w:pPr>
              <w:spacing w:after="0" w:line="148" w:lineRule="exact"/>
              <w:rPr>
                <w:rFonts w:ascii="Arial" w:cs="Arial" w:eastAsia="Arial" w:hAnsi="Arial"/>
                <w:sz w:val="17"/>
                <w:szCs w:val="17"/>
                <w:color w:val="0000FF"/>
                <w:w w:val="95"/>
              </w:rPr>
            </w:pPr>
            <w:hyperlink r:id="rId192">
              <w:r>
                <w:rPr>
                  <w:rFonts w:ascii="Arial" w:cs="Arial" w:eastAsia="Arial" w:hAnsi="Arial"/>
                  <w:sz w:val="17"/>
                  <w:szCs w:val="17"/>
                  <w:color w:val="0000FF"/>
                  <w:w w:val="95"/>
                </w:rPr>
                <w:t>NGM Biopharmaceuticals, Inc. and David Woodhouse,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00" w:type="dxa"/>
            <w:vAlign w:val="bottom"/>
            <w:gridSpan w:val="31"/>
          </w:tcPr>
          <w:p>
            <w:pPr>
              <w:spacing w:after="0" w:line="135" w:lineRule="exact"/>
              <w:rPr>
                <w:rFonts w:ascii="Arial" w:cs="Arial" w:eastAsia="Arial" w:hAnsi="Arial"/>
                <w:sz w:val="15"/>
                <w:szCs w:val="15"/>
                <w:color w:val="0000FF"/>
              </w:rPr>
            </w:pPr>
            <w:hyperlink r:id="rId192">
              <w:r>
                <w:rPr>
                  <w:rFonts w:ascii="Arial" w:cs="Arial" w:eastAsia="Arial" w:hAnsi="Arial"/>
                  <w:sz w:val="15"/>
                  <w:szCs w:val="15"/>
                  <w:color w:val="0000FF"/>
                </w:rPr>
                <w:t>Ph.D.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10.14*</w:t>
            </w:r>
          </w:p>
        </w:tc>
        <w:tc>
          <w:tcPr>
            <w:tcW w:w="4320" w:type="dxa"/>
            <w:vAlign w:val="bottom"/>
            <w:gridSpan w:val="37"/>
          </w:tcPr>
          <w:p>
            <w:pPr>
              <w:spacing w:after="0"/>
              <w:rPr>
                <w:sz w:val="20"/>
                <w:szCs w:val="20"/>
                <w:color w:val="auto"/>
              </w:rPr>
            </w:pPr>
            <w:r>
              <w:rPr>
                <w:rFonts w:ascii="Arial" w:cs="Arial" w:eastAsia="Arial" w:hAnsi="Arial"/>
                <w:sz w:val="17"/>
                <w:szCs w:val="17"/>
                <w:color w:val="0000FF"/>
              </w:rPr>
              <w:t>Offer Letter Agreement, by and between the Registrant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34"/>
          </w:tcPr>
          <w:p>
            <w:pPr>
              <w:spacing w:after="0" w:line="148" w:lineRule="exact"/>
              <w:rPr>
                <w:sz w:val="20"/>
                <w:szCs w:val="20"/>
                <w:color w:val="auto"/>
              </w:rPr>
            </w:pPr>
            <w:r>
              <w:rPr>
                <w:rFonts w:ascii="Arial" w:cs="Arial" w:eastAsia="Arial" w:hAnsi="Arial"/>
                <w:sz w:val="17"/>
                <w:szCs w:val="17"/>
                <w:color w:val="0000FF"/>
              </w:rPr>
              <w:t>and Hsiao D. Lieu, M.D., dated as of January 16, 2019.</w:t>
            </w: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10.15*</w:t>
            </w:r>
          </w:p>
        </w:tc>
        <w:tc>
          <w:tcPr>
            <w:tcW w:w="4320" w:type="dxa"/>
            <w:vAlign w:val="bottom"/>
            <w:gridSpan w:val="37"/>
          </w:tcPr>
          <w:p>
            <w:pPr>
              <w:spacing w:after="0"/>
              <w:rPr>
                <w:rFonts w:ascii="Arial" w:cs="Arial" w:eastAsia="Arial" w:hAnsi="Arial"/>
                <w:sz w:val="17"/>
                <w:szCs w:val="17"/>
                <w:color w:val="0000FF"/>
              </w:rPr>
            </w:pPr>
            <w:hyperlink r:id="rId193">
              <w:r>
                <w:rPr>
                  <w:rFonts w:ascii="Arial" w:cs="Arial" w:eastAsia="Arial" w:hAnsi="Arial"/>
                  <w:sz w:val="17"/>
                  <w:szCs w:val="17"/>
                  <w:color w:val="0000FF"/>
                </w:rPr>
                <w:t>Offer Letter Agreement, by and between the Registrant</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40" w:type="dxa"/>
            <w:vAlign w:val="bottom"/>
            <w:tcBorders>
              <w:top w:val="single" w:sz="8" w:color="0000FF"/>
            </w:tcBorders>
            <w:gridSpan w:val="33"/>
          </w:tcPr>
          <w:p>
            <w:pPr>
              <w:spacing w:after="0" w:line="148" w:lineRule="exact"/>
              <w:rPr>
                <w:rFonts w:ascii="Arial" w:cs="Arial" w:eastAsia="Arial" w:hAnsi="Arial"/>
                <w:sz w:val="17"/>
                <w:szCs w:val="17"/>
                <w:color w:val="0000FF"/>
              </w:rPr>
            </w:pPr>
            <w:hyperlink r:id="rId193">
              <w:r>
                <w:rPr>
                  <w:rFonts w:ascii="Arial" w:cs="Arial" w:eastAsia="Arial" w:hAnsi="Arial"/>
                  <w:sz w:val="17"/>
                  <w:szCs w:val="17"/>
                  <w:color w:val="0000FF"/>
                </w:rPr>
                <w:t>and Valerie L. Pierce, dated as of August 6, 2019, and</w:t>
              </w:r>
            </w:hyperlink>
          </w:p>
        </w:tc>
        <w:tc>
          <w:tcPr>
            <w:tcW w:w="80" w:type="dxa"/>
            <w:vAlign w:val="bottom"/>
            <w:gridSpan w:val="4"/>
          </w:tcPr>
          <w:p>
            <w:pPr>
              <w:spacing w:after="0"/>
              <w:rPr>
                <w:sz w:val="12"/>
                <w:szCs w:val="12"/>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10-Q</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120" w:type="dxa"/>
            <w:vAlign w:val="bottom"/>
            <w:tcBorders>
              <w:top w:val="single" w:sz="8" w:color="0000FF"/>
            </w:tcBorders>
            <w:gridSpan w:val="27"/>
          </w:tcPr>
          <w:p>
            <w:pPr>
              <w:spacing w:after="0" w:line="135" w:lineRule="exact"/>
              <w:rPr>
                <w:rFonts w:ascii="Arial" w:cs="Arial" w:eastAsia="Arial" w:hAnsi="Arial"/>
                <w:sz w:val="15"/>
                <w:szCs w:val="15"/>
                <w:color w:val="0000FF"/>
              </w:rPr>
            </w:pPr>
            <w:hyperlink r:id="rId193">
              <w:r>
                <w:rPr>
                  <w:rFonts w:ascii="Arial" w:cs="Arial" w:eastAsia="Arial" w:hAnsi="Arial"/>
                  <w:sz w:val="15"/>
                  <w:szCs w:val="15"/>
                  <w:color w:val="0000FF"/>
                </w:rPr>
                <w:t>related information.</w:t>
              </w:r>
            </w:hyperlink>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10.16*</w:t>
            </w:r>
          </w:p>
        </w:tc>
        <w:tc>
          <w:tcPr>
            <w:tcW w:w="4260" w:type="dxa"/>
            <w:vAlign w:val="bottom"/>
            <w:tcBorders>
              <w:bottom w:val="single" w:sz="8" w:color="0000FF"/>
            </w:tcBorders>
            <w:gridSpan w:val="34"/>
          </w:tcPr>
          <w:p>
            <w:pPr>
              <w:spacing w:after="0"/>
              <w:rPr>
                <w:rFonts w:ascii="Arial" w:cs="Arial" w:eastAsia="Arial" w:hAnsi="Arial"/>
                <w:sz w:val="17"/>
                <w:szCs w:val="17"/>
                <w:color w:val="0000FF"/>
              </w:rPr>
            </w:pPr>
            <w:hyperlink r:id="rId194">
              <w:r>
                <w:rPr>
                  <w:rFonts w:ascii="Arial" w:cs="Arial" w:eastAsia="Arial" w:hAnsi="Arial"/>
                  <w:sz w:val="17"/>
                  <w:szCs w:val="17"/>
                  <w:color w:val="0000FF"/>
                </w:rPr>
                <w:t>Offer Letter Agreement, by and between the Registrant</w:t>
              </w:r>
            </w:hyperlink>
          </w:p>
        </w:tc>
        <w:tc>
          <w:tcPr>
            <w:tcW w:w="60" w:type="dxa"/>
            <w:vAlign w:val="bottom"/>
            <w:gridSpan w:val="3"/>
          </w:tcPr>
          <w:p>
            <w:pPr>
              <w:spacing w:after="0"/>
              <w:rPr>
                <w:sz w:val="18"/>
                <w:szCs w:val="18"/>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10-Q</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320" w:type="dxa"/>
            <w:vAlign w:val="bottom"/>
            <w:gridSpan w:val="37"/>
          </w:tcPr>
          <w:p>
            <w:pPr>
              <w:spacing w:after="0" w:line="135" w:lineRule="exact"/>
              <w:rPr>
                <w:rFonts w:ascii="Arial" w:cs="Arial" w:eastAsia="Arial" w:hAnsi="Arial"/>
                <w:sz w:val="15"/>
                <w:szCs w:val="15"/>
                <w:color w:val="0000FF"/>
              </w:rPr>
            </w:pPr>
            <w:hyperlink r:id="rId194">
              <w:r>
                <w:rPr>
                  <w:rFonts w:ascii="Arial" w:cs="Arial" w:eastAsia="Arial" w:hAnsi="Arial"/>
                  <w:sz w:val="15"/>
                  <w:szCs w:val="15"/>
                  <w:color w:val="0000FF"/>
                </w:rPr>
                <w:t>and Siobhan Nolan Mangini, dated as of May 20, 2020</w:t>
              </w:r>
              <w:r>
                <w:rPr>
                  <w:rFonts w:ascii="Arial" w:cs="Arial" w:eastAsia="Arial" w:hAnsi="Arial"/>
                  <w:sz w:val="15"/>
                  <w:szCs w:val="15"/>
                  <w:color w:val="000000"/>
                </w:rPr>
                <w:t>.</w:t>
              </w:r>
            </w:hyperlink>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10.17#</w:t>
            </w:r>
          </w:p>
        </w:tc>
        <w:tc>
          <w:tcPr>
            <w:tcW w:w="4180" w:type="dxa"/>
            <w:vAlign w:val="bottom"/>
            <w:tcBorders>
              <w:top w:val="single" w:sz="8" w:color="0000FF"/>
            </w:tcBorders>
            <w:gridSpan w:val="30"/>
          </w:tcPr>
          <w:p>
            <w:pPr>
              <w:spacing w:after="0"/>
              <w:rPr>
                <w:rFonts w:ascii="Arial" w:cs="Arial" w:eastAsia="Arial" w:hAnsi="Arial"/>
                <w:sz w:val="17"/>
                <w:szCs w:val="17"/>
                <w:color w:val="0000FF"/>
              </w:rPr>
            </w:pPr>
            <w:hyperlink r:id="rId195">
              <w:r>
                <w:rPr>
                  <w:rFonts w:ascii="Arial" w:cs="Arial" w:eastAsia="Arial" w:hAnsi="Arial"/>
                  <w:sz w:val="17"/>
                  <w:szCs w:val="17"/>
                  <w:color w:val="0000FF"/>
                </w:rPr>
                <w:t>Research Collaboration, Product Development and</w:t>
              </w:r>
            </w:hyperlink>
          </w:p>
        </w:tc>
        <w:tc>
          <w:tcPr>
            <w:tcW w:w="14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3880" w:type="dxa"/>
            <w:vAlign w:val="bottom"/>
            <w:tcBorders>
              <w:top w:val="single" w:sz="8" w:color="0000FF"/>
            </w:tcBorders>
            <w:gridSpan w:val="18"/>
          </w:tcPr>
          <w:p>
            <w:pPr>
              <w:spacing w:after="0" w:line="147" w:lineRule="exact"/>
              <w:rPr>
                <w:rFonts w:ascii="Arial" w:cs="Arial" w:eastAsia="Arial" w:hAnsi="Arial"/>
                <w:sz w:val="17"/>
                <w:szCs w:val="17"/>
                <w:color w:val="0000FF"/>
              </w:rPr>
            </w:pPr>
            <w:hyperlink r:id="rId195">
              <w:r>
                <w:rPr>
                  <w:rFonts w:ascii="Arial" w:cs="Arial" w:eastAsia="Arial" w:hAnsi="Arial"/>
                  <w:sz w:val="17"/>
                  <w:szCs w:val="17"/>
                  <w:color w:val="0000FF"/>
                </w:rPr>
                <w:t>License Agreement by and between NGM</w:t>
              </w:r>
            </w:hyperlink>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12"/>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180" w:type="dxa"/>
            <w:vAlign w:val="bottom"/>
            <w:tcBorders>
              <w:top w:val="single" w:sz="8" w:color="0000FF"/>
            </w:tcBorders>
            <w:gridSpan w:val="11"/>
          </w:tcPr>
          <w:p>
            <w:pPr>
              <w:spacing w:after="0" w:line="149" w:lineRule="exact"/>
              <w:rPr>
                <w:rFonts w:ascii="Arial" w:cs="Arial" w:eastAsia="Arial" w:hAnsi="Arial"/>
                <w:sz w:val="17"/>
                <w:szCs w:val="17"/>
                <w:color w:val="0000FF"/>
                <w:w w:val="98"/>
              </w:rPr>
            </w:pPr>
            <w:hyperlink r:id="rId195">
              <w:r>
                <w:rPr>
                  <w:rFonts w:ascii="Arial" w:cs="Arial" w:eastAsia="Arial" w:hAnsi="Arial"/>
                  <w:sz w:val="17"/>
                  <w:szCs w:val="17"/>
                  <w:color w:val="0000FF"/>
                  <w:w w:val="98"/>
                </w:rPr>
                <w:t>Biopharmaceuticals, Inc. and Merck Sharp</w:t>
              </w:r>
            </w:hyperlink>
          </w:p>
        </w:tc>
        <w:tc>
          <w:tcPr>
            <w:tcW w:w="1140" w:type="dxa"/>
            <w:vAlign w:val="bottom"/>
            <w:gridSpan w:val="26"/>
          </w:tcPr>
          <w:p>
            <w:pPr>
              <w:ind w:left="100"/>
              <w:spacing w:after="0" w:line="149" w:lineRule="exact"/>
              <w:rPr>
                <w:rFonts w:ascii="Arial" w:cs="Arial" w:eastAsia="Arial" w:hAnsi="Arial"/>
                <w:sz w:val="17"/>
                <w:szCs w:val="17"/>
                <w:color w:val="0000FF"/>
              </w:rPr>
            </w:pPr>
            <w:hyperlink r:id="rId195">
              <w:r>
                <w:rPr>
                  <w:rFonts w:ascii="Arial" w:cs="Arial" w:eastAsia="Arial" w:hAnsi="Arial"/>
                  <w:sz w:val="17"/>
                  <w:szCs w:val="17"/>
                  <w:color w:val="0000FF"/>
                </w:rPr>
                <w:t>&amp; Dohme</w:t>
              </w:r>
            </w:hyperlink>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4000" w:type="dxa"/>
            <w:vAlign w:val="bottom"/>
            <w:tcBorders>
              <w:top w:val="single" w:sz="8" w:color="0000FF"/>
            </w:tcBorders>
            <w:gridSpan w:val="23"/>
          </w:tcPr>
          <w:p>
            <w:pPr>
              <w:spacing w:after="0" w:line="161" w:lineRule="exact"/>
              <w:rPr>
                <w:rFonts w:ascii="Arial" w:cs="Arial" w:eastAsia="Arial" w:hAnsi="Arial"/>
                <w:sz w:val="17"/>
                <w:szCs w:val="17"/>
                <w:color w:val="0000FF"/>
              </w:rPr>
            </w:pPr>
            <w:hyperlink r:id="rId195">
              <w:r>
                <w:rPr>
                  <w:rFonts w:ascii="Arial" w:cs="Arial" w:eastAsia="Arial" w:hAnsi="Arial"/>
                  <w:sz w:val="17"/>
                  <w:szCs w:val="17"/>
                  <w:color w:val="0000FF"/>
                </w:rPr>
                <w:t>Corp., dated as of February 18, 2015.</w:t>
              </w:r>
            </w:hyperlink>
          </w:p>
        </w:tc>
        <w:tc>
          <w:tcPr>
            <w:tcW w:w="40" w:type="dxa"/>
            <w:vAlign w:val="bottom"/>
            <w:gridSpan w:val="2"/>
          </w:tcPr>
          <w:p>
            <w:pPr>
              <w:spacing w:after="0"/>
              <w:rPr>
                <w:sz w:val="13"/>
                <w:szCs w:val="13"/>
                <w:color w:val="auto"/>
              </w:rPr>
            </w:pPr>
          </w:p>
        </w:tc>
        <w:tc>
          <w:tcPr>
            <w:tcW w:w="280" w:type="dxa"/>
            <w:vAlign w:val="bottom"/>
            <w:gridSpan w:val="12"/>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10.18</w:t>
            </w:r>
          </w:p>
        </w:tc>
        <w:tc>
          <w:tcPr>
            <w:tcW w:w="4320" w:type="dxa"/>
            <w:vAlign w:val="bottom"/>
            <w:gridSpan w:val="37"/>
          </w:tcPr>
          <w:p>
            <w:pPr>
              <w:spacing w:after="0"/>
              <w:rPr>
                <w:rFonts w:ascii="Arial" w:cs="Arial" w:eastAsia="Arial" w:hAnsi="Arial"/>
                <w:sz w:val="17"/>
                <w:szCs w:val="17"/>
                <w:color w:val="0000FF"/>
              </w:rPr>
            </w:pPr>
            <w:hyperlink r:id="rId196">
              <w:r>
                <w:rPr>
                  <w:rFonts w:ascii="Arial" w:cs="Arial" w:eastAsia="Arial" w:hAnsi="Arial"/>
                  <w:sz w:val="17"/>
                  <w:szCs w:val="17"/>
                  <w:color w:val="0000FF"/>
                </w:rPr>
                <w:t>Letter Agreement, by and between NGM</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tcPr>
          <w:p>
            <w:pPr>
              <w:spacing w:after="0"/>
              <w:rPr>
                <w:sz w:val="12"/>
                <w:szCs w:val="12"/>
                <w:color w:val="auto"/>
              </w:rPr>
            </w:pPr>
          </w:p>
        </w:tc>
        <w:tc>
          <w:tcPr>
            <w:tcW w:w="4320" w:type="dxa"/>
            <w:vAlign w:val="bottom"/>
            <w:gridSpan w:val="37"/>
          </w:tcPr>
          <w:p>
            <w:pPr>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Biopharmaceuticals, Inc. and Merck Sharp &amp; Dohme</w:t>
              </w:r>
            </w:hyperlink>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7"/>
          </w:tcPr>
          <w:p>
            <w:pPr>
              <w:spacing w:after="0" w:line="135" w:lineRule="exact"/>
              <w:rPr>
                <w:rFonts w:ascii="Arial" w:cs="Arial" w:eastAsia="Arial" w:hAnsi="Arial"/>
                <w:sz w:val="15"/>
                <w:szCs w:val="15"/>
                <w:color w:val="0000FF"/>
              </w:rPr>
            </w:pPr>
            <w:hyperlink r:id="rId196">
              <w:r>
                <w:rPr>
                  <w:rFonts w:ascii="Arial" w:cs="Arial" w:eastAsia="Arial" w:hAnsi="Arial"/>
                  <w:sz w:val="15"/>
                  <w:szCs w:val="15"/>
                  <w:color w:val="0000FF"/>
                </w:rPr>
                <w:t>Corp., dated as of March 20, 2015.</w:t>
              </w:r>
            </w:hyperlink>
          </w:p>
        </w:tc>
        <w:tc>
          <w:tcPr>
            <w:tcW w:w="134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gridSpan w:val="12"/>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20"/>
                <w:szCs w:val="20"/>
                <w:color w:val="auto"/>
              </w:rPr>
            </w:pPr>
            <w:r>
              <w:rPr>
                <w:rFonts w:ascii="Arial" w:cs="Arial" w:eastAsia="Arial" w:hAnsi="Arial"/>
                <w:sz w:val="17"/>
                <w:szCs w:val="17"/>
                <w:color w:val="auto"/>
              </w:rPr>
              <w:t>10.19**</w:t>
            </w:r>
          </w:p>
        </w:tc>
        <w:tc>
          <w:tcPr>
            <w:tcW w:w="4320" w:type="dxa"/>
            <w:vAlign w:val="bottom"/>
            <w:gridSpan w:val="37"/>
          </w:tcPr>
          <w:p>
            <w:pPr>
              <w:spacing w:after="0"/>
              <w:rPr>
                <w:rFonts w:ascii="Arial" w:cs="Arial" w:eastAsia="Arial" w:hAnsi="Arial"/>
                <w:sz w:val="17"/>
                <w:szCs w:val="17"/>
                <w:color w:val="0000FF"/>
              </w:rPr>
            </w:pPr>
            <w:hyperlink r:id="rId197">
              <w:r>
                <w:rPr>
                  <w:rFonts w:ascii="Arial" w:cs="Arial" w:eastAsia="Arial" w:hAnsi="Arial"/>
                  <w:sz w:val="17"/>
                  <w:szCs w:val="17"/>
                  <w:color w:val="0000FF"/>
                </w:rPr>
                <w:t>Amended and Restated Research Collaboration,</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700" w:type="dxa"/>
            <w:vAlign w:val="bottom"/>
            <w:tcBorders>
              <w:top w:val="single" w:sz="8" w:color="0000FF"/>
            </w:tcBorders>
            <w:gridSpan w:val="14"/>
          </w:tcPr>
          <w:p>
            <w:pPr>
              <w:spacing w:after="0" w:line="149" w:lineRule="exact"/>
              <w:rPr>
                <w:rFonts w:ascii="Arial" w:cs="Arial" w:eastAsia="Arial" w:hAnsi="Arial"/>
                <w:sz w:val="17"/>
                <w:szCs w:val="17"/>
                <w:color w:val="0000FF"/>
              </w:rPr>
            </w:pPr>
            <w:hyperlink r:id="rId197">
              <w:r>
                <w:rPr>
                  <w:rFonts w:ascii="Arial" w:cs="Arial" w:eastAsia="Arial" w:hAnsi="Arial"/>
                  <w:sz w:val="17"/>
                  <w:szCs w:val="17"/>
                  <w:color w:val="0000FF"/>
                </w:rPr>
                <w:t>Product Development and License Agreement,</w:t>
              </w:r>
            </w:hyperlink>
          </w:p>
        </w:tc>
        <w:tc>
          <w:tcPr>
            <w:tcW w:w="620" w:type="dxa"/>
            <w:vAlign w:val="bottom"/>
            <w:gridSpan w:val="23"/>
          </w:tcPr>
          <w:p>
            <w:pPr>
              <w:spacing w:after="0" w:line="149" w:lineRule="exact"/>
              <w:rPr>
                <w:rFonts w:ascii="Arial" w:cs="Arial" w:eastAsia="Arial" w:hAnsi="Arial"/>
                <w:sz w:val="17"/>
                <w:szCs w:val="17"/>
                <w:color w:val="0000FF"/>
              </w:rPr>
            </w:pPr>
            <w:hyperlink r:id="rId197">
              <w:r>
                <w:rPr>
                  <w:rFonts w:ascii="Arial" w:cs="Arial" w:eastAsia="Arial" w:hAnsi="Arial"/>
                  <w:sz w:val="17"/>
                  <w:szCs w:val="17"/>
                  <w:color w:val="0000FF"/>
                </w:rPr>
                <w:t>made</w:t>
              </w:r>
            </w:hyperlink>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4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197">
              <w:r>
                <w:rPr>
                  <w:rFonts w:ascii="Arial" w:cs="Arial" w:eastAsia="Arial" w:hAnsi="Arial"/>
                  <w:sz w:val="17"/>
                  <w:szCs w:val="17"/>
                  <w:color w:val="0000FF"/>
                </w:rPr>
                <w:t>effective as of June 30, 2021, by and between NGM</w:t>
              </w:r>
            </w:hyperlink>
          </w:p>
        </w:tc>
        <w:tc>
          <w:tcPr>
            <w:tcW w:w="280" w:type="dxa"/>
            <w:vAlign w:val="bottom"/>
            <w:gridSpan w:val="12"/>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3960" w:type="dxa"/>
            <w:vAlign w:val="bottom"/>
            <w:tcBorders>
              <w:top w:val="single" w:sz="8" w:color="0000FF"/>
            </w:tcBorders>
            <w:gridSpan w:val="21"/>
          </w:tcPr>
          <w:p>
            <w:pPr>
              <w:spacing w:after="0" w:line="161" w:lineRule="exact"/>
              <w:rPr>
                <w:rFonts w:ascii="Arial" w:cs="Arial" w:eastAsia="Arial" w:hAnsi="Arial"/>
                <w:sz w:val="17"/>
                <w:szCs w:val="17"/>
                <w:color w:val="0000FF"/>
                <w:w w:val="99"/>
              </w:rPr>
            </w:pPr>
            <w:hyperlink r:id="rId197">
              <w:r>
                <w:rPr>
                  <w:rFonts w:ascii="Arial" w:cs="Arial" w:eastAsia="Arial" w:hAnsi="Arial"/>
                  <w:sz w:val="17"/>
                  <w:szCs w:val="17"/>
                  <w:color w:val="0000FF"/>
                  <w:w w:val="99"/>
                </w:rPr>
                <w:t>Biopharmaceuticals, Inc. and Merck Sharp &amp; Dohme</w:t>
              </w:r>
            </w:hyperlink>
          </w:p>
        </w:tc>
        <w:tc>
          <w:tcPr>
            <w:tcW w:w="360" w:type="dxa"/>
            <w:vAlign w:val="bottom"/>
            <w:gridSpan w:val="16"/>
          </w:tcPr>
          <w:p>
            <w:pPr>
              <w:spacing w:after="0"/>
              <w:rPr>
                <w:sz w:val="13"/>
                <w:szCs w:val="13"/>
                <w:color w:val="auto"/>
              </w:rPr>
            </w:pPr>
          </w:p>
        </w:tc>
        <w:tc>
          <w:tcPr>
            <w:tcW w:w="520" w:type="dxa"/>
            <w:vAlign w:val="bottom"/>
            <w:vMerge w:val="restart"/>
          </w:tcPr>
          <w:p>
            <w:pPr>
              <w:jc w:val="center"/>
              <w:ind w:left="34"/>
              <w:spacing w:after="0"/>
              <w:rPr>
                <w:sz w:val="20"/>
                <w:szCs w:val="20"/>
                <w:color w:val="auto"/>
              </w:rPr>
            </w:pPr>
            <w:r>
              <w:rPr>
                <w:rFonts w:ascii="Arial" w:cs="Arial" w:eastAsia="Arial" w:hAnsi="Arial"/>
                <w:sz w:val="17"/>
                <w:szCs w:val="17"/>
                <w:color w:val="auto"/>
              </w:rPr>
              <w:t>10-Q</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rPr>
            </w:pPr>
            <w:hyperlink r:id="rId197">
              <w:r>
                <w:rPr>
                  <w:rFonts w:ascii="Arial" w:cs="Arial" w:eastAsia="Arial" w:hAnsi="Arial"/>
                  <w:sz w:val="15"/>
                  <w:szCs w:val="15"/>
                  <w:color w:val="0000FF"/>
                </w:rPr>
                <w:t>Corp.</w:t>
              </w:r>
            </w:hyperlink>
          </w:p>
        </w:tc>
        <w:tc>
          <w:tcPr>
            <w:tcW w:w="3580" w:type="dxa"/>
            <w:vAlign w:val="bottom"/>
            <w:tcBorders>
              <w:top w:val="single" w:sz="8" w:color="0000FF"/>
            </w:tcBorders>
            <w:gridSpan w:val="22"/>
          </w:tcPr>
          <w:p>
            <w:pPr>
              <w:spacing w:after="0"/>
              <w:rPr>
                <w:sz w:val="12"/>
                <w:szCs w:val="12"/>
                <w:color w:val="auto"/>
              </w:rPr>
            </w:pPr>
          </w:p>
        </w:tc>
        <w:tc>
          <w:tcPr>
            <w:tcW w:w="320" w:type="dxa"/>
            <w:vAlign w:val="bottom"/>
            <w:gridSpan w:val="14"/>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125730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42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3/25/2019</w:t>
      </w:r>
    </w:p>
    <w:p>
      <w:pPr>
        <w:spacing w:after="0" w:line="372" w:lineRule="exact"/>
        <w:rPr>
          <w:sz w:val="20"/>
          <w:szCs w:val="20"/>
          <w:color w:val="auto"/>
        </w:rPr>
      </w:pPr>
    </w:p>
    <w:p>
      <w:pPr>
        <w:spacing w:after="0"/>
        <w:tabs>
          <w:tab w:leader="none" w:pos="142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3/25/2019</w:t>
      </w:r>
    </w:p>
    <w:p>
      <w:pPr>
        <w:spacing w:after="0" w:line="24" w:lineRule="exact"/>
        <w:rPr>
          <w:sz w:val="20"/>
          <w:szCs w:val="20"/>
          <w:color w:val="auto"/>
        </w:rPr>
      </w:pPr>
    </w:p>
    <w:p>
      <w:pPr>
        <w:spacing w:after="0"/>
        <w:tabs>
          <w:tab w:leader="none" w:pos="142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3/25/2019</w:t>
      </w:r>
    </w:p>
    <w:p>
      <w:pPr>
        <w:spacing w:after="0" w:line="372" w:lineRule="exact"/>
        <w:rPr>
          <w:sz w:val="20"/>
          <w:szCs w:val="20"/>
          <w:color w:val="auto"/>
        </w:rPr>
      </w:pPr>
    </w:p>
    <w:p>
      <w:pPr>
        <w:spacing w:after="0"/>
        <w:tabs>
          <w:tab w:leader="none" w:pos="142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9/28/2018</w:t>
      </w:r>
    </w:p>
    <w:p>
      <w:pPr>
        <w:spacing w:after="0" w:line="204" w:lineRule="exact"/>
        <w:rPr>
          <w:sz w:val="20"/>
          <w:szCs w:val="20"/>
          <w:color w:val="auto"/>
        </w:rPr>
      </w:pPr>
    </w:p>
    <w:p>
      <w:pPr>
        <w:spacing w:after="0"/>
        <w:tabs>
          <w:tab w:leader="none" w:pos="142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3/25/2019</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X</w:t>
      </w:r>
    </w:p>
    <w:p>
      <w:pPr>
        <w:spacing w:after="0" w:line="377" w:lineRule="exact"/>
        <w:rPr>
          <w:sz w:val="20"/>
          <w:szCs w:val="20"/>
          <w:color w:val="auto"/>
        </w:rPr>
      </w:pPr>
    </w:p>
    <w:p>
      <w:pPr>
        <w:ind w:left="60"/>
        <w:spacing w:after="0"/>
        <w:tabs>
          <w:tab w:leader="none" w:pos="1420" w:val="left"/>
          <w:tab w:leader="none" w:pos="2280" w:val="left"/>
        </w:tabs>
        <w:rPr>
          <w:sz w:val="20"/>
          <w:szCs w:val="20"/>
          <w:color w:val="auto"/>
        </w:rPr>
      </w:pPr>
      <w:r>
        <w:rPr>
          <w:rFonts w:ascii="Arial" w:cs="Arial" w:eastAsia="Arial" w:hAnsi="Arial"/>
          <w:sz w:val="17"/>
          <w:szCs w:val="17"/>
          <w:color w:val="auto"/>
        </w:rPr>
        <w:t>001-38853</w:t>
      </w:r>
      <w:r>
        <w:rPr>
          <w:sz w:val="20"/>
          <w:szCs w:val="20"/>
          <w:color w:val="auto"/>
        </w:rPr>
        <w:tab/>
      </w: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8/5/2021</w:t>
      </w:r>
    </w:p>
    <w:p>
      <w:pPr>
        <w:spacing w:after="0" w:line="372" w:lineRule="exact"/>
        <w:rPr>
          <w:sz w:val="20"/>
          <w:szCs w:val="20"/>
          <w:color w:val="auto"/>
        </w:rPr>
      </w:pPr>
    </w:p>
    <w:p>
      <w:pPr>
        <w:spacing w:after="0"/>
        <w:tabs>
          <w:tab w:leader="none" w:pos="142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9/28/2018</w:t>
      </w:r>
    </w:p>
    <w:p>
      <w:pPr>
        <w:spacing w:after="0" w:line="372" w:lineRule="exact"/>
        <w:rPr>
          <w:sz w:val="20"/>
          <w:szCs w:val="20"/>
          <w:color w:val="auto"/>
        </w:rPr>
      </w:pPr>
    </w:p>
    <w:p>
      <w:pPr>
        <w:spacing w:after="0"/>
        <w:tabs>
          <w:tab w:leader="none" w:pos="138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9/28/2018</w:t>
      </w:r>
    </w:p>
    <w:p>
      <w:pPr>
        <w:spacing w:after="0" w:line="372" w:lineRule="exact"/>
        <w:rPr>
          <w:sz w:val="20"/>
          <w:szCs w:val="20"/>
          <w:color w:val="auto"/>
        </w:rPr>
      </w:pPr>
    </w:p>
    <w:p>
      <w:pPr>
        <w:spacing w:after="0"/>
        <w:tabs>
          <w:tab w:leader="none" w:pos="138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3/25/2019</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X</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100" w:type="dxa"/>
            <w:vAlign w:val="bottom"/>
          </w:tcPr>
          <w:p>
            <w:pPr>
              <w:jc w:val="right"/>
              <w:ind w:right="174"/>
              <w:spacing w:after="0"/>
              <w:rPr>
                <w:sz w:val="20"/>
                <w:szCs w:val="20"/>
                <w:color w:val="auto"/>
              </w:rPr>
            </w:pPr>
            <w:r>
              <w:rPr>
                <w:rFonts w:ascii="Arial" w:cs="Arial" w:eastAsia="Arial" w:hAnsi="Arial"/>
                <w:sz w:val="17"/>
                <w:szCs w:val="17"/>
                <w:color w:val="auto"/>
              </w:rPr>
              <w:t>001-38853</w:t>
            </w:r>
          </w:p>
        </w:tc>
        <w:tc>
          <w:tcPr>
            <w:tcW w:w="900" w:type="dxa"/>
            <w:vAlign w:val="bottom"/>
          </w:tcPr>
          <w:p>
            <w:pPr>
              <w:jc w:val="right"/>
              <w:ind w:right="174"/>
              <w:spacing w:after="0"/>
              <w:rPr>
                <w:sz w:val="20"/>
                <w:szCs w:val="20"/>
                <w:color w:val="auto"/>
              </w:rPr>
            </w:pPr>
            <w:r>
              <w:rPr>
                <w:rFonts w:ascii="Arial" w:cs="Arial" w:eastAsia="Arial" w:hAnsi="Arial"/>
                <w:sz w:val="17"/>
                <w:szCs w:val="17"/>
                <w:color w:val="auto"/>
              </w:rPr>
              <w:t>10.3</w:t>
            </w:r>
          </w:p>
        </w:tc>
        <w:tc>
          <w:tcPr>
            <w:tcW w:w="980" w:type="dxa"/>
            <w:vAlign w:val="bottom"/>
          </w:tcPr>
          <w:p>
            <w:pPr>
              <w:jc w:val="right"/>
              <w:spacing w:after="0"/>
              <w:rPr>
                <w:sz w:val="20"/>
                <w:szCs w:val="20"/>
                <w:color w:val="auto"/>
              </w:rPr>
            </w:pPr>
            <w:r>
              <w:rPr>
                <w:rFonts w:ascii="Arial" w:cs="Arial" w:eastAsia="Arial" w:hAnsi="Arial"/>
                <w:sz w:val="17"/>
                <w:szCs w:val="17"/>
                <w:color w:val="auto"/>
              </w:rPr>
              <w:t>5/6/2021</w:t>
            </w:r>
          </w:p>
        </w:tc>
      </w:tr>
      <w:tr>
        <w:trPr>
          <w:trHeight w:val="400"/>
        </w:trPr>
        <w:tc>
          <w:tcPr>
            <w:tcW w:w="1100" w:type="dxa"/>
            <w:vAlign w:val="bottom"/>
          </w:tcPr>
          <w:p>
            <w:pPr>
              <w:jc w:val="right"/>
              <w:ind w:right="194"/>
              <w:spacing w:after="0"/>
              <w:rPr>
                <w:sz w:val="20"/>
                <w:szCs w:val="20"/>
                <w:color w:val="auto"/>
              </w:rPr>
            </w:pPr>
            <w:r>
              <w:rPr>
                <w:rFonts w:ascii="Arial" w:cs="Arial" w:eastAsia="Arial" w:hAnsi="Arial"/>
                <w:sz w:val="17"/>
                <w:szCs w:val="17"/>
                <w:color w:val="auto"/>
                <w:w w:val="98"/>
              </w:rPr>
              <w:t>001-38853</w:t>
            </w:r>
          </w:p>
        </w:tc>
        <w:tc>
          <w:tcPr>
            <w:tcW w:w="900" w:type="dxa"/>
            <w:vAlign w:val="bottom"/>
          </w:tcPr>
          <w:p>
            <w:pPr>
              <w:jc w:val="right"/>
              <w:ind w:right="134"/>
              <w:spacing w:after="0"/>
              <w:rPr>
                <w:sz w:val="20"/>
                <w:szCs w:val="20"/>
                <w:color w:val="auto"/>
              </w:rPr>
            </w:pPr>
            <w:r>
              <w:rPr>
                <w:rFonts w:ascii="Arial" w:cs="Arial" w:eastAsia="Arial" w:hAnsi="Arial"/>
                <w:sz w:val="17"/>
                <w:szCs w:val="17"/>
                <w:color w:val="auto"/>
              </w:rPr>
              <w:t>10.12</w:t>
            </w:r>
          </w:p>
        </w:tc>
        <w:tc>
          <w:tcPr>
            <w:tcW w:w="980" w:type="dxa"/>
            <w:vAlign w:val="bottom"/>
          </w:tcPr>
          <w:p>
            <w:pPr>
              <w:jc w:val="right"/>
              <w:spacing w:after="0"/>
              <w:rPr>
                <w:sz w:val="20"/>
                <w:szCs w:val="20"/>
                <w:color w:val="auto"/>
              </w:rPr>
            </w:pPr>
            <w:r>
              <w:rPr>
                <w:rFonts w:ascii="Arial" w:cs="Arial" w:eastAsia="Arial" w:hAnsi="Arial"/>
                <w:sz w:val="17"/>
                <w:szCs w:val="17"/>
                <w:color w:val="auto"/>
              </w:rPr>
              <w:t>8/12/2020</w:t>
            </w:r>
          </w:p>
        </w:tc>
      </w:tr>
    </w:tbl>
    <w:p>
      <w:pPr>
        <w:spacing w:after="0" w:line="200" w:lineRule="exact"/>
        <w:rPr>
          <w:sz w:val="20"/>
          <w:szCs w:val="20"/>
          <w:color w:val="auto"/>
        </w:rPr>
      </w:pPr>
    </w:p>
    <w:p>
      <w:pPr>
        <w:spacing w:after="0" w:line="329" w:lineRule="exact"/>
        <w:rPr>
          <w:sz w:val="20"/>
          <w:szCs w:val="20"/>
          <w:color w:val="auto"/>
        </w:rPr>
      </w:pPr>
    </w:p>
    <w:p>
      <w:pPr>
        <w:spacing w:after="0"/>
        <w:tabs>
          <w:tab w:leader="none" w:pos="138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10.15</w:t>
      </w:r>
      <w:r>
        <w:rPr>
          <w:sz w:val="20"/>
          <w:szCs w:val="20"/>
          <w:color w:val="auto"/>
        </w:rPr>
        <w:tab/>
      </w:r>
      <w:r>
        <w:rPr>
          <w:rFonts w:ascii="Arial" w:cs="Arial" w:eastAsia="Arial" w:hAnsi="Arial"/>
          <w:sz w:val="17"/>
          <w:szCs w:val="17"/>
          <w:color w:val="auto"/>
        </w:rPr>
        <w:t>9/28/2018</w:t>
      </w:r>
    </w:p>
    <w:p>
      <w:pPr>
        <w:spacing w:after="0" w:line="372" w:lineRule="exact"/>
        <w:rPr>
          <w:sz w:val="20"/>
          <w:szCs w:val="20"/>
          <w:color w:val="auto"/>
        </w:rPr>
      </w:pPr>
    </w:p>
    <w:p>
      <w:pPr>
        <w:spacing w:after="0"/>
        <w:tabs>
          <w:tab w:leader="none" w:pos="1380" w:val="left"/>
          <w:tab w:leader="none" w:pos="2240" w:val="left"/>
        </w:tabs>
        <w:rPr>
          <w:sz w:val="20"/>
          <w:szCs w:val="20"/>
          <w:color w:val="auto"/>
        </w:rPr>
      </w:pPr>
      <w:r>
        <w:rPr>
          <w:rFonts w:ascii="Arial" w:cs="Arial" w:eastAsia="Arial" w:hAnsi="Arial"/>
          <w:sz w:val="17"/>
          <w:szCs w:val="17"/>
          <w:color w:val="auto"/>
        </w:rPr>
        <w:t>333-227608</w:t>
      </w:r>
      <w:r>
        <w:rPr>
          <w:sz w:val="20"/>
          <w:szCs w:val="20"/>
          <w:color w:val="auto"/>
        </w:rPr>
        <w:tab/>
      </w: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9/28/2018</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tabs>
          <w:tab w:leader="none" w:pos="1420" w:val="left"/>
          <w:tab w:leader="none" w:pos="2280" w:val="left"/>
        </w:tabs>
        <w:rPr>
          <w:sz w:val="20"/>
          <w:szCs w:val="20"/>
          <w:color w:val="auto"/>
        </w:rPr>
      </w:pPr>
      <w:r>
        <w:rPr>
          <w:rFonts w:ascii="Arial" w:cs="Arial" w:eastAsia="Arial" w:hAnsi="Arial"/>
          <w:sz w:val="17"/>
          <w:szCs w:val="17"/>
          <w:color w:val="auto"/>
        </w:rPr>
        <w:t>001-38853</w:t>
      </w:r>
      <w:r>
        <w:rPr>
          <w:sz w:val="20"/>
          <w:szCs w:val="20"/>
          <w:color w:val="auto"/>
        </w:rPr>
        <w:tab/>
      </w: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8/5/2021</w:t>
      </w:r>
    </w:p>
    <w:p>
      <w:pPr>
        <w:sectPr>
          <w:pgSz w:w="11900" w:h="16838" w:orient="portrait"/>
          <w:cols w:equalWidth="0" w:num="2">
            <w:col w:w="6120" w:space="480"/>
            <w:col w:w="3860"/>
          </w:cols>
          <w:pgMar w:left="340" w:top="244" w:right="1099" w:bottom="1440" w:gutter="0" w:footer="0" w:header="0"/>
        </w:sectPr>
      </w:pPr>
    </w:p>
    <w:bookmarkStart w:id="132" w:name="page133"/>
    <w:bookmarkEnd w:id="132"/>
    <w:p>
      <w:pPr>
        <w:ind w:left="60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Arial" w:cs="Arial" w:eastAsia="Arial" w:hAnsi="Arial"/>
                <w:sz w:val="17"/>
                <w:szCs w:val="17"/>
                <w:color w:val="auto"/>
              </w:rPr>
              <w:t>10.20#</w:t>
            </w:r>
          </w:p>
        </w:tc>
        <w:tc>
          <w:tcPr>
            <w:tcW w:w="3840" w:type="dxa"/>
            <w:vAlign w:val="bottom"/>
            <w:tcBorders>
              <w:bottom w:val="single" w:sz="8" w:color="0000FF"/>
            </w:tcBorders>
            <w:gridSpan w:val="20"/>
          </w:tcPr>
          <w:p>
            <w:pPr>
              <w:spacing w:after="0"/>
              <w:rPr>
                <w:rFonts w:ascii="Arial" w:cs="Arial" w:eastAsia="Arial" w:hAnsi="Arial"/>
                <w:sz w:val="17"/>
                <w:szCs w:val="17"/>
                <w:color w:val="0000FF"/>
              </w:rPr>
            </w:pPr>
            <w:hyperlink r:id="rId199">
              <w:r>
                <w:rPr>
                  <w:rFonts w:ascii="Arial" w:cs="Arial" w:eastAsia="Arial" w:hAnsi="Arial"/>
                  <w:sz w:val="17"/>
                  <w:szCs w:val="17"/>
                  <w:color w:val="0000FF"/>
                </w:rPr>
                <w:t>Multi-Product Licence Agreement by and between</w:t>
              </w:r>
            </w:hyperlink>
          </w:p>
        </w:tc>
        <w:tc>
          <w:tcPr>
            <w:tcW w:w="380" w:type="dxa"/>
            <w:vAlign w:val="bottom"/>
            <w:gridSpan w:val="12"/>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gridSpan w:val="32"/>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NGM Biopharmaceuticals, Inc. and Lonza Sales AG,</w:t>
              </w:r>
            </w:hyperlink>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00" w:type="dxa"/>
            <w:vAlign w:val="bottom"/>
            <w:tcBorders>
              <w:top w:val="single" w:sz="8" w:color="0000FF"/>
            </w:tcBorders>
            <w:gridSpan w:val="25"/>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dated as of October 31, 2014, as amended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3520" w:type="dxa"/>
            <w:vAlign w:val="bottom"/>
            <w:tcBorders>
              <w:top w:val="single" w:sz="8" w:color="0000FF"/>
            </w:tcBorders>
            <w:gridSpan w:val="12"/>
          </w:tcPr>
          <w:p>
            <w:pPr>
              <w:spacing w:after="0" w:line="161" w:lineRule="exact"/>
              <w:rPr>
                <w:rFonts w:ascii="Arial" w:cs="Arial" w:eastAsia="Arial" w:hAnsi="Arial"/>
                <w:sz w:val="17"/>
                <w:szCs w:val="17"/>
                <w:color w:val="0000FF"/>
                <w:w w:val="95"/>
              </w:rPr>
            </w:pPr>
            <w:hyperlink r:id="rId199">
              <w:r>
                <w:rPr>
                  <w:rFonts w:ascii="Arial" w:cs="Arial" w:eastAsia="Arial" w:hAnsi="Arial"/>
                  <w:sz w:val="17"/>
                  <w:szCs w:val="17"/>
                  <w:color w:val="0000FF"/>
                  <w:w w:val="95"/>
                </w:rPr>
                <w:t>Amendment No. 1 on July 28, 2015, Amendment</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14"/>
          </w:tcPr>
          <w:p>
            <w:pPr>
              <w:jc w:val="right"/>
              <w:ind w:right="40"/>
              <w:spacing w:after="0" w:line="161" w:lineRule="exact"/>
              <w:rPr>
                <w:rFonts w:ascii="Arial" w:cs="Arial" w:eastAsia="Arial" w:hAnsi="Arial"/>
                <w:sz w:val="17"/>
                <w:szCs w:val="17"/>
                <w:color w:val="0000FF"/>
                <w:w w:val="88"/>
              </w:rPr>
            </w:pPr>
            <w:hyperlink r:id="rId199">
              <w:r>
                <w:rPr>
                  <w:rFonts w:ascii="Arial" w:cs="Arial" w:eastAsia="Arial" w:hAnsi="Arial"/>
                  <w:sz w:val="17"/>
                  <w:szCs w:val="17"/>
                  <w:color w:val="0000FF"/>
                  <w:w w:val="88"/>
                </w:rPr>
                <w:t>No. 2</w:t>
              </w:r>
            </w:hyperlink>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00" w:type="dxa"/>
            <w:vAlign w:val="bottom"/>
            <w:tcBorders>
              <w:top w:val="single" w:sz="8" w:color="0000FF"/>
            </w:tcBorders>
            <w:gridSpan w:val="31"/>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on October 7, 2015, Amendment No. 3 on April 26,</w:t>
              </w:r>
            </w:hyperlink>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90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2016, Amendment No. 4 on October 3, 2017,</w:t>
              </w:r>
            </w:hyperlink>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0"/>
          </w:tcPr>
          <w:p>
            <w:pPr>
              <w:spacing w:after="0" w:line="161" w:lineRule="exact"/>
              <w:rPr>
                <w:rFonts w:ascii="Arial" w:cs="Arial" w:eastAsia="Arial" w:hAnsi="Arial"/>
                <w:sz w:val="17"/>
                <w:szCs w:val="17"/>
                <w:color w:val="0000FF"/>
              </w:rPr>
            </w:pPr>
            <w:hyperlink r:id="rId199">
              <w:r>
                <w:rPr>
                  <w:rFonts w:ascii="Arial" w:cs="Arial" w:eastAsia="Arial" w:hAnsi="Arial"/>
                  <w:sz w:val="17"/>
                  <w:szCs w:val="17"/>
                  <w:color w:val="0000FF"/>
                </w:rPr>
                <w:t>Amendment No. 5 on March 16, 2018 and</w:t>
              </w:r>
            </w:hyperlink>
          </w:p>
        </w:tc>
        <w:tc>
          <w:tcPr>
            <w:tcW w:w="800" w:type="dxa"/>
            <w:vAlign w:val="bottom"/>
            <w:tcBorders>
              <w:bottom w:val="single" w:sz="8" w:color="0000FF"/>
            </w:tcBorders>
            <w:gridSpan w:val="22"/>
          </w:tcPr>
          <w:p>
            <w:pPr>
              <w:jc w:val="right"/>
              <w:ind w:right="40"/>
              <w:spacing w:after="0" w:line="161" w:lineRule="exact"/>
              <w:rPr>
                <w:rFonts w:ascii="Arial" w:cs="Arial" w:eastAsia="Arial" w:hAnsi="Arial"/>
                <w:sz w:val="17"/>
                <w:szCs w:val="17"/>
                <w:color w:val="0000FF"/>
                <w:w w:val="80"/>
              </w:rPr>
            </w:pPr>
            <w:hyperlink r:id="rId199">
              <w:r>
                <w:rPr>
                  <w:rFonts w:ascii="Arial" w:cs="Arial" w:eastAsia="Arial" w:hAnsi="Arial"/>
                  <w:sz w:val="17"/>
                  <w:szCs w:val="17"/>
                  <w:color w:val="0000FF"/>
                  <w:w w:val="80"/>
                </w:rPr>
                <w:t>Amendment</w:t>
              </w:r>
            </w:hyperlink>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S-1</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rPr>
              <w:t>333-227608</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8"/>
              </w:rPr>
              <w:t>10.17</w:t>
            </w:r>
          </w:p>
        </w:tc>
        <w:tc>
          <w:tcPr>
            <w:tcW w:w="980" w:type="dxa"/>
            <w:vAlign w:val="bottom"/>
            <w:vMerge w:val="restart"/>
          </w:tcPr>
          <w:p>
            <w:pPr>
              <w:jc w:val="center"/>
              <w:ind w:left="134"/>
              <w:spacing w:after="0"/>
              <w:rPr>
                <w:sz w:val="20"/>
                <w:szCs w:val="20"/>
                <w:color w:val="auto"/>
              </w:rPr>
            </w:pPr>
            <w:r>
              <w:rPr>
                <w:rFonts w:ascii="Arial" w:cs="Arial" w:eastAsia="Arial" w:hAnsi="Arial"/>
                <w:sz w:val="17"/>
                <w:szCs w:val="17"/>
                <w:color w:val="auto"/>
              </w:rPr>
              <w:t>4/1/2019</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060" w:type="dxa"/>
            <w:vAlign w:val="bottom"/>
            <w:tcBorders>
              <w:bottom w:val="single" w:sz="8" w:color="0000FF"/>
            </w:tcBorders>
            <w:gridSpan w:val="6"/>
          </w:tcPr>
          <w:p>
            <w:pPr>
              <w:spacing w:after="0" w:line="135" w:lineRule="exact"/>
              <w:rPr>
                <w:rFonts w:ascii="Arial" w:cs="Arial" w:eastAsia="Arial" w:hAnsi="Arial"/>
                <w:sz w:val="15"/>
                <w:szCs w:val="15"/>
                <w:color w:val="0000FF"/>
              </w:rPr>
            </w:pPr>
            <w:hyperlink r:id="rId199">
              <w:r>
                <w:rPr>
                  <w:rFonts w:ascii="Arial" w:cs="Arial" w:eastAsia="Arial" w:hAnsi="Arial"/>
                  <w:sz w:val="15"/>
                  <w:szCs w:val="15"/>
                  <w:color w:val="0000FF"/>
                </w:rPr>
                <w:t>No. 6 on February 6, 2019.</w:t>
              </w:r>
            </w:hyperlink>
          </w:p>
        </w:tc>
        <w:tc>
          <w:tcPr>
            <w:tcW w:w="2160" w:type="dxa"/>
            <w:vAlign w:val="bottom"/>
            <w:gridSpan w:val="26"/>
          </w:tcPr>
          <w:p>
            <w:pPr>
              <w:spacing w:after="0"/>
              <w:rPr>
                <w:sz w:val="12"/>
                <w:szCs w:val="12"/>
                <w:color w:val="auto"/>
              </w:rPr>
            </w:pPr>
          </w:p>
        </w:tc>
        <w:tc>
          <w:tcPr>
            <w:tcW w:w="8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10.21**</w:t>
            </w:r>
          </w:p>
        </w:tc>
        <w:tc>
          <w:tcPr>
            <w:tcW w:w="4220" w:type="dxa"/>
            <w:vAlign w:val="bottom"/>
            <w:gridSpan w:val="32"/>
          </w:tcPr>
          <w:p>
            <w:pPr>
              <w:spacing w:after="0"/>
              <w:rPr>
                <w:rFonts w:ascii="Arial" w:cs="Arial" w:eastAsia="Arial" w:hAnsi="Arial"/>
                <w:sz w:val="17"/>
                <w:szCs w:val="17"/>
                <w:color w:val="0000FF"/>
              </w:rPr>
            </w:pPr>
            <w:hyperlink r:id="rId200">
              <w:r>
                <w:rPr>
                  <w:rFonts w:ascii="Arial" w:cs="Arial" w:eastAsia="Arial" w:hAnsi="Arial"/>
                  <w:sz w:val="17"/>
                  <w:szCs w:val="17"/>
                  <w:color w:val="0000FF"/>
                </w:rPr>
                <w:t>Amendment No. 7 on December 22, 2020 to Multi-</w:t>
              </w:r>
            </w:hyperlink>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21"/>
          </w:tcPr>
          <w:p>
            <w:pPr>
              <w:spacing w:after="0" w:line="148" w:lineRule="exact"/>
              <w:rPr>
                <w:rFonts w:ascii="Arial" w:cs="Arial" w:eastAsia="Arial" w:hAnsi="Arial"/>
                <w:sz w:val="17"/>
                <w:szCs w:val="17"/>
                <w:color w:val="0000FF"/>
              </w:rPr>
            </w:pPr>
            <w:hyperlink r:id="rId200">
              <w:r>
                <w:rPr>
                  <w:rFonts w:ascii="Arial" w:cs="Arial" w:eastAsia="Arial" w:hAnsi="Arial"/>
                  <w:sz w:val="17"/>
                  <w:szCs w:val="17"/>
                  <w:color w:val="0000FF"/>
                </w:rPr>
                <w:t>Product Licence Agreement by and between NGM</w:t>
              </w:r>
            </w:hyperlink>
          </w:p>
        </w:tc>
        <w:tc>
          <w:tcPr>
            <w:tcW w:w="20" w:type="dxa"/>
            <w:vAlign w:val="bottom"/>
            <w:tcBorders>
              <w:top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gridSpan w:val="32"/>
          </w:tcPr>
          <w:p>
            <w:pPr>
              <w:spacing w:after="0" w:line="148" w:lineRule="exact"/>
              <w:rPr>
                <w:rFonts w:ascii="Arial" w:cs="Arial" w:eastAsia="Arial" w:hAnsi="Arial"/>
                <w:sz w:val="17"/>
                <w:szCs w:val="17"/>
                <w:color w:val="0000FF"/>
              </w:rPr>
            </w:pPr>
            <w:hyperlink r:id="rId200">
              <w:r>
                <w:rPr>
                  <w:rFonts w:ascii="Arial" w:cs="Arial" w:eastAsia="Arial" w:hAnsi="Arial"/>
                  <w:sz w:val="17"/>
                  <w:szCs w:val="17"/>
                  <w:color w:val="0000FF"/>
                </w:rPr>
                <w:t>Biopharmaceuticals, Inc. and Lonza Sales AG, dated</w:t>
              </w:r>
            </w:hyperlink>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10-K</w:t>
            </w:r>
          </w:p>
        </w:tc>
        <w:tc>
          <w:tcPr>
            <w:tcW w:w="1400" w:type="dxa"/>
            <w:vAlign w:val="bottom"/>
            <w:vMerge w:val="restart"/>
          </w:tcPr>
          <w:p>
            <w:pPr>
              <w:jc w:val="right"/>
              <w:ind w:right="194"/>
              <w:spacing w:after="0"/>
              <w:rPr>
                <w:sz w:val="20"/>
                <w:szCs w:val="20"/>
                <w:color w:val="auto"/>
              </w:rPr>
            </w:pPr>
            <w:r>
              <w:rPr>
                <w:rFonts w:ascii="Arial" w:cs="Arial" w:eastAsia="Arial" w:hAnsi="Arial"/>
                <w:sz w:val="17"/>
                <w:szCs w:val="17"/>
                <w:color w:val="auto"/>
              </w:rPr>
              <w:t>001-38853</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8"/>
              </w:rPr>
              <w:t>10.17</w:t>
            </w:r>
          </w:p>
        </w:tc>
        <w:tc>
          <w:tcPr>
            <w:tcW w:w="980" w:type="dxa"/>
            <w:vAlign w:val="bottom"/>
            <w:vMerge w:val="restart"/>
          </w:tcPr>
          <w:p>
            <w:pPr>
              <w:jc w:val="center"/>
              <w:ind w:left="134"/>
              <w:spacing w:after="0"/>
              <w:rPr>
                <w:sz w:val="20"/>
                <w:szCs w:val="20"/>
                <w:color w:val="auto"/>
              </w:rPr>
            </w:pPr>
            <w:r>
              <w:rPr>
                <w:rFonts w:ascii="Arial" w:cs="Arial" w:eastAsia="Arial" w:hAnsi="Arial"/>
                <w:sz w:val="17"/>
                <w:szCs w:val="17"/>
                <w:color w:val="auto"/>
              </w:rPr>
              <w:t>3/15/2020</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4020" w:type="dxa"/>
            <w:vAlign w:val="bottom"/>
            <w:tcBorders>
              <w:top w:val="single" w:sz="8" w:color="0000FF"/>
            </w:tcBorders>
            <w:gridSpan w:val="26"/>
          </w:tcPr>
          <w:p>
            <w:pPr>
              <w:spacing w:after="0" w:line="161" w:lineRule="exact"/>
              <w:rPr>
                <w:rFonts w:ascii="Arial" w:cs="Arial" w:eastAsia="Arial" w:hAnsi="Arial"/>
                <w:sz w:val="17"/>
                <w:szCs w:val="17"/>
                <w:color w:val="0000FF"/>
              </w:rPr>
            </w:pPr>
            <w:hyperlink r:id="rId200">
              <w:r>
                <w:rPr>
                  <w:rFonts w:ascii="Arial" w:cs="Arial" w:eastAsia="Arial" w:hAnsi="Arial"/>
                  <w:sz w:val="17"/>
                  <w:szCs w:val="17"/>
                  <w:color w:val="0000FF"/>
                </w:rPr>
                <w:t>as of October 31, 2014</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10.22**</w:t>
            </w:r>
          </w:p>
        </w:tc>
        <w:tc>
          <w:tcPr>
            <w:tcW w:w="4220" w:type="dxa"/>
            <w:vAlign w:val="bottom"/>
            <w:gridSpan w:val="32"/>
          </w:tcPr>
          <w:p>
            <w:pPr>
              <w:spacing w:after="0"/>
              <w:rPr>
                <w:rFonts w:ascii="Arial" w:cs="Arial" w:eastAsia="Arial" w:hAnsi="Arial"/>
                <w:sz w:val="17"/>
                <w:szCs w:val="17"/>
                <w:color w:val="0000FF"/>
              </w:rPr>
            </w:pPr>
            <w:hyperlink r:id="rId201">
              <w:r>
                <w:rPr>
                  <w:rFonts w:ascii="Arial" w:cs="Arial" w:eastAsia="Arial" w:hAnsi="Arial"/>
                  <w:sz w:val="17"/>
                  <w:szCs w:val="17"/>
                  <w:color w:val="0000FF"/>
                </w:rPr>
                <w:t>Amendment No. 8 on February 10, 2021 to Multi-</w:t>
              </w:r>
            </w:hyperlink>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15"/>
          </w:tcPr>
          <w:p>
            <w:pPr>
              <w:spacing w:after="0" w:line="148" w:lineRule="exact"/>
              <w:rPr>
                <w:rFonts w:ascii="Arial" w:cs="Arial" w:eastAsia="Arial" w:hAnsi="Arial"/>
                <w:sz w:val="17"/>
                <w:szCs w:val="17"/>
                <w:color w:val="0000FF"/>
                <w:w w:val="98"/>
              </w:rPr>
            </w:pPr>
            <w:hyperlink r:id="rId201">
              <w:r>
                <w:rPr>
                  <w:rFonts w:ascii="Arial" w:cs="Arial" w:eastAsia="Arial" w:hAnsi="Arial"/>
                  <w:sz w:val="17"/>
                  <w:szCs w:val="17"/>
                  <w:color w:val="0000FF"/>
                  <w:w w:val="98"/>
                </w:rPr>
                <w:t>Product Licence Agreement by and between NGM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gridSpan w:val="32"/>
          </w:tcPr>
          <w:p>
            <w:pPr>
              <w:spacing w:after="0" w:line="148" w:lineRule="exact"/>
              <w:rPr>
                <w:rFonts w:ascii="Arial" w:cs="Arial" w:eastAsia="Arial" w:hAnsi="Arial"/>
                <w:sz w:val="17"/>
                <w:szCs w:val="17"/>
                <w:color w:val="0000FF"/>
              </w:rPr>
            </w:pPr>
            <w:hyperlink r:id="rId201">
              <w:r>
                <w:rPr>
                  <w:rFonts w:ascii="Arial" w:cs="Arial" w:eastAsia="Arial" w:hAnsi="Arial"/>
                  <w:sz w:val="17"/>
                  <w:szCs w:val="17"/>
                  <w:color w:val="0000FF"/>
                </w:rPr>
                <w:t>Biopharmaceuticals, Inc. and Lonza Sales AG, dated</w:t>
              </w:r>
            </w:hyperlink>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10-K</w:t>
            </w:r>
          </w:p>
        </w:tc>
        <w:tc>
          <w:tcPr>
            <w:tcW w:w="1400" w:type="dxa"/>
            <w:vAlign w:val="bottom"/>
            <w:vMerge w:val="restart"/>
          </w:tcPr>
          <w:p>
            <w:pPr>
              <w:jc w:val="right"/>
              <w:ind w:right="194"/>
              <w:spacing w:after="0"/>
              <w:rPr>
                <w:sz w:val="20"/>
                <w:szCs w:val="20"/>
                <w:color w:val="auto"/>
              </w:rPr>
            </w:pPr>
            <w:r>
              <w:rPr>
                <w:rFonts w:ascii="Arial" w:cs="Arial" w:eastAsia="Arial" w:hAnsi="Arial"/>
                <w:sz w:val="17"/>
                <w:szCs w:val="17"/>
                <w:color w:val="auto"/>
              </w:rPr>
              <w:t>001-38853</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8"/>
              </w:rPr>
              <w:t>10.18</w:t>
            </w:r>
          </w:p>
        </w:tc>
        <w:tc>
          <w:tcPr>
            <w:tcW w:w="980" w:type="dxa"/>
            <w:vAlign w:val="bottom"/>
            <w:vMerge w:val="restart"/>
          </w:tcPr>
          <w:p>
            <w:pPr>
              <w:jc w:val="center"/>
              <w:ind w:left="134"/>
              <w:spacing w:after="0"/>
              <w:rPr>
                <w:sz w:val="20"/>
                <w:szCs w:val="20"/>
                <w:color w:val="auto"/>
              </w:rPr>
            </w:pPr>
            <w:r>
              <w:rPr>
                <w:rFonts w:ascii="Arial" w:cs="Arial" w:eastAsia="Arial" w:hAnsi="Arial"/>
                <w:sz w:val="17"/>
                <w:szCs w:val="17"/>
                <w:color w:val="auto"/>
              </w:rPr>
              <w:t>3/15/2020</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4020" w:type="dxa"/>
            <w:vAlign w:val="bottom"/>
            <w:tcBorders>
              <w:top w:val="single" w:sz="8" w:color="0000FF"/>
            </w:tcBorders>
            <w:gridSpan w:val="26"/>
          </w:tcPr>
          <w:p>
            <w:pPr>
              <w:spacing w:after="0" w:line="161" w:lineRule="exact"/>
              <w:rPr>
                <w:rFonts w:ascii="Arial" w:cs="Arial" w:eastAsia="Arial" w:hAnsi="Arial"/>
                <w:sz w:val="17"/>
                <w:szCs w:val="17"/>
                <w:color w:val="0000FF"/>
              </w:rPr>
            </w:pPr>
            <w:hyperlink r:id="rId201">
              <w:r>
                <w:rPr>
                  <w:rFonts w:ascii="Arial" w:cs="Arial" w:eastAsia="Arial" w:hAnsi="Arial"/>
                  <w:sz w:val="17"/>
                  <w:szCs w:val="17"/>
                  <w:color w:val="0000FF"/>
                </w:rPr>
                <w:t>as of October 31, 2014</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10.23**</w:t>
            </w:r>
          </w:p>
        </w:tc>
        <w:tc>
          <w:tcPr>
            <w:tcW w:w="4220" w:type="dxa"/>
            <w:vAlign w:val="bottom"/>
            <w:gridSpan w:val="32"/>
          </w:tcPr>
          <w:p>
            <w:pPr>
              <w:spacing w:after="0"/>
              <w:rPr>
                <w:rFonts w:ascii="Arial" w:cs="Arial" w:eastAsia="Arial" w:hAnsi="Arial"/>
                <w:sz w:val="17"/>
                <w:szCs w:val="17"/>
                <w:color w:val="0000FF"/>
              </w:rPr>
            </w:pPr>
            <w:hyperlink r:id="rId202">
              <w:r>
                <w:rPr>
                  <w:rFonts w:ascii="Arial" w:cs="Arial" w:eastAsia="Arial" w:hAnsi="Arial"/>
                  <w:sz w:val="17"/>
                  <w:szCs w:val="17"/>
                  <w:color w:val="0000FF"/>
                </w:rPr>
                <w:t>Amendment No. 9 on November 3, 2021 to Multi-</w:t>
              </w:r>
            </w:hyperlink>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w w:val="99"/>
              </w:rPr>
            </w:pPr>
            <w:hyperlink r:id="rId202">
              <w:r>
                <w:rPr>
                  <w:rFonts w:ascii="Arial" w:cs="Arial" w:eastAsia="Arial" w:hAnsi="Arial"/>
                  <w:sz w:val="17"/>
                  <w:szCs w:val="17"/>
                  <w:color w:val="0000FF"/>
                  <w:w w:val="99"/>
                </w:rPr>
                <w:t>Product Licence Agreement by and between NGM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gridSpan w:val="32"/>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Biopharmaceuticals, Inc. and Lonza Sales AG, dated</w:t>
              </w:r>
            </w:hyperlink>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10-K</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rPr>
              <w:t>001-38853</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8"/>
              </w:rPr>
              <w:t>10.23</w:t>
            </w:r>
          </w:p>
        </w:tc>
        <w:tc>
          <w:tcPr>
            <w:tcW w:w="980" w:type="dxa"/>
            <w:vAlign w:val="bottom"/>
            <w:vMerge w:val="restart"/>
          </w:tcPr>
          <w:p>
            <w:pPr>
              <w:jc w:val="center"/>
              <w:ind w:left="134"/>
              <w:spacing w:after="0"/>
              <w:rPr>
                <w:sz w:val="20"/>
                <w:szCs w:val="20"/>
                <w:color w:val="auto"/>
              </w:rPr>
            </w:pPr>
            <w:r>
              <w:rPr>
                <w:rFonts w:ascii="Arial" w:cs="Arial" w:eastAsia="Arial" w:hAnsi="Arial"/>
                <w:sz w:val="17"/>
                <w:szCs w:val="17"/>
                <w:color w:val="auto"/>
              </w:rPr>
              <w:t>3/1/2022</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4020" w:type="dxa"/>
            <w:vAlign w:val="bottom"/>
            <w:tcBorders>
              <w:top w:val="single" w:sz="8" w:color="0000FF"/>
            </w:tcBorders>
            <w:gridSpan w:val="26"/>
          </w:tcPr>
          <w:p>
            <w:pPr>
              <w:spacing w:after="0" w:line="161" w:lineRule="exact"/>
              <w:rPr>
                <w:rFonts w:ascii="Arial" w:cs="Arial" w:eastAsia="Arial" w:hAnsi="Arial"/>
                <w:sz w:val="17"/>
                <w:szCs w:val="17"/>
                <w:color w:val="0000FF"/>
              </w:rPr>
            </w:pPr>
            <w:hyperlink r:id="rId202">
              <w:r>
                <w:rPr>
                  <w:rFonts w:ascii="Arial" w:cs="Arial" w:eastAsia="Arial" w:hAnsi="Arial"/>
                  <w:sz w:val="17"/>
                  <w:szCs w:val="17"/>
                  <w:color w:val="0000FF"/>
                </w:rPr>
                <w:t>as of October 31,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10.24</w:t>
            </w:r>
          </w:p>
        </w:tc>
        <w:tc>
          <w:tcPr>
            <w:tcW w:w="4220" w:type="dxa"/>
            <w:vAlign w:val="bottom"/>
            <w:gridSpan w:val="32"/>
          </w:tcPr>
          <w:p>
            <w:pPr>
              <w:spacing w:after="0"/>
              <w:rPr>
                <w:rFonts w:ascii="Arial" w:cs="Arial" w:eastAsia="Arial" w:hAnsi="Arial"/>
                <w:sz w:val="17"/>
                <w:szCs w:val="17"/>
                <w:color w:val="0000FF"/>
              </w:rPr>
            </w:pPr>
            <w:hyperlink r:id="rId203">
              <w:r>
                <w:rPr>
                  <w:rFonts w:ascii="Arial" w:cs="Arial" w:eastAsia="Arial" w:hAnsi="Arial"/>
                  <w:sz w:val="17"/>
                  <w:szCs w:val="17"/>
                  <w:color w:val="0000FF"/>
                </w:rPr>
                <w:t>Letter Agreement, by and between NGM</w:t>
              </w:r>
            </w:hyperlink>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gridSpan w:val="32"/>
          </w:tcPr>
          <w:p>
            <w:pPr>
              <w:spacing w:after="0" w:line="148" w:lineRule="exact"/>
              <w:rPr>
                <w:rFonts w:ascii="Arial" w:cs="Arial" w:eastAsia="Arial" w:hAnsi="Arial"/>
                <w:sz w:val="17"/>
                <w:szCs w:val="17"/>
                <w:color w:val="0000FF"/>
              </w:rPr>
            </w:pPr>
            <w:hyperlink r:id="rId203">
              <w:r>
                <w:rPr>
                  <w:rFonts w:ascii="Arial" w:cs="Arial" w:eastAsia="Arial" w:hAnsi="Arial"/>
                  <w:sz w:val="17"/>
                  <w:szCs w:val="17"/>
                  <w:color w:val="0000FF"/>
                </w:rPr>
                <w:t>Biopharmaceuticals, Inc. and Merck Sharp &amp; Dohme</w:t>
              </w:r>
            </w:hyperlink>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S-1</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rPr>
              <w:t>333-227608</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8"/>
              </w:rPr>
              <w:t>10.18</w:t>
            </w:r>
          </w:p>
        </w:tc>
        <w:tc>
          <w:tcPr>
            <w:tcW w:w="980" w:type="dxa"/>
            <w:vAlign w:val="bottom"/>
            <w:vMerge w:val="restart"/>
          </w:tcPr>
          <w:p>
            <w:pPr>
              <w:jc w:val="center"/>
              <w:ind w:left="134"/>
              <w:spacing w:after="0"/>
              <w:rPr>
                <w:sz w:val="20"/>
                <w:szCs w:val="20"/>
                <w:color w:val="auto"/>
              </w:rPr>
            </w:pPr>
            <w:r>
              <w:rPr>
                <w:rFonts w:ascii="Arial" w:cs="Arial" w:eastAsia="Arial" w:hAnsi="Arial"/>
                <w:sz w:val="17"/>
                <w:szCs w:val="17"/>
                <w:color w:val="auto"/>
              </w:rPr>
              <w:t>3/25/2019</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rPr>
            </w:pPr>
            <w:hyperlink r:id="rId203">
              <w:r>
                <w:rPr>
                  <w:rFonts w:ascii="Arial" w:cs="Arial" w:eastAsia="Arial" w:hAnsi="Arial"/>
                  <w:sz w:val="17"/>
                  <w:szCs w:val="17"/>
                  <w:color w:val="0000FF"/>
                </w:rPr>
                <w:t>Corp., dated as of March 15, 2019.</w:t>
              </w:r>
            </w:hyperlink>
          </w:p>
        </w:tc>
        <w:tc>
          <w:tcPr>
            <w:tcW w:w="1320" w:type="dxa"/>
            <w:vAlign w:val="bottom"/>
            <w:tcBorders>
              <w:top w:val="single" w:sz="8" w:color="0000FF"/>
            </w:tcBorders>
            <w:gridSpan w:val="1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7"/>
                <w:szCs w:val="17"/>
                <w:color w:val="auto"/>
              </w:rPr>
              <w:t>10.25</w:t>
            </w:r>
          </w:p>
        </w:tc>
        <w:tc>
          <w:tcPr>
            <w:tcW w:w="4220" w:type="dxa"/>
            <w:vAlign w:val="bottom"/>
            <w:gridSpan w:val="32"/>
          </w:tcPr>
          <w:p>
            <w:pPr>
              <w:spacing w:after="0"/>
              <w:rPr>
                <w:rFonts w:ascii="Arial" w:cs="Arial" w:eastAsia="Arial" w:hAnsi="Arial"/>
                <w:sz w:val="17"/>
                <w:szCs w:val="17"/>
                <w:color w:val="0000FF"/>
              </w:rPr>
            </w:pPr>
            <w:hyperlink r:id="rId204">
              <w:r>
                <w:rPr>
                  <w:rFonts w:ascii="Arial" w:cs="Arial" w:eastAsia="Arial" w:hAnsi="Arial"/>
                  <w:sz w:val="17"/>
                  <w:szCs w:val="17"/>
                  <w:color w:val="0000FF"/>
                </w:rPr>
                <w:t>Letter Agreement, by and between NGM</w:t>
              </w:r>
            </w:hyperlink>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gridSpan w:val="32"/>
          </w:tcPr>
          <w:p>
            <w:pPr>
              <w:spacing w:after="0" w:line="148" w:lineRule="exact"/>
              <w:rPr>
                <w:rFonts w:ascii="Arial" w:cs="Arial" w:eastAsia="Arial" w:hAnsi="Arial"/>
                <w:sz w:val="17"/>
                <w:szCs w:val="17"/>
                <w:color w:val="0000FF"/>
              </w:rPr>
            </w:pPr>
            <w:hyperlink r:id="rId204">
              <w:r>
                <w:rPr>
                  <w:rFonts w:ascii="Arial" w:cs="Arial" w:eastAsia="Arial" w:hAnsi="Arial"/>
                  <w:sz w:val="17"/>
                  <w:szCs w:val="17"/>
                  <w:color w:val="0000FF"/>
                </w:rPr>
                <w:t>Biopharmaceuticals, Inc. and Merck Sharp &amp; Dohme</w:t>
              </w:r>
            </w:hyperlink>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rPr>
              <w:t>001-38853</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rPr>
              <w:t>10.1</w:t>
            </w:r>
          </w:p>
        </w:tc>
        <w:tc>
          <w:tcPr>
            <w:tcW w:w="980" w:type="dxa"/>
            <w:vAlign w:val="bottom"/>
            <w:vMerge w:val="restart"/>
          </w:tcPr>
          <w:p>
            <w:pPr>
              <w:jc w:val="center"/>
              <w:ind w:left="134"/>
              <w:spacing w:after="0"/>
              <w:rPr>
                <w:sz w:val="20"/>
                <w:szCs w:val="20"/>
                <w:color w:val="auto"/>
              </w:rPr>
            </w:pPr>
            <w:r>
              <w:rPr>
                <w:rFonts w:ascii="Arial" w:cs="Arial" w:eastAsia="Arial" w:hAnsi="Arial"/>
                <w:sz w:val="17"/>
                <w:szCs w:val="17"/>
                <w:color w:val="auto"/>
              </w:rPr>
              <w:t>5/5/2022</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rPr>
            </w:pPr>
            <w:hyperlink r:id="rId204">
              <w:r>
                <w:rPr>
                  <w:rFonts w:ascii="Arial" w:cs="Arial" w:eastAsia="Arial" w:hAnsi="Arial"/>
                  <w:sz w:val="17"/>
                  <w:szCs w:val="17"/>
                  <w:color w:val="0000FF"/>
                </w:rPr>
                <w:t>Corp., dated as of March 30, 2022.</w:t>
              </w:r>
            </w:hyperlink>
          </w:p>
        </w:tc>
        <w:tc>
          <w:tcPr>
            <w:tcW w:w="1320" w:type="dxa"/>
            <w:vAlign w:val="bottom"/>
            <w:tcBorders>
              <w:top w:val="single" w:sz="8" w:color="0000FF"/>
            </w:tcBorders>
            <w:gridSpan w:val="1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20"/>
                <w:szCs w:val="20"/>
                <w:color w:val="auto"/>
              </w:rPr>
            </w:pPr>
            <w:r>
              <w:rPr>
                <w:rFonts w:ascii="Arial" w:cs="Arial" w:eastAsia="Arial" w:hAnsi="Arial"/>
                <w:sz w:val="17"/>
                <w:szCs w:val="17"/>
                <w:color w:val="auto"/>
              </w:rPr>
              <w:t>10.26</w:t>
            </w:r>
          </w:p>
        </w:tc>
        <w:tc>
          <w:tcPr>
            <w:tcW w:w="4220" w:type="dxa"/>
            <w:vAlign w:val="bottom"/>
            <w:gridSpan w:val="32"/>
          </w:tcPr>
          <w:p>
            <w:pPr>
              <w:spacing w:after="0"/>
              <w:rPr>
                <w:rFonts w:ascii="Arial" w:cs="Arial" w:eastAsia="Arial" w:hAnsi="Arial"/>
                <w:sz w:val="17"/>
                <w:szCs w:val="17"/>
                <w:color w:val="0000FF"/>
              </w:rPr>
            </w:pPr>
            <w:hyperlink r:id="rId205">
              <w:r>
                <w:rPr>
                  <w:rFonts w:ascii="Arial" w:cs="Arial" w:eastAsia="Arial" w:hAnsi="Arial"/>
                  <w:sz w:val="17"/>
                  <w:szCs w:val="17"/>
                  <w:color w:val="0000FF"/>
                </w:rPr>
                <w:t>Lease agreement, by and between NGM</w:t>
              </w:r>
            </w:hyperlink>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100" w:type="dxa"/>
            <w:vAlign w:val="bottom"/>
            <w:tcBorders>
              <w:top w:val="single" w:sz="8" w:color="0000FF"/>
            </w:tcBorders>
            <w:gridSpan w:val="9"/>
          </w:tcPr>
          <w:p>
            <w:pPr>
              <w:spacing w:after="0" w:line="149" w:lineRule="exact"/>
              <w:rPr>
                <w:rFonts w:ascii="Arial" w:cs="Arial" w:eastAsia="Arial" w:hAnsi="Arial"/>
                <w:sz w:val="17"/>
                <w:szCs w:val="17"/>
                <w:color w:val="0000FF"/>
              </w:rPr>
            </w:pPr>
            <w:hyperlink r:id="rId205">
              <w:r>
                <w:rPr>
                  <w:rFonts w:ascii="Arial" w:cs="Arial" w:eastAsia="Arial" w:hAnsi="Arial"/>
                  <w:sz w:val="17"/>
                  <w:szCs w:val="17"/>
                  <w:color w:val="0000FF"/>
                </w:rPr>
                <w:t>Biopharmaceuticals, Inc. and HCP BTC,</w:t>
              </w:r>
            </w:hyperlink>
          </w:p>
        </w:tc>
        <w:tc>
          <w:tcPr>
            <w:tcW w:w="1120" w:type="dxa"/>
            <w:vAlign w:val="bottom"/>
            <w:gridSpan w:val="23"/>
          </w:tcPr>
          <w:p>
            <w:pPr>
              <w:jc w:val="right"/>
              <w:ind w:right="40"/>
              <w:spacing w:after="0" w:line="149" w:lineRule="exact"/>
              <w:rPr>
                <w:rFonts w:ascii="Arial" w:cs="Arial" w:eastAsia="Arial" w:hAnsi="Arial"/>
                <w:sz w:val="17"/>
                <w:szCs w:val="17"/>
                <w:color w:val="0000FF"/>
              </w:rPr>
            </w:pPr>
            <w:hyperlink r:id="rId205">
              <w:r>
                <w:rPr>
                  <w:rFonts w:ascii="Arial" w:cs="Arial" w:eastAsia="Arial" w:hAnsi="Arial"/>
                  <w:sz w:val="17"/>
                  <w:szCs w:val="17"/>
                  <w:color w:val="0000FF"/>
                </w:rPr>
                <w:t>LLC, dated as</w:t>
              </w:r>
            </w:hyperlink>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rPr>
              <w:t>001-38853</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rPr>
              <w:t>10.1</w:t>
            </w:r>
          </w:p>
        </w:tc>
        <w:tc>
          <w:tcPr>
            <w:tcW w:w="980" w:type="dxa"/>
            <w:vAlign w:val="bottom"/>
            <w:vMerge w:val="restart"/>
          </w:tcPr>
          <w:p>
            <w:pPr>
              <w:jc w:val="center"/>
              <w:ind w:left="134"/>
              <w:spacing w:after="0"/>
              <w:rPr>
                <w:sz w:val="20"/>
                <w:szCs w:val="20"/>
                <w:color w:val="auto"/>
              </w:rPr>
            </w:pPr>
            <w:r>
              <w:rPr>
                <w:rFonts w:ascii="Arial" w:cs="Arial" w:eastAsia="Arial" w:hAnsi="Arial"/>
                <w:sz w:val="17"/>
                <w:szCs w:val="17"/>
                <w:color w:val="auto"/>
              </w:rPr>
              <w:t>8/4/2022</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180" w:type="dxa"/>
            <w:vAlign w:val="bottom"/>
            <w:tcBorders>
              <w:top w:val="single" w:sz="8" w:color="0000FF"/>
            </w:tcBorders>
            <w:gridSpan w:val="30"/>
          </w:tcPr>
          <w:p>
            <w:pPr>
              <w:spacing w:after="0" w:line="135" w:lineRule="exact"/>
              <w:rPr>
                <w:rFonts w:ascii="Arial" w:cs="Arial" w:eastAsia="Arial" w:hAnsi="Arial"/>
                <w:sz w:val="15"/>
                <w:szCs w:val="15"/>
                <w:color w:val="0000FF"/>
              </w:rPr>
            </w:pPr>
            <w:hyperlink r:id="rId205">
              <w:r>
                <w:rPr>
                  <w:rFonts w:ascii="Arial" w:cs="Arial" w:eastAsia="Arial" w:hAnsi="Arial"/>
                  <w:sz w:val="15"/>
                  <w:szCs w:val="15"/>
                  <w:color w:val="0000FF"/>
                </w:rPr>
                <w:t>of July 7, 2022.</w:t>
              </w:r>
            </w:hyperlink>
          </w:p>
        </w:tc>
        <w:tc>
          <w:tcPr>
            <w:tcW w:w="40" w:type="dxa"/>
            <w:vAlign w:val="bottom"/>
            <w:gridSpan w:val="2"/>
          </w:tcPr>
          <w:p>
            <w:pPr>
              <w:spacing w:after="0"/>
              <w:rPr>
                <w:sz w:val="12"/>
                <w:szCs w:val="12"/>
                <w:color w:val="auto"/>
              </w:rPr>
            </w:pPr>
          </w:p>
        </w:tc>
        <w:tc>
          <w:tcPr>
            <w:tcW w:w="8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vMerge w:val="continue"/>
          </w:tcPr>
          <w:p>
            <w:pPr>
              <w:spacing w:after="0"/>
              <w:rPr>
                <w:sz w:val="20"/>
                <w:szCs w:val="20"/>
                <w:color w:val="auto"/>
              </w:rPr>
            </w:pPr>
          </w:p>
        </w:tc>
        <w:tc>
          <w:tcPr>
            <w:tcW w:w="350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Subsidiaries of NGM Biopharmaceuticals, Inc.</w:t>
            </w:r>
          </w:p>
        </w:tc>
        <w:tc>
          <w:tcPr>
            <w:tcW w:w="720" w:type="dxa"/>
            <w:vAlign w:val="bottom"/>
            <w:gridSpan w:val="21"/>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23.1</w:t>
            </w:r>
          </w:p>
        </w:tc>
        <w:tc>
          <w:tcPr>
            <w:tcW w:w="4220" w:type="dxa"/>
            <w:vAlign w:val="bottom"/>
            <w:gridSpan w:val="32"/>
          </w:tcPr>
          <w:p>
            <w:pPr>
              <w:spacing w:after="0"/>
              <w:rPr>
                <w:sz w:val="20"/>
                <w:szCs w:val="20"/>
                <w:color w:val="auto"/>
              </w:rPr>
            </w:pPr>
            <w:r>
              <w:rPr>
                <w:rFonts w:ascii="Arial" w:cs="Arial" w:eastAsia="Arial" w:hAnsi="Arial"/>
                <w:sz w:val="17"/>
                <w:szCs w:val="17"/>
                <w:color w:val="0000FF"/>
              </w:rPr>
              <w:t>Consent of Independent Registered Public Accounting</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120" w:type="dxa"/>
            <w:vAlign w:val="bottom"/>
            <w:tcBorders>
              <w:top w:val="single" w:sz="8" w:color="0000FF"/>
            </w:tcBorders>
            <w:gridSpan w:val="29"/>
          </w:tcPr>
          <w:p>
            <w:pPr>
              <w:spacing w:after="0" w:line="148" w:lineRule="exact"/>
              <w:rPr>
                <w:sz w:val="20"/>
                <w:szCs w:val="20"/>
                <w:color w:val="auto"/>
              </w:rPr>
            </w:pPr>
            <w:r>
              <w:rPr>
                <w:rFonts w:ascii="Arial" w:cs="Arial" w:eastAsia="Arial" w:hAnsi="Arial"/>
                <w:sz w:val="17"/>
                <w:szCs w:val="17"/>
                <w:color w:val="0000FF"/>
              </w:rPr>
              <w:t>Firm.</w:t>
            </w:r>
          </w:p>
        </w:tc>
        <w:tc>
          <w:tcPr>
            <w:tcW w:w="10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7"/>
                <w:szCs w:val="17"/>
                <w:color w:val="auto"/>
              </w:rPr>
              <w:t>24.1</w:t>
            </w:r>
          </w:p>
        </w:tc>
        <w:tc>
          <w:tcPr>
            <w:tcW w:w="38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80" w:type="dxa"/>
            <w:vAlign w:val="bottom"/>
            <w:vMerge w:val="continue"/>
          </w:tcPr>
          <w:p>
            <w:pPr>
              <w:spacing w:after="0"/>
              <w:rPr>
                <w:sz w:val="20"/>
                <w:szCs w:val="20"/>
                <w:color w:val="auto"/>
              </w:rPr>
            </w:pPr>
          </w:p>
        </w:tc>
        <w:tc>
          <w:tcPr>
            <w:tcW w:w="364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rPr>
              <w:t>Power of Attorney (included on signature page).</w:t>
            </w:r>
          </w:p>
        </w:tc>
        <w:tc>
          <w:tcPr>
            <w:tcW w:w="580" w:type="dxa"/>
            <w:vAlign w:val="bottom"/>
            <w:gridSpan w:val="19"/>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31.1</w:t>
            </w:r>
          </w:p>
        </w:tc>
        <w:tc>
          <w:tcPr>
            <w:tcW w:w="4220" w:type="dxa"/>
            <w:vAlign w:val="bottom"/>
            <w:gridSpan w:val="32"/>
          </w:tcPr>
          <w:p>
            <w:pPr>
              <w:spacing w:after="0"/>
              <w:rPr>
                <w:sz w:val="20"/>
                <w:szCs w:val="20"/>
                <w:color w:val="auto"/>
              </w:rPr>
            </w:pPr>
            <w:r>
              <w:rPr>
                <w:rFonts w:ascii="Arial" w:cs="Arial" w:eastAsia="Arial" w:hAnsi="Arial"/>
                <w:sz w:val="17"/>
                <w:szCs w:val="17"/>
                <w:color w:val="0000FF"/>
              </w:rPr>
              <w:t>Certification of Chief Executive Officer pursuant to</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3820" w:type="dxa"/>
            <w:vAlign w:val="bottom"/>
            <w:tcBorders>
              <w:top w:val="single" w:sz="8" w:color="0000FF"/>
            </w:tcBorders>
            <w:gridSpan w:val="19"/>
          </w:tcPr>
          <w:p>
            <w:pPr>
              <w:spacing w:after="0" w:line="147" w:lineRule="exact"/>
              <w:rPr>
                <w:sz w:val="20"/>
                <w:szCs w:val="20"/>
                <w:color w:val="auto"/>
              </w:rPr>
            </w:pPr>
            <w:r>
              <w:rPr>
                <w:rFonts w:ascii="Arial" w:cs="Arial" w:eastAsia="Arial" w:hAnsi="Arial"/>
                <w:sz w:val="17"/>
                <w:szCs w:val="17"/>
                <w:color w:val="0000FF"/>
              </w:rPr>
              <w:t>Exchange Act Rules 13a-14(a) and 15d-14(a), as</w:t>
            </w:r>
          </w:p>
        </w:tc>
        <w:tc>
          <w:tcPr>
            <w:tcW w:w="20" w:type="dxa"/>
            <w:vAlign w:val="bottom"/>
          </w:tcPr>
          <w:p>
            <w:pPr>
              <w:spacing w:after="0"/>
              <w:rPr>
                <w:sz w:val="12"/>
                <w:szCs w:val="12"/>
                <w:color w:val="auto"/>
              </w:rPr>
            </w:pPr>
          </w:p>
        </w:tc>
        <w:tc>
          <w:tcPr>
            <w:tcW w:w="20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00" w:type="dxa"/>
            <w:vAlign w:val="bottom"/>
            <w:tcBorders>
              <w:top w:val="single" w:sz="8" w:color="0000FF"/>
            </w:tcBorders>
            <w:gridSpan w:val="18"/>
          </w:tcPr>
          <w:p>
            <w:pPr>
              <w:spacing w:after="0" w:line="149" w:lineRule="exact"/>
              <w:rPr>
                <w:sz w:val="20"/>
                <w:szCs w:val="20"/>
                <w:color w:val="auto"/>
              </w:rPr>
            </w:pPr>
            <w:r>
              <w:rPr>
                <w:rFonts w:ascii="Arial" w:cs="Arial" w:eastAsia="Arial" w:hAnsi="Arial"/>
                <w:sz w:val="17"/>
                <w:szCs w:val="17"/>
                <w:color w:val="0000FF"/>
              </w:rPr>
              <w:t>adopted pursuant to Section 302 of the Sarbanes</w:t>
            </w:r>
          </w:p>
        </w:tc>
        <w:tc>
          <w:tcPr>
            <w:tcW w:w="240" w:type="dxa"/>
            <w:vAlign w:val="bottom"/>
            <w:gridSpan w:val="9"/>
          </w:tcPr>
          <w:p>
            <w:pPr>
              <w:jc w:val="right"/>
              <w:ind w:right="240"/>
              <w:spacing w:after="0"/>
              <w:rPr>
                <w:sz w:val="20"/>
                <w:szCs w:val="20"/>
                <w:color w:val="auto"/>
              </w:rPr>
            </w:pPr>
            <w:r>
              <w:rPr>
                <w:rFonts w:ascii="Arial" w:cs="Arial" w:eastAsia="Arial" w:hAnsi="Arial"/>
                <w:sz w:val="8"/>
                <w:szCs w:val="8"/>
                <w:color w:val="0000FF"/>
                <w:w w:val="73"/>
              </w:rPr>
              <w:t>-</w:t>
            </w: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3840" w:type="dxa"/>
            <w:vAlign w:val="bottom"/>
            <w:tcBorders>
              <w:top w:val="single" w:sz="8" w:color="0000FF"/>
            </w:tcBorders>
            <w:gridSpan w:val="20"/>
          </w:tcPr>
          <w:p>
            <w:pPr>
              <w:spacing w:after="0" w:line="161" w:lineRule="exact"/>
              <w:rPr>
                <w:sz w:val="20"/>
                <w:szCs w:val="20"/>
                <w:color w:val="auto"/>
              </w:rPr>
            </w:pPr>
            <w:r>
              <w:rPr>
                <w:rFonts w:ascii="Arial" w:cs="Arial" w:eastAsia="Arial" w:hAnsi="Arial"/>
                <w:sz w:val="17"/>
                <w:szCs w:val="17"/>
                <w:color w:val="0000FF"/>
              </w:rPr>
              <w:t>Oxley Act of 2002.</w:t>
            </w:r>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80" w:type="dxa"/>
            <w:vAlign w:val="bottom"/>
          </w:tcPr>
          <w:p>
            <w:pPr>
              <w:spacing w:after="0"/>
              <w:rPr>
                <w:sz w:val="20"/>
                <w:szCs w:val="20"/>
                <w:color w:val="auto"/>
              </w:rPr>
            </w:pPr>
            <w:r>
              <w:rPr>
                <w:rFonts w:ascii="Arial" w:cs="Arial" w:eastAsia="Arial" w:hAnsi="Arial"/>
                <w:sz w:val="17"/>
                <w:szCs w:val="17"/>
                <w:color w:val="auto"/>
              </w:rPr>
              <w:t>31.2</w:t>
            </w:r>
          </w:p>
        </w:tc>
        <w:tc>
          <w:tcPr>
            <w:tcW w:w="4220" w:type="dxa"/>
            <w:vAlign w:val="bottom"/>
            <w:gridSpan w:val="32"/>
          </w:tcPr>
          <w:p>
            <w:pPr>
              <w:spacing w:after="0"/>
              <w:rPr>
                <w:sz w:val="20"/>
                <w:szCs w:val="20"/>
                <w:color w:val="auto"/>
              </w:rPr>
            </w:pPr>
            <w:r>
              <w:rPr>
                <w:rFonts w:ascii="Arial" w:cs="Arial" w:eastAsia="Arial" w:hAnsi="Arial"/>
                <w:sz w:val="17"/>
                <w:szCs w:val="17"/>
                <w:color w:val="0000FF"/>
              </w:rPr>
              <w:t>Certification of Chief Financial Officer pursuant to</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3760" w:type="dxa"/>
            <w:vAlign w:val="bottom"/>
            <w:tcBorders>
              <w:top w:val="single" w:sz="8" w:color="0000FF"/>
            </w:tcBorders>
            <w:gridSpan w:val="16"/>
          </w:tcPr>
          <w:p>
            <w:pPr>
              <w:spacing w:after="0" w:line="147" w:lineRule="exact"/>
              <w:rPr>
                <w:sz w:val="20"/>
                <w:szCs w:val="20"/>
                <w:color w:val="auto"/>
              </w:rPr>
            </w:pPr>
            <w:r>
              <w:rPr>
                <w:rFonts w:ascii="Arial" w:cs="Arial" w:eastAsia="Arial" w:hAnsi="Arial"/>
                <w:sz w:val="17"/>
                <w:szCs w:val="17"/>
                <w:color w:val="0000FF"/>
              </w:rPr>
              <w:t>Exchange Act Rules 13a-14(a) and 15d-14(a), as</w:t>
            </w:r>
          </w:p>
        </w:tc>
        <w:tc>
          <w:tcPr>
            <w:tcW w:w="28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800" w:type="dxa"/>
            <w:vAlign w:val="bottom"/>
            <w:tcBorders>
              <w:top w:val="single" w:sz="8" w:color="0000FF"/>
            </w:tcBorders>
            <w:gridSpan w:val="18"/>
          </w:tcPr>
          <w:p>
            <w:pPr>
              <w:spacing w:after="0" w:line="149" w:lineRule="exact"/>
              <w:rPr>
                <w:sz w:val="20"/>
                <w:szCs w:val="20"/>
                <w:color w:val="auto"/>
              </w:rPr>
            </w:pPr>
            <w:r>
              <w:rPr>
                <w:rFonts w:ascii="Arial" w:cs="Arial" w:eastAsia="Arial" w:hAnsi="Arial"/>
                <w:sz w:val="17"/>
                <w:szCs w:val="17"/>
                <w:color w:val="0000FF"/>
              </w:rPr>
              <w:t>adopted pursuant to Section 302 of the Sarbanes</w:t>
            </w:r>
          </w:p>
        </w:tc>
        <w:tc>
          <w:tcPr>
            <w:tcW w:w="240" w:type="dxa"/>
            <w:vAlign w:val="bottom"/>
            <w:gridSpan w:val="9"/>
          </w:tcPr>
          <w:p>
            <w:pPr>
              <w:jc w:val="right"/>
              <w:ind w:right="240"/>
              <w:spacing w:after="0"/>
              <w:rPr>
                <w:sz w:val="20"/>
                <w:szCs w:val="20"/>
                <w:color w:val="auto"/>
              </w:rPr>
            </w:pPr>
            <w:r>
              <w:rPr>
                <w:rFonts w:ascii="Arial" w:cs="Arial" w:eastAsia="Arial" w:hAnsi="Arial"/>
                <w:sz w:val="8"/>
                <w:szCs w:val="8"/>
                <w:color w:val="0000FF"/>
                <w:w w:val="73"/>
              </w:rPr>
              <w:t>-</w:t>
            </w: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3840" w:type="dxa"/>
            <w:vAlign w:val="bottom"/>
            <w:tcBorders>
              <w:top w:val="single" w:sz="8" w:color="0000FF"/>
            </w:tcBorders>
            <w:gridSpan w:val="20"/>
          </w:tcPr>
          <w:p>
            <w:pPr>
              <w:spacing w:after="0" w:line="161" w:lineRule="exact"/>
              <w:rPr>
                <w:sz w:val="20"/>
                <w:szCs w:val="20"/>
                <w:color w:val="auto"/>
              </w:rPr>
            </w:pPr>
            <w:r>
              <w:rPr>
                <w:rFonts w:ascii="Arial" w:cs="Arial" w:eastAsia="Arial" w:hAnsi="Arial"/>
                <w:sz w:val="17"/>
                <w:szCs w:val="17"/>
                <w:color w:val="0000FF"/>
              </w:rPr>
              <w:t>Oxley Act of 2002.</w:t>
            </w:r>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80" w:type="dxa"/>
            <w:vAlign w:val="bottom"/>
          </w:tcPr>
          <w:p>
            <w:pPr>
              <w:spacing w:after="0"/>
              <w:rPr>
                <w:sz w:val="20"/>
                <w:szCs w:val="20"/>
                <w:color w:val="auto"/>
              </w:rPr>
            </w:pPr>
            <w:r>
              <w:rPr>
                <w:rFonts w:ascii="Arial" w:cs="Arial" w:eastAsia="Arial" w:hAnsi="Arial"/>
                <w:sz w:val="17"/>
                <w:szCs w:val="17"/>
                <w:color w:val="auto"/>
              </w:rPr>
              <w:t>32.1†</w:t>
            </w:r>
          </w:p>
        </w:tc>
        <w:tc>
          <w:tcPr>
            <w:tcW w:w="4220" w:type="dxa"/>
            <w:vAlign w:val="bottom"/>
            <w:gridSpan w:val="32"/>
          </w:tcPr>
          <w:p>
            <w:pPr>
              <w:spacing w:after="0"/>
              <w:rPr>
                <w:sz w:val="20"/>
                <w:szCs w:val="20"/>
                <w:color w:val="auto"/>
              </w:rPr>
            </w:pPr>
            <w:r>
              <w:rPr>
                <w:rFonts w:ascii="Arial" w:cs="Arial" w:eastAsia="Arial" w:hAnsi="Arial"/>
                <w:sz w:val="17"/>
                <w:szCs w:val="17"/>
                <w:color w:val="0000FF"/>
              </w:rPr>
              <w:t>Certification of Chief Executive Officer and Chief</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680" w:type="dxa"/>
            <w:vAlign w:val="bottom"/>
            <w:tcBorders>
              <w:top w:val="single" w:sz="8" w:color="0000FF"/>
            </w:tcBorders>
            <w:gridSpan w:val="14"/>
          </w:tcPr>
          <w:p>
            <w:pPr>
              <w:spacing w:after="0" w:line="149" w:lineRule="exact"/>
              <w:rPr>
                <w:sz w:val="20"/>
                <w:szCs w:val="20"/>
                <w:color w:val="auto"/>
              </w:rPr>
            </w:pPr>
            <w:r>
              <w:rPr>
                <w:rFonts w:ascii="Arial" w:cs="Arial" w:eastAsia="Arial" w:hAnsi="Arial"/>
                <w:sz w:val="17"/>
                <w:szCs w:val="17"/>
                <w:color w:val="0000FF"/>
              </w:rPr>
              <w:t>Financial Officer pursuant to 18 U.S.C. Section</w:t>
            </w:r>
          </w:p>
        </w:tc>
        <w:tc>
          <w:tcPr>
            <w:tcW w:w="540" w:type="dxa"/>
            <w:vAlign w:val="bottom"/>
            <w:gridSpan w:val="18"/>
          </w:tcPr>
          <w:p>
            <w:pPr>
              <w:jc w:val="right"/>
              <w:ind w:right="180"/>
              <w:spacing w:after="0" w:line="149" w:lineRule="exact"/>
              <w:rPr>
                <w:sz w:val="20"/>
                <w:szCs w:val="20"/>
                <w:color w:val="auto"/>
              </w:rPr>
            </w:pPr>
            <w:r>
              <w:rPr>
                <w:rFonts w:ascii="Arial" w:cs="Arial" w:eastAsia="Arial" w:hAnsi="Arial"/>
                <w:sz w:val="17"/>
                <w:szCs w:val="17"/>
                <w:color w:val="0000FF"/>
                <w:w w:val="79"/>
              </w:rPr>
              <w:t>1350,</w:t>
            </w: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60" w:type="dxa"/>
            <w:vAlign w:val="bottom"/>
            <w:tcBorders>
              <w:top w:val="single" w:sz="8" w:color="0000FF"/>
            </w:tcBorders>
            <w:gridSpan w:val="28"/>
          </w:tcPr>
          <w:p>
            <w:pPr>
              <w:spacing w:after="0" w:line="148" w:lineRule="exact"/>
              <w:rPr>
                <w:sz w:val="20"/>
                <w:szCs w:val="20"/>
                <w:color w:val="auto"/>
              </w:rPr>
            </w:pPr>
            <w:r>
              <w:rPr>
                <w:rFonts w:ascii="Arial" w:cs="Arial" w:eastAsia="Arial" w:hAnsi="Arial"/>
                <w:sz w:val="17"/>
                <w:szCs w:val="17"/>
                <w:color w:val="0000FF"/>
              </w:rPr>
              <w:t>as adopted pursuant to Section 906 of the Sarbanes-</w:t>
            </w:r>
          </w:p>
        </w:tc>
        <w:tc>
          <w:tcPr>
            <w:tcW w:w="16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4040" w:type="dxa"/>
            <w:vAlign w:val="bottom"/>
            <w:tcBorders>
              <w:top w:val="single" w:sz="8" w:color="0000FF"/>
            </w:tcBorders>
            <w:gridSpan w:val="27"/>
          </w:tcPr>
          <w:p>
            <w:pPr>
              <w:spacing w:after="0" w:line="161" w:lineRule="exact"/>
              <w:rPr>
                <w:sz w:val="20"/>
                <w:szCs w:val="20"/>
                <w:color w:val="auto"/>
              </w:rPr>
            </w:pPr>
            <w:r>
              <w:rPr>
                <w:rFonts w:ascii="Arial" w:cs="Arial" w:eastAsia="Arial" w:hAnsi="Arial"/>
                <w:sz w:val="17"/>
                <w:szCs w:val="17"/>
                <w:color w:val="0000FF"/>
              </w:rPr>
              <w:t>Oxley Act of 2002.</w:t>
            </w:r>
          </w:p>
        </w:tc>
        <w:tc>
          <w:tcPr>
            <w:tcW w:w="18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20" w:type="dxa"/>
            <w:vAlign w:val="bottom"/>
            <w:gridSpan w:val="2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80" w:type="dxa"/>
            <w:vAlign w:val="bottom"/>
          </w:tcPr>
          <w:p>
            <w:pPr>
              <w:spacing w:after="0"/>
              <w:rPr>
                <w:sz w:val="20"/>
                <w:szCs w:val="20"/>
                <w:color w:val="auto"/>
              </w:rPr>
            </w:pPr>
            <w:r>
              <w:rPr>
                <w:rFonts w:ascii="Arial" w:cs="Arial" w:eastAsia="Arial" w:hAnsi="Arial"/>
                <w:sz w:val="17"/>
                <w:szCs w:val="17"/>
                <w:color w:val="auto"/>
              </w:rPr>
              <w:t>101.INS</w:t>
            </w:r>
          </w:p>
        </w:tc>
        <w:tc>
          <w:tcPr>
            <w:tcW w:w="4220" w:type="dxa"/>
            <w:vAlign w:val="bottom"/>
            <w:gridSpan w:val="32"/>
          </w:tcPr>
          <w:p>
            <w:pPr>
              <w:spacing w:after="0"/>
              <w:rPr>
                <w:sz w:val="20"/>
                <w:szCs w:val="20"/>
                <w:color w:val="auto"/>
              </w:rPr>
            </w:pPr>
            <w:r>
              <w:rPr>
                <w:rFonts w:ascii="Arial" w:cs="Arial" w:eastAsia="Arial" w:hAnsi="Arial"/>
                <w:sz w:val="17"/>
                <w:szCs w:val="17"/>
                <w:color w:val="auto"/>
              </w:rPr>
              <w:t>XBRL Instance Document - the instance document</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5080" w:type="dxa"/>
            <w:vAlign w:val="bottom"/>
            <w:gridSpan w:val="33"/>
          </w:tcPr>
          <w:p>
            <w:pPr>
              <w:spacing w:after="0" w:line="167" w:lineRule="exact"/>
              <w:rPr>
                <w:sz w:val="20"/>
                <w:szCs w:val="20"/>
                <w:color w:val="auto"/>
              </w:rPr>
            </w:pPr>
            <w:r>
              <w:rPr>
                <w:rFonts w:ascii="Arial" w:cs="Arial" w:eastAsia="Arial" w:hAnsi="Arial"/>
                <w:sz w:val="17"/>
                <w:szCs w:val="17"/>
                <w:color w:val="auto"/>
              </w:rPr>
              <w:t>does not appear in the Interactive Data File because its</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4220" w:type="dxa"/>
            <w:vAlign w:val="bottom"/>
            <w:gridSpan w:val="32"/>
          </w:tcPr>
          <w:p>
            <w:pPr>
              <w:spacing w:after="0" w:line="180" w:lineRule="exact"/>
              <w:rPr>
                <w:sz w:val="20"/>
                <w:szCs w:val="20"/>
                <w:color w:val="auto"/>
              </w:rPr>
            </w:pPr>
            <w:r>
              <w:rPr>
                <w:rFonts w:ascii="Arial" w:cs="Arial" w:eastAsia="Arial" w:hAnsi="Arial"/>
                <w:sz w:val="17"/>
                <w:szCs w:val="17"/>
                <w:color w:val="auto"/>
              </w:rPr>
              <w:t>XBRL tags are embedded within the Inline XBRL</w:t>
            </w: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4220" w:type="dxa"/>
            <w:vAlign w:val="bottom"/>
            <w:gridSpan w:val="32"/>
          </w:tcPr>
          <w:p>
            <w:pPr>
              <w:spacing w:after="0"/>
              <w:rPr>
                <w:sz w:val="20"/>
                <w:szCs w:val="20"/>
                <w:color w:val="auto"/>
              </w:rPr>
            </w:pPr>
            <w:r>
              <w:rPr>
                <w:rFonts w:ascii="Arial" w:cs="Arial" w:eastAsia="Arial" w:hAnsi="Arial"/>
                <w:sz w:val="17"/>
                <w:szCs w:val="17"/>
                <w:color w:val="auto"/>
              </w:rPr>
              <w:t>document.</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Arial" w:cs="Arial" w:eastAsia="Arial" w:hAnsi="Arial"/>
                <w:sz w:val="17"/>
                <w:szCs w:val="17"/>
                <w:color w:val="auto"/>
              </w:rPr>
              <w:t>101.SCH</w:t>
            </w:r>
          </w:p>
        </w:tc>
        <w:tc>
          <w:tcPr>
            <w:tcW w:w="4220" w:type="dxa"/>
            <w:vAlign w:val="bottom"/>
            <w:gridSpan w:val="32"/>
          </w:tcPr>
          <w:p>
            <w:pPr>
              <w:spacing w:after="0"/>
              <w:rPr>
                <w:sz w:val="20"/>
                <w:szCs w:val="20"/>
                <w:color w:val="auto"/>
              </w:rPr>
            </w:pPr>
            <w:r>
              <w:rPr>
                <w:rFonts w:ascii="Arial" w:cs="Arial" w:eastAsia="Arial" w:hAnsi="Arial"/>
                <w:sz w:val="17"/>
                <w:szCs w:val="17"/>
                <w:color w:val="auto"/>
              </w:rPr>
              <w:t>Inline XBRL Taxonomy Extension Schema Document.</w:t>
            </w:r>
          </w:p>
        </w:tc>
        <w:tc>
          <w:tcPr>
            <w:tcW w:w="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9"/>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534"/>
              <w:spacing w:after="0"/>
              <w:rPr>
                <w:sz w:val="20"/>
                <w:szCs w:val="20"/>
                <w:color w:val="auto"/>
              </w:rPr>
            </w:pPr>
            <w:r>
              <w:rPr>
                <w:rFonts w:ascii="Arial" w:cs="Arial" w:eastAsia="Arial" w:hAnsi="Arial"/>
                <w:sz w:val="17"/>
                <w:szCs w:val="17"/>
                <w:color w:val="auto"/>
                <w:w w:val="77"/>
              </w:rPr>
              <w:t>133</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119380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X</w:t>
      </w:r>
    </w:p>
    <w:p>
      <w:pPr>
        <w:sectPr>
          <w:pgSz w:w="11900" w:h="16838" w:orient="portrait"/>
          <w:cols w:equalWidth="0" w:num="2">
            <w:col w:w="9620" w:space="700"/>
            <w:col w:w="140"/>
          </w:cols>
          <w:pgMar w:left="340" w:top="244" w:right="1099" w:bottom="1440" w:gutter="0" w:footer="0" w:header="0"/>
        </w:sectPr>
      </w:pPr>
    </w:p>
    <w:bookmarkStart w:id="133" w:name="page134"/>
    <w:bookmarkEnd w:id="133"/>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6900" w:type="dxa"/>
            <w:vAlign w:val="bottom"/>
          </w:tcPr>
          <w:p>
            <w:pPr>
              <w:ind w:left="300"/>
              <w:spacing w:after="0"/>
              <w:rPr>
                <w:sz w:val="20"/>
                <w:szCs w:val="20"/>
                <w:color w:val="auto"/>
              </w:rPr>
            </w:pPr>
            <w:r>
              <w:rPr>
                <w:rFonts w:ascii="Arial" w:cs="Arial" w:eastAsia="Arial" w:hAnsi="Arial"/>
                <w:sz w:val="17"/>
                <w:szCs w:val="17"/>
                <w:color w:val="auto"/>
              </w:rPr>
              <w:t>Inline XBRL Taxonomy Extension Calculation Linkbase</w:t>
            </w:r>
          </w:p>
        </w:tc>
        <w:tc>
          <w:tcPr>
            <w:tcW w:w="2580" w:type="dxa"/>
            <w:vAlign w:val="bottom"/>
            <w:vMerge w:val="restart"/>
          </w:tcPr>
          <w:p>
            <w:pPr>
              <w:ind w:left="2440"/>
              <w:spacing w:after="0"/>
              <w:rPr>
                <w:sz w:val="20"/>
                <w:szCs w:val="20"/>
                <w:color w:val="auto"/>
              </w:rPr>
            </w:pPr>
            <w:r>
              <w:rPr>
                <w:rFonts w:ascii="Arial" w:cs="Arial" w:eastAsia="Arial" w:hAnsi="Arial"/>
                <w:sz w:val="19"/>
                <w:szCs w:val="19"/>
                <w:color w:val="auto"/>
                <w:w w:val="94"/>
              </w:rPr>
              <w:t>X</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6900" w:type="dxa"/>
            <w:vAlign w:val="bottom"/>
          </w:tcPr>
          <w:p>
            <w:pPr>
              <w:ind w:left="300"/>
              <w:spacing w:after="0"/>
              <w:rPr>
                <w:sz w:val="20"/>
                <w:szCs w:val="20"/>
                <w:color w:val="auto"/>
              </w:rPr>
            </w:pPr>
            <w:r>
              <w:rPr>
                <w:rFonts w:ascii="Arial" w:cs="Arial" w:eastAsia="Arial" w:hAnsi="Arial"/>
                <w:sz w:val="17"/>
                <w:szCs w:val="17"/>
                <w:color w:val="auto"/>
              </w:rPr>
              <w:t>Document.</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line="188" w:lineRule="exact"/>
              <w:rPr>
                <w:sz w:val="20"/>
                <w:szCs w:val="20"/>
                <w:color w:val="auto"/>
              </w:rPr>
            </w:pPr>
            <w:r>
              <w:rPr>
                <w:rFonts w:ascii="Arial" w:cs="Arial" w:eastAsia="Arial" w:hAnsi="Arial"/>
                <w:sz w:val="17"/>
                <w:szCs w:val="17"/>
                <w:color w:val="auto"/>
              </w:rPr>
              <w:t>101.DEF</w:t>
            </w:r>
          </w:p>
        </w:tc>
        <w:tc>
          <w:tcPr>
            <w:tcW w:w="6900" w:type="dxa"/>
            <w:vAlign w:val="bottom"/>
          </w:tcPr>
          <w:p>
            <w:pPr>
              <w:ind w:left="300"/>
              <w:spacing w:after="0" w:line="188" w:lineRule="exact"/>
              <w:rPr>
                <w:sz w:val="20"/>
                <w:szCs w:val="20"/>
                <w:color w:val="auto"/>
              </w:rPr>
            </w:pPr>
            <w:r>
              <w:rPr>
                <w:rFonts w:ascii="Arial" w:cs="Arial" w:eastAsia="Arial" w:hAnsi="Arial"/>
                <w:sz w:val="17"/>
                <w:szCs w:val="17"/>
                <w:color w:val="auto"/>
              </w:rPr>
              <w:t>Inline XBRL Taxonomy Extension Definition Linkbase</w:t>
            </w:r>
          </w:p>
        </w:tc>
        <w:tc>
          <w:tcPr>
            <w:tcW w:w="2580" w:type="dxa"/>
            <w:vAlign w:val="bottom"/>
            <w:vMerge w:val="restart"/>
          </w:tcPr>
          <w:p>
            <w:pPr>
              <w:ind w:left="2440"/>
              <w:spacing w:after="0"/>
              <w:rPr>
                <w:sz w:val="20"/>
                <w:szCs w:val="20"/>
                <w:color w:val="auto"/>
              </w:rPr>
            </w:pPr>
            <w:r>
              <w:rPr>
                <w:rFonts w:ascii="Arial" w:cs="Arial" w:eastAsia="Arial" w:hAnsi="Arial"/>
                <w:sz w:val="19"/>
                <w:szCs w:val="19"/>
                <w:color w:val="auto"/>
                <w:w w:val="94"/>
              </w:rPr>
              <w:t>X</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6900" w:type="dxa"/>
            <w:vAlign w:val="bottom"/>
          </w:tcPr>
          <w:p>
            <w:pPr>
              <w:ind w:left="300"/>
              <w:spacing w:after="0"/>
              <w:rPr>
                <w:sz w:val="20"/>
                <w:szCs w:val="20"/>
                <w:color w:val="auto"/>
              </w:rPr>
            </w:pPr>
            <w:r>
              <w:rPr>
                <w:rFonts w:ascii="Arial" w:cs="Arial" w:eastAsia="Arial" w:hAnsi="Arial"/>
                <w:sz w:val="17"/>
                <w:szCs w:val="17"/>
                <w:color w:val="auto"/>
              </w:rPr>
              <w:t>Document.</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line="188" w:lineRule="exact"/>
              <w:rPr>
                <w:sz w:val="20"/>
                <w:szCs w:val="20"/>
                <w:color w:val="auto"/>
              </w:rPr>
            </w:pPr>
            <w:r>
              <w:rPr>
                <w:rFonts w:ascii="Arial" w:cs="Arial" w:eastAsia="Arial" w:hAnsi="Arial"/>
                <w:sz w:val="17"/>
                <w:szCs w:val="17"/>
                <w:color w:val="auto"/>
              </w:rPr>
              <w:t>101.LAB</w:t>
            </w:r>
          </w:p>
        </w:tc>
        <w:tc>
          <w:tcPr>
            <w:tcW w:w="6900" w:type="dxa"/>
            <w:vAlign w:val="bottom"/>
          </w:tcPr>
          <w:p>
            <w:pPr>
              <w:ind w:left="300"/>
              <w:spacing w:after="0" w:line="188" w:lineRule="exact"/>
              <w:rPr>
                <w:sz w:val="20"/>
                <w:szCs w:val="20"/>
                <w:color w:val="auto"/>
              </w:rPr>
            </w:pPr>
            <w:r>
              <w:rPr>
                <w:rFonts w:ascii="Arial" w:cs="Arial" w:eastAsia="Arial" w:hAnsi="Arial"/>
                <w:sz w:val="17"/>
                <w:szCs w:val="17"/>
                <w:color w:val="auto"/>
              </w:rPr>
              <w:t>Inline XBRL Taxonomy Extension Label Linkbase</w:t>
            </w:r>
          </w:p>
        </w:tc>
        <w:tc>
          <w:tcPr>
            <w:tcW w:w="2580" w:type="dxa"/>
            <w:vAlign w:val="bottom"/>
            <w:vMerge w:val="restart"/>
          </w:tcPr>
          <w:p>
            <w:pPr>
              <w:ind w:left="2440"/>
              <w:spacing w:after="0"/>
              <w:rPr>
                <w:sz w:val="20"/>
                <w:szCs w:val="20"/>
                <w:color w:val="auto"/>
              </w:rPr>
            </w:pPr>
            <w:r>
              <w:rPr>
                <w:rFonts w:ascii="Arial" w:cs="Arial" w:eastAsia="Arial" w:hAnsi="Arial"/>
                <w:sz w:val="19"/>
                <w:szCs w:val="19"/>
                <w:color w:val="auto"/>
                <w:w w:val="94"/>
              </w:rPr>
              <w:t>X</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6900" w:type="dxa"/>
            <w:vAlign w:val="bottom"/>
          </w:tcPr>
          <w:p>
            <w:pPr>
              <w:ind w:left="300"/>
              <w:spacing w:after="0"/>
              <w:rPr>
                <w:sz w:val="20"/>
                <w:szCs w:val="20"/>
                <w:color w:val="auto"/>
              </w:rPr>
            </w:pPr>
            <w:r>
              <w:rPr>
                <w:rFonts w:ascii="Arial" w:cs="Arial" w:eastAsia="Arial" w:hAnsi="Arial"/>
                <w:sz w:val="17"/>
                <w:szCs w:val="17"/>
                <w:color w:val="auto"/>
              </w:rPr>
              <w:t>Document.</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line="188" w:lineRule="exact"/>
              <w:rPr>
                <w:sz w:val="20"/>
                <w:szCs w:val="20"/>
                <w:color w:val="auto"/>
              </w:rPr>
            </w:pPr>
            <w:r>
              <w:rPr>
                <w:rFonts w:ascii="Arial" w:cs="Arial" w:eastAsia="Arial" w:hAnsi="Arial"/>
                <w:sz w:val="17"/>
                <w:szCs w:val="17"/>
                <w:color w:val="auto"/>
              </w:rPr>
              <w:t>101.PRE</w:t>
            </w:r>
          </w:p>
        </w:tc>
        <w:tc>
          <w:tcPr>
            <w:tcW w:w="6900" w:type="dxa"/>
            <w:vAlign w:val="bottom"/>
          </w:tcPr>
          <w:p>
            <w:pPr>
              <w:ind w:left="300"/>
              <w:spacing w:after="0" w:line="188" w:lineRule="exact"/>
              <w:rPr>
                <w:sz w:val="20"/>
                <w:szCs w:val="20"/>
                <w:color w:val="auto"/>
              </w:rPr>
            </w:pPr>
            <w:r>
              <w:rPr>
                <w:rFonts w:ascii="Arial" w:cs="Arial" w:eastAsia="Arial" w:hAnsi="Arial"/>
                <w:sz w:val="17"/>
                <w:szCs w:val="17"/>
                <w:color w:val="auto"/>
              </w:rPr>
              <w:t>Inline XBRL Taxonomy Extension Presentation</w:t>
            </w:r>
          </w:p>
        </w:tc>
        <w:tc>
          <w:tcPr>
            <w:tcW w:w="2580" w:type="dxa"/>
            <w:vAlign w:val="bottom"/>
            <w:vMerge w:val="restart"/>
          </w:tcPr>
          <w:p>
            <w:pPr>
              <w:ind w:left="2440"/>
              <w:spacing w:after="0"/>
              <w:rPr>
                <w:sz w:val="20"/>
                <w:szCs w:val="20"/>
                <w:color w:val="auto"/>
              </w:rPr>
            </w:pPr>
            <w:r>
              <w:rPr>
                <w:rFonts w:ascii="Arial" w:cs="Arial" w:eastAsia="Arial" w:hAnsi="Arial"/>
                <w:sz w:val="19"/>
                <w:szCs w:val="19"/>
                <w:color w:val="auto"/>
                <w:w w:val="94"/>
              </w:rPr>
              <w:t>X</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6900" w:type="dxa"/>
            <w:vAlign w:val="bottom"/>
          </w:tcPr>
          <w:p>
            <w:pPr>
              <w:ind w:left="300"/>
              <w:spacing w:after="0"/>
              <w:rPr>
                <w:sz w:val="20"/>
                <w:szCs w:val="20"/>
                <w:color w:val="auto"/>
              </w:rPr>
            </w:pPr>
            <w:r>
              <w:rPr>
                <w:rFonts w:ascii="Arial" w:cs="Arial" w:eastAsia="Arial" w:hAnsi="Arial"/>
                <w:sz w:val="17"/>
                <w:szCs w:val="17"/>
                <w:color w:val="auto"/>
              </w:rPr>
              <w:t>Linkbase Document.</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line="188" w:lineRule="exact"/>
              <w:rPr>
                <w:sz w:val="20"/>
                <w:szCs w:val="20"/>
                <w:color w:val="auto"/>
              </w:rPr>
            </w:pPr>
            <w:r>
              <w:rPr>
                <w:rFonts w:ascii="Arial" w:cs="Arial" w:eastAsia="Arial" w:hAnsi="Arial"/>
                <w:sz w:val="17"/>
                <w:szCs w:val="17"/>
                <w:color w:val="auto"/>
              </w:rPr>
              <w:t>104</w:t>
            </w:r>
          </w:p>
        </w:tc>
        <w:tc>
          <w:tcPr>
            <w:tcW w:w="6900" w:type="dxa"/>
            <w:vAlign w:val="bottom"/>
          </w:tcPr>
          <w:p>
            <w:pPr>
              <w:ind w:left="300"/>
              <w:spacing w:after="0" w:line="188" w:lineRule="exact"/>
              <w:rPr>
                <w:sz w:val="20"/>
                <w:szCs w:val="20"/>
                <w:color w:val="auto"/>
              </w:rPr>
            </w:pPr>
            <w:r>
              <w:rPr>
                <w:rFonts w:ascii="Arial" w:cs="Arial" w:eastAsia="Arial" w:hAnsi="Arial"/>
                <w:sz w:val="17"/>
                <w:szCs w:val="17"/>
                <w:color w:val="auto"/>
              </w:rPr>
              <w:t>Cover Page Interactive Data File (formatted as Inline</w:t>
            </w:r>
          </w:p>
        </w:tc>
        <w:tc>
          <w:tcPr>
            <w:tcW w:w="2580" w:type="dxa"/>
            <w:vAlign w:val="bottom"/>
            <w:vMerge w:val="restart"/>
          </w:tcPr>
          <w:p>
            <w:pPr>
              <w:ind w:left="2440"/>
              <w:spacing w:after="0"/>
              <w:rPr>
                <w:sz w:val="20"/>
                <w:szCs w:val="20"/>
                <w:color w:val="auto"/>
              </w:rPr>
            </w:pPr>
            <w:r>
              <w:rPr>
                <w:rFonts w:ascii="Arial" w:cs="Arial" w:eastAsia="Arial" w:hAnsi="Arial"/>
                <w:sz w:val="19"/>
                <w:szCs w:val="19"/>
                <w:color w:val="auto"/>
                <w:w w:val="94"/>
              </w:rPr>
              <w:t>X</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6900" w:type="dxa"/>
            <w:vAlign w:val="bottom"/>
          </w:tcPr>
          <w:p>
            <w:pPr>
              <w:ind w:left="300"/>
              <w:spacing w:after="0"/>
              <w:rPr>
                <w:sz w:val="20"/>
                <w:szCs w:val="20"/>
                <w:color w:val="auto"/>
              </w:rPr>
            </w:pPr>
            <w:r>
              <w:rPr>
                <w:rFonts w:ascii="Arial" w:cs="Arial" w:eastAsia="Arial" w:hAnsi="Arial"/>
                <w:sz w:val="17"/>
                <w:szCs w:val="17"/>
                <w:color w:val="auto"/>
              </w:rPr>
              <w:t>XBRL and contained in Exhibit 101)</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60" w:hanging="257"/>
        <w:spacing w:after="0"/>
        <w:tabs>
          <w:tab w:leader="none" w:pos="260" w:val="left"/>
        </w:tabs>
        <w:numPr>
          <w:ilvl w:val="0"/>
          <w:numId w:val="52"/>
        </w:numPr>
        <w:rPr>
          <w:rFonts w:ascii="Arial" w:cs="Arial" w:eastAsia="Arial" w:hAnsi="Arial"/>
          <w:sz w:val="17"/>
          <w:szCs w:val="17"/>
          <w:color w:val="auto"/>
        </w:rPr>
      </w:pPr>
      <w:r>
        <w:rPr>
          <w:rFonts w:ascii="Arial" w:cs="Arial" w:eastAsia="Arial" w:hAnsi="Arial"/>
          <w:sz w:val="15"/>
          <w:szCs w:val="15"/>
          <w:color w:val="auto"/>
        </w:rPr>
        <w:t>Indicates management contract or compensatory plan or arrangement.</w:t>
      </w:r>
    </w:p>
    <w:p>
      <w:pPr>
        <w:spacing w:after="0" w:line="111" w:lineRule="exact"/>
        <w:rPr>
          <w:sz w:val="20"/>
          <w:szCs w:val="20"/>
          <w:color w:val="auto"/>
        </w:rPr>
      </w:pPr>
    </w:p>
    <w:p>
      <w:pPr>
        <w:ind w:left="460" w:right="160" w:hanging="457"/>
        <w:spacing w:after="0" w:line="287" w:lineRule="auto"/>
        <w:tabs>
          <w:tab w:leader="none" w:pos="288" w:val="left"/>
        </w:tabs>
        <w:numPr>
          <w:ilvl w:val="0"/>
          <w:numId w:val="53"/>
        </w:numPr>
        <w:rPr>
          <w:rFonts w:ascii="Arial" w:cs="Arial" w:eastAsia="Arial" w:hAnsi="Arial"/>
          <w:sz w:val="15"/>
          <w:szCs w:val="15"/>
          <w:color w:val="auto"/>
        </w:rPr>
      </w:pPr>
      <w:r>
        <w:rPr>
          <w:rFonts w:ascii="Arial" w:cs="Arial" w:eastAsia="Arial" w:hAnsi="Arial"/>
          <w:sz w:val="15"/>
          <w:szCs w:val="15"/>
          <w:color w:val="auto"/>
        </w:rPr>
        <w:t>Certain confidential information contained in this exhibit has been omitted because it is both not material and is of the type that the Registrant treats as private or confidential.</w:t>
      </w:r>
    </w:p>
    <w:p>
      <w:pPr>
        <w:spacing w:after="0" w:line="64" w:lineRule="exact"/>
        <w:rPr>
          <w:sz w:val="20"/>
          <w:szCs w:val="20"/>
          <w:color w:val="auto"/>
        </w:rPr>
      </w:pPr>
    </w:p>
    <w:p>
      <w:pPr>
        <w:ind w:left="260" w:hanging="257"/>
        <w:spacing w:after="0"/>
        <w:tabs>
          <w:tab w:leader="none" w:pos="2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Confidential treatment has been granted for a portion of this exhibit.</w:t>
      </w:r>
    </w:p>
    <w:p>
      <w:pPr>
        <w:spacing w:after="0" w:line="111" w:lineRule="exact"/>
        <w:rPr>
          <w:sz w:val="20"/>
          <w:szCs w:val="20"/>
          <w:color w:val="auto"/>
        </w:rPr>
      </w:pPr>
    </w:p>
    <w:p>
      <w:pPr>
        <w:ind w:left="460" w:right="60" w:hanging="457"/>
        <w:spacing w:after="0" w:line="273" w:lineRule="auto"/>
        <w:tabs>
          <w:tab w:leader="none" w:pos="456"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certifications attached as Exhibit 32.1 accompany this Annual Report on Form 10-K are not deemed filed with the SEC and are not to be incorporated by reference into any filing of NGM Biopharmaceuticals,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125730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34" w:name="page135"/>
    <w:bookmarkEnd w:id="134"/>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20" w:type="dxa"/>
            <w:vAlign w:val="bottom"/>
            <w:gridSpan w:val="3"/>
          </w:tcPr>
          <w:p>
            <w:pPr>
              <w:ind w:left="20"/>
              <w:spacing w:after="0"/>
              <w:rPr>
                <w:sz w:val="20"/>
                <w:szCs w:val="20"/>
                <w:color w:val="auto"/>
              </w:rPr>
            </w:pPr>
            <w:r>
              <w:rPr>
                <w:rFonts w:ascii="Arial" w:cs="Arial" w:eastAsia="Arial" w:hAnsi="Arial"/>
                <w:sz w:val="17"/>
                <w:szCs w:val="17"/>
                <w:b w:val="1"/>
                <w:bCs w:val="1"/>
                <w:color w:val="auto"/>
              </w:rPr>
              <w:t>NGM Biopharmaceuticals, Inc.</w:t>
            </w:r>
          </w:p>
        </w:tc>
      </w:tr>
      <w:tr>
        <w:trPr>
          <w:trHeight w:val="400"/>
        </w:trPr>
        <w:tc>
          <w:tcPr>
            <w:tcW w:w="3680" w:type="dxa"/>
            <w:vAlign w:val="bottom"/>
          </w:tcPr>
          <w:p>
            <w:pPr>
              <w:ind w:left="20"/>
              <w:spacing w:after="0"/>
              <w:rPr>
                <w:sz w:val="20"/>
                <w:szCs w:val="20"/>
                <w:color w:val="auto"/>
              </w:rPr>
            </w:pPr>
            <w:r>
              <w:rPr>
                <w:rFonts w:ascii="Arial" w:cs="Arial" w:eastAsia="Arial" w:hAnsi="Arial"/>
                <w:sz w:val="17"/>
                <w:szCs w:val="17"/>
                <w:color w:val="auto"/>
              </w:rPr>
              <w:t>Date: February 28, 2023</w:t>
            </w:r>
          </w:p>
        </w:tc>
        <w:tc>
          <w:tcPr>
            <w:tcW w:w="2440" w:type="dxa"/>
            <w:vAlign w:val="bottom"/>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4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David J. Woodhouse</w:t>
            </w:r>
          </w:p>
        </w:tc>
        <w:tc>
          <w:tcPr>
            <w:tcW w:w="20" w:type="dxa"/>
            <w:vAlign w:val="bottom"/>
          </w:tcPr>
          <w:p>
            <w:pPr>
              <w:spacing w:after="0"/>
              <w:rPr>
                <w:sz w:val="24"/>
                <w:szCs w:val="24"/>
                <w:color w:val="auto"/>
              </w:rPr>
            </w:pPr>
          </w:p>
        </w:tc>
      </w:tr>
      <w:tr>
        <w:trPr>
          <w:trHeight w:val="205"/>
        </w:trPr>
        <w:tc>
          <w:tcPr>
            <w:tcW w:w="3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David J. Woodhouse, Ph.D.</w:t>
            </w:r>
          </w:p>
        </w:tc>
      </w:tr>
      <w:tr>
        <w:trPr>
          <w:trHeight w:val="226"/>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b w:val="1"/>
                <w:bCs w:val="1"/>
                <w:color w:val="auto"/>
              </w:rPr>
              <w:t>Chief Executive Officer and Director</w:t>
            </w:r>
          </w:p>
        </w:tc>
      </w:tr>
      <w:tr>
        <w:trPr>
          <w:trHeight w:val="362"/>
        </w:trPr>
        <w:tc>
          <w:tcPr>
            <w:tcW w:w="3680" w:type="dxa"/>
            <w:vAlign w:val="bottom"/>
          </w:tcPr>
          <w:p>
            <w:pPr>
              <w:ind w:left="20"/>
              <w:spacing w:after="0"/>
              <w:rPr>
                <w:sz w:val="20"/>
                <w:szCs w:val="20"/>
                <w:color w:val="auto"/>
              </w:rPr>
            </w:pPr>
            <w:r>
              <w:rPr>
                <w:rFonts w:ascii="Arial" w:cs="Arial" w:eastAsia="Arial" w:hAnsi="Arial"/>
                <w:sz w:val="17"/>
                <w:szCs w:val="17"/>
                <w:color w:val="auto"/>
              </w:rPr>
              <w:t>Date: February 28, 2023</w:t>
            </w:r>
          </w:p>
        </w:tc>
        <w:tc>
          <w:tcPr>
            <w:tcW w:w="2440" w:type="dxa"/>
            <w:vAlign w:val="bottom"/>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4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Siobhan Nolan Mangini</w:t>
            </w:r>
          </w:p>
        </w:tc>
        <w:tc>
          <w:tcPr>
            <w:tcW w:w="20" w:type="dxa"/>
            <w:vAlign w:val="bottom"/>
          </w:tcPr>
          <w:p>
            <w:pPr>
              <w:spacing w:after="0"/>
              <w:rPr>
                <w:sz w:val="24"/>
                <w:szCs w:val="24"/>
                <w:color w:val="auto"/>
              </w:rPr>
            </w:pPr>
          </w:p>
        </w:tc>
      </w:tr>
      <w:tr>
        <w:trPr>
          <w:trHeight w:val="205"/>
        </w:trPr>
        <w:tc>
          <w:tcPr>
            <w:tcW w:w="3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color w:val="auto"/>
              </w:rPr>
              <w:t>Siobhan Nolan Mangini</w:t>
            </w:r>
          </w:p>
        </w:tc>
      </w:tr>
      <w:tr>
        <w:trPr>
          <w:trHeight w:val="219"/>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b w:val="1"/>
                <w:bCs w:val="1"/>
                <w:color w:val="auto"/>
              </w:rPr>
              <w:t>President and Chief Financial Officer</w:t>
            </w:r>
          </w:p>
        </w:tc>
      </w:tr>
      <w:tr>
        <w:trPr>
          <w:trHeight w:val="226"/>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20" w:type="dxa"/>
            <w:vAlign w:val="bottom"/>
            <w:gridSpan w:val="2"/>
          </w:tcPr>
          <w:p>
            <w:pPr>
              <w:ind w:left="140"/>
              <w:spacing w:after="0"/>
              <w:rPr>
                <w:sz w:val="20"/>
                <w:szCs w:val="20"/>
                <w:color w:val="auto"/>
              </w:rPr>
            </w:pPr>
            <w:r>
              <w:rPr>
                <w:rFonts w:ascii="Arial" w:cs="Arial" w:eastAsia="Arial" w:hAnsi="Arial"/>
                <w:sz w:val="17"/>
                <w:szCs w:val="17"/>
                <w:b w:val="1"/>
                <w:bCs w:val="1"/>
                <w:i w:val="1"/>
                <w:iCs w:val="1"/>
                <w:color w:val="auto"/>
              </w:rPr>
              <w:t>(Principal Financial Officer)</w:t>
            </w:r>
          </w:p>
        </w:tc>
      </w:tr>
      <w:tr>
        <w:trPr>
          <w:trHeight w:val="709"/>
        </w:trPr>
        <w:tc>
          <w:tcPr>
            <w:tcW w:w="3680" w:type="dxa"/>
            <w:vAlign w:val="bottom"/>
          </w:tcPr>
          <w:p>
            <w:pPr>
              <w:spacing w:after="0"/>
              <w:rPr>
                <w:sz w:val="24"/>
                <w:szCs w:val="24"/>
                <w:color w:val="auto"/>
              </w:rPr>
            </w:pPr>
          </w:p>
        </w:tc>
        <w:tc>
          <w:tcPr>
            <w:tcW w:w="2440" w:type="dxa"/>
            <w:vAlign w:val="bottom"/>
          </w:tcPr>
          <w:p>
            <w:pPr>
              <w:jc w:val="right"/>
              <w:ind w:right="274"/>
              <w:spacing w:after="0"/>
              <w:rPr>
                <w:sz w:val="20"/>
                <w:szCs w:val="20"/>
                <w:color w:val="auto"/>
              </w:rPr>
            </w:pPr>
            <w:r>
              <w:rPr>
                <w:rFonts w:ascii="Arial" w:cs="Arial" w:eastAsia="Arial" w:hAnsi="Arial"/>
                <w:sz w:val="17"/>
                <w:szCs w:val="17"/>
                <w:color w:val="auto"/>
              </w:rPr>
              <w:t>135</w:t>
            </w:r>
          </w:p>
        </w:tc>
        <w:tc>
          <w:tcPr>
            <w:tcW w:w="4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368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7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135" w:name="page136"/>
    <w:bookmarkEnd w:id="135"/>
    <w:p>
      <w:pPr>
        <w:ind w:left="620"/>
        <w:spacing w:after="0"/>
        <w:rPr>
          <w:sz w:val="20"/>
          <w:szCs w:val="20"/>
          <w:color w:val="auto"/>
        </w:rPr>
      </w:pPr>
      <w:r>
        <w:rPr>
          <w:rFonts w:ascii="Arial" w:cs="Arial" w:eastAsia="Arial" w:hAnsi="Arial"/>
          <w:sz w:val="15"/>
          <w:szCs w:val="15"/>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David J. Woodhouse, Siobhan Nolan Mangini and Valerie Pierce,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Signature</w:t>
            </w:r>
          </w:p>
        </w:tc>
        <w:tc>
          <w:tcPr>
            <w:tcW w:w="100" w:type="dxa"/>
            <w:vAlign w:val="bottom"/>
          </w:tcPr>
          <w:p>
            <w:pPr>
              <w:spacing w:after="0"/>
              <w:rPr>
                <w:sz w:val="19"/>
                <w:szCs w:val="19"/>
                <w:color w:val="auto"/>
              </w:rPr>
            </w:pPr>
          </w:p>
        </w:tc>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Title</w:t>
            </w: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r>
      <w:tr>
        <w:trPr>
          <w:trHeight w:val="456"/>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David J. Woodhouse</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2"/>
        </w:trPr>
        <w:tc>
          <w:tcPr>
            <w:tcW w:w="3220" w:type="dxa"/>
            <w:vAlign w:val="bottom"/>
          </w:tcPr>
          <w:p>
            <w:pPr>
              <w:jc w:val="center"/>
              <w:spacing w:after="0"/>
              <w:rPr>
                <w:sz w:val="20"/>
                <w:szCs w:val="20"/>
                <w:color w:val="auto"/>
              </w:rPr>
            </w:pPr>
            <w:r>
              <w:rPr>
                <w:rFonts w:ascii="Arial" w:cs="Arial" w:eastAsia="Arial" w:hAnsi="Arial"/>
                <w:sz w:val="17"/>
                <w:szCs w:val="17"/>
                <w:color w:val="auto"/>
              </w:rPr>
              <w:t>David J. Woodhouse, Ph.D.</w:t>
            </w:r>
          </w:p>
        </w:tc>
        <w:tc>
          <w:tcPr>
            <w:tcW w:w="100" w:type="dxa"/>
            <w:vAlign w:val="bottom"/>
          </w:tcPr>
          <w:p>
            <w:pPr>
              <w:spacing w:after="0"/>
              <w:rPr>
                <w:sz w:val="18"/>
                <w:szCs w:val="18"/>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rPr>
              <w:t>(Principal Executive Officer)</w:t>
            </w:r>
          </w:p>
        </w:tc>
        <w:tc>
          <w:tcPr>
            <w:tcW w:w="2020" w:type="dxa"/>
            <w:vAlign w:val="bottom"/>
          </w:tcPr>
          <w:p>
            <w:pPr>
              <w:spacing w:after="0"/>
              <w:rPr>
                <w:sz w:val="18"/>
                <w:szCs w:val="18"/>
                <w:color w:val="auto"/>
              </w:rPr>
            </w:pPr>
          </w:p>
        </w:tc>
      </w:tr>
      <w:tr>
        <w:trPr>
          <w:trHeight w:val="477"/>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Siobhan Nolan Mangini</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President and Chief Financial Officer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2"/>
        </w:trPr>
        <w:tc>
          <w:tcPr>
            <w:tcW w:w="3220" w:type="dxa"/>
            <w:vAlign w:val="bottom"/>
          </w:tcPr>
          <w:p>
            <w:pPr>
              <w:jc w:val="center"/>
              <w:spacing w:after="0"/>
              <w:rPr>
                <w:sz w:val="20"/>
                <w:szCs w:val="20"/>
                <w:color w:val="auto"/>
              </w:rPr>
            </w:pPr>
            <w:r>
              <w:rPr>
                <w:rFonts w:ascii="Arial" w:cs="Arial" w:eastAsia="Arial" w:hAnsi="Arial"/>
                <w:sz w:val="17"/>
                <w:szCs w:val="17"/>
                <w:color w:val="auto"/>
              </w:rPr>
              <w:t>Siobhan Nolan Mangini</w:t>
            </w:r>
          </w:p>
        </w:tc>
        <w:tc>
          <w:tcPr>
            <w:tcW w:w="100" w:type="dxa"/>
            <w:vAlign w:val="bottom"/>
          </w:tcPr>
          <w:p>
            <w:pPr>
              <w:spacing w:after="0"/>
              <w:rPr>
                <w:sz w:val="18"/>
                <w:szCs w:val="18"/>
                <w:color w:val="auto"/>
              </w:rPr>
            </w:pPr>
          </w:p>
        </w:tc>
        <w:tc>
          <w:tcPr>
            <w:tcW w:w="5900" w:type="dxa"/>
            <w:vAlign w:val="bottom"/>
            <w:gridSpan w:val="2"/>
          </w:tcPr>
          <w:p>
            <w:pPr>
              <w:jc w:val="center"/>
              <w:ind w:right="120"/>
              <w:spacing w:after="0"/>
              <w:rPr>
                <w:sz w:val="20"/>
                <w:szCs w:val="20"/>
                <w:color w:val="auto"/>
              </w:rPr>
            </w:pPr>
            <w:r>
              <w:rPr>
                <w:rFonts w:ascii="Arial" w:cs="Arial" w:eastAsia="Arial" w:hAnsi="Arial"/>
                <w:sz w:val="17"/>
                <w:szCs w:val="17"/>
                <w:i w:val="1"/>
                <w:iCs w:val="1"/>
                <w:color w:val="auto"/>
              </w:rPr>
              <w:t>(Principal Financial and Accounting Officer)</w:t>
            </w:r>
          </w:p>
        </w:tc>
        <w:tc>
          <w:tcPr>
            <w:tcW w:w="2020" w:type="dxa"/>
            <w:vAlign w:val="bottom"/>
          </w:tcPr>
          <w:p>
            <w:pPr>
              <w:spacing w:after="0"/>
              <w:rPr>
                <w:sz w:val="18"/>
                <w:szCs w:val="18"/>
                <w:color w:val="auto"/>
              </w:rPr>
            </w:pPr>
          </w:p>
        </w:tc>
      </w:tr>
      <w:tr>
        <w:trPr>
          <w:trHeight w:val="478"/>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Bill Rieflin</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Chairman and 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1"/>
        </w:trPr>
        <w:tc>
          <w:tcPr>
            <w:tcW w:w="3220" w:type="dxa"/>
            <w:vAlign w:val="bottom"/>
          </w:tcPr>
          <w:p>
            <w:pPr>
              <w:jc w:val="center"/>
              <w:spacing w:after="0"/>
              <w:rPr>
                <w:sz w:val="20"/>
                <w:szCs w:val="20"/>
                <w:color w:val="auto"/>
              </w:rPr>
            </w:pPr>
            <w:r>
              <w:rPr>
                <w:rFonts w:ascii="Arial" w:cs="Arial" w:eastAsia="Arial" w:hAnsi="Arial"/>
                <w:sz w:val="17"/>
                <w:szCs w:val="17"/>
                <w:color w:val="auto"/>
              </w:rPr>
              <w:t>William J. Rieflin</w:t>
            </w:r>
          </w:p>
        </w:tc>
        <w:tc>
          <w:tcPr>
            <w:tcW w:w="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78"/>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Jin-Long Chen</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Chief Scientific Officer and 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1"/>
        </w:trPr>
        <w:tc>
          <w:tcPr>
            <w:tcW w:w="3220" w:type="dxa"/>
            <w:vAlign w:val="bottom"/>
          </w:tcPr>
          <w:p>
            <w:pPr>
              <w:jc w:val="center"/>
              <w:spacing w:after="0"/>
              <w:rPr>
                <w:sz w:val="20"/>
                <w:szCs w:val="20"/>
                <w:color w:val="auto"/>
              </w:rPr>
            </w:pPr>
            <w:r>
              <w:rPr>
                <w:rFonts w:ascii="Arial" w:cs="Arial" w:eastAsia="Arial" w:hAnsi="Arial"/>
                <w:sz w:val="17"/>
                <w:szCs w:val="17"/>
                <w:color w:val="auto"/>
              </w:rPr>
              <w:t>Jin-Long Chen, Ph.D.</w:t>
            </w:r>
          </w:p>
        </w:tc>
        <w:tc>
          <w:tcPr>
            <w:tcW w:w="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78"/>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David V. Goeddel, Ph.D.</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1"/>
        </w:trPr>
        <w:tc>
          <w:tcPr>
            <w:tcW w:w="3220" w:type="dxa"/>
            <w:vAlign w:val="bottom"/>
          </w:tcPr>
          <w:p>
            <w:pPr>
              <w:jc w:val="center"/>
              <w:spacing w:after="0"/>
              <w:rPr>
                <w:sz w:val="20"/>
                <w:szCs w:val="20"/>
                <w:color w:val="auto"/>
              </w:rPr>
            </w:pPr>
            <w:r>
              <w:rPr>
                <w:rFonts w:ascii="Arial" w:cs="Arial" w:eastAsia="Arial" w:hAnsi="Arial"/>
                <w:sz w:val="17"/>
                <w:szCs w:val="17"/>
                <w:color w:val="auto"/>
              </w:rPr>
              <w:t>David V. Goeddel, Ph.D.</w:t>
            </w:r>
          </w:p>
        </w:tc>
        <w:tc>
          <w:tcPr>
            <w:tcW w:w="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78"/>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Shelly D. Guyer</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1"/>
        </w:trPr>
        <w:tc>
          <w:tcPr>
            <w:tcW w:w="3220" w:type="dxa"/>
            <w:vAlign w:val="bottom"/>
          </w:tcPr>
          <w:p>
            <w:pPr>
              <w:jc w:val="center"/>
              <w:spacing w:after="0"/>
              <w:rPr>
                <w:sz w:val="20"/>
                <w:szCs w:val="20"/>
                <w:color w:val="auto"/>
              </w:rPr>
            </w:pPr>
            <w:r>
              <w:rPr>
                <w:rFonts w:ascii="Arial" w:cs="Arial" w:eastAsia="Arial" w:hAnsi="Arial"/>
                <w:sz w:val="17"/>
                <w:szCs w:val="17"/>
                <w:color w:val="auto"/>
              </w:rPr>
              <w:t>Shelly D. Guyer</w:t>
            </w:r>
          </w:p>
        </w:tc>
        <w:tc>
          <w:tcPr>
            <w:tcW w:w="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78"/>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Carole Ho</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1"/>
        </w:trPr>
        <w:tc>
          <w:tcPr>
            <w:tcW w:w="3220" w:type="dxa"/>
            <w:vAlign w:val="bottom"/>
          </w:tcPr>
          <w:p>
            <w:pPr>
              <w:jc w:val="center"/>
              <w:spacing w:after="0"/>
              <w:rPr>
                <w:sz w:val="20"/>
                <w:szCs w:val="20"/>
                <w:color w:val="auto"/>
              </w:rPr>
            </w:pPr>
            <w:r>
              <w:rPr>
                <w:rFonts w:ascii="Arial" w:cs="Arial" w:eastAsia="Arial" w:hAnsi="Arial"/>
                <w:sz w:val="17"/>
                <w:szCs w:val="17"/>
                <w:color w:val="auto"/>
              </w:rPr>
              <w:t>Carole Ho, M.D.</w:t>
            </w:r>
          </w:p>
        </w:tc>
        <w:tc>
          <w:tcPr>
            <w:tcW w:w="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78"/>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Suzanne Sawochka Hooper</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1"/>
        </w:trPr>
        <w:tc>
          <w:tcPr>
            <w:tcW w:w="3220" w:type="dxa"/>
            <w:vAlign w:val="bottom"/>
          </w:tcPr>
          <w:p>
            <w:pPr>
              <w:jc w:val="center"/>
              <w:spacing w:after="0"/>
              <w:rPr>
                <w:sz w:val="20"/>
                <w:szCs w:val="20"/>
                <w:color w:val="auto"/>
              </w:rPr>
            </w:pPr>
            <w:r>
              <w:rPr>
                <w:rFonts w:ascii="Arial" w:cs="Arial" w:eastAsia="Arial" w:hAnsi="Arial"/>
                <w:sz w:val="17"/>
                <w:szCs w:val="17"/>
                <w:color w:val="auto"/>
              </w:rPr>
              <w:t>Suzanne Sawochka Hooper</w:t>
            </w:r>
          </w:p>
        </w:tc>
        <w:tc>
          <w:tcPr>
            <w:tcW w:w="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78"/>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Roger M. Perlmutter, M.D.</w:t>
            </w:r>
          </w:p>
        </w:tc>
        <w:tc>
          <w:tcPr>
            <w:tcW w:w="100" w:type="dxa"/>
            <w:vAlign w:val="bottom"/>
          </w:tcPr>
          <w:p>
            <w:pPr>
              <w:spacing w:after="0"/>
              <w:rPr>
                <w:sz w:val="24"/>
                <w:szCs w:val="24"/>
                <w:color w:val="auto"/>
              </w:rPr>
            </w:pPr>
          </w:p>
        </w:tc>
        <w:tc>
          <w:tcPr>
            <w:tcW w:w="5900" w:type="dxa"/>
            <w:vAlign w:val="bottom"/>
            <w:gridSpan w:val="2"/>
          </w:tcPr>
          <w:p>
            <w:pPr>
              <w:jc w:val="center"/>
              <w:ind w:right="100"/>
              <w:spacing w:after="0"/>
              <w:rPr>
                <w:sz w:val="20"/>
                <w:szCs w:val="20"/>
                <w:color w:val="auto"/>
              </w:rPr>
            </w:pPr>
            <w:r>
              <w:rPr>
                <w:rFonts w:ascii="Arial" w:cs="Arial" w:eastAsia="Arial" w:hAnsi="Arial"/>
                <w:sz w:val="17"/>
                <w:szCs w:val="17"/>
                <w:color w:val="auto"/>
              </w:rPr>
              <w:t>Director</w:t>
            </w:r>
          </w:p>
        </w:tc>
        <w:tc>
          <w:tcPr>
            <w:tcW w:w="2020" w:type="dxa"/>
            <w:vAlign w:val="bottom"/>
          </w:tcPr>
          <w:p>
            <w:pPr>
              <w:jc w:val="center"/>
              <w:spacing w:after="0"/>
              <w:rPr>
                <w:sz w:val="20"/>
                <w:szCs w:val="20"/>
                <w:color w:val="auto"/>
              </w:rPr>
            </w:pPr>
            <w:r>
              <w:rPr>
                <w:rFonts w:ascii="Arial" w:cs="Arial" w:eastAsia="Arial" w:hAnsi="Arial"/>
                <w:sz w:val="17"/>
                <w:szCs w:val="17"/>
                <w:color w:val="auto"/>
              </w:rPr>
              <w:t>February 28, 2023</w:t>
            </w:r>
          </w:p>
        </w:tc>
      </w:tr>
      <w:tr>
        <w:trPr>
          <w:trHeight w:val="211"/>
        </w:trPr>
        <w:tc>
          <w:tcPr>
            <w:tcW w:w="3220" w:type="dxa"/>
            <w:vAlign w:val="bottom"/>
          </w:tcPr>
          <w:p>
            <w:pPr>
              <w:jc w:val="center"/>
              <w:spacing w:after="0"/>
              <w:rPr>
                <w:sz w:val="20"/>
                <w:szCs w:val="20"/>
                <w:color w:val="auto"/>
              </w:rPr>
            </w:pPr>
            <w:r>
              <w:rPr>
                <w:rFonts w:ascii="Arial" w:cs="Arial" w:eastAsia="Arial" w:hAnsi="Arial"/>
                <w:sz w:val="17"/>
                <w:szCs w:val="17"/>
                <w:color w:val="auto"/>
                <w:w w:val="99"/>
              </w:rPr>
              <w:t>Roger M. Perlmutter, M.D.</w:t>
            </w:r>
          </w:p>
        </w:tc>
        <w:tc>
          <w:tcPr>
            <w:tcW w:w="1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24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1"/>
          <w:szCs w:val="21"/>
          <w:b w:val="1"/>
          <w:bCs w:val="1"/>
          <w:color w:val="auto"/>
        </w:rPr>
        <w:t>Exhibit 10.9</w:t>
      </w:r>
    </w:p>
    <w:p>
      <w:pPr>
        <w:spacing w:after="0" w:line="197"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Amended Non-Employee Director Compensation Policy</w:t>
      </w:r>
    </w:p>
    <w:p>
      <w:pPr>
        <w:spacing w:after="0" w:line="183"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NGM BIOPHARMACEUTICALS, INC.</w:t>
      </w:r>
    </w:p>
    <w:p>
      <w:pPr>
        <w:jc w:val="center"/>
        <w:spacing w:after="0"/>
        <w:rPr>
          <w:sz w:val="20"/>
          <w:szCs w:val="20"/>
          <w:color w:val="auto"/>
        </w:rPr>
      </w:pPr>
      <w:r>
        <w:rPr>
          <w:rFonts w:ascii="Arial" w:cs="Arial" w:eastAsia="Arial" w:hAnsi="Arial"/>
          <w:sz w:val="21"/>
          <w:szCs w:val="21"/>
          <w:b w:val="1"/>
          <w:bCs w:val="1"/>
          <w:color w:val="auto"/>
        </w:rPr>
        <w:t>NON-EMPLOYEE DIRECTOR COMPENSATION POLICY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Approved by the Board of Directors: June 29, 2022</w:t>
      </w:r>
    </w:p>
    <w:p>
      <w:pPr>
        <w:spacing w:after="0" w:line="199" w:lineRule="exact"/>
        <w:rPr>
          <w:sz w:val="20"/>
          <w:szCs w:val="20"/>
          <w:color w:val="auto"/>
        </w:rPr>
      </w:pPr>
    </w:p>
    <w:p>
      <w:pPr>
        <w:jc w:val="both"/>
        <w:ind w:firstLine="543"/>
        <w:spacing w:after="0" w:line="210" w:lineRule="auto"/>
        <w:rPr>
          <w:sz w:val="20"/>
          <w:szCs w:val="20"/>
          <w:color w:val="auto"/>
        </w:rPr>
      </w:pPr>
      <w:r>
        <w:rPr>
          <w:rFonts w:ascii="Arial" w:cs="Arial" w:eastAsia="Arial" w:hAnsi="Arial"/>
          <w:sz w:val="21"/>
          <w:szCs w:val="21"/>
          <w:color w:val="auto"/>
        </w:rPr>
        <w:t>Each member of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who is not also serving as an employee of NGM Biopharmaceuticals, Inc. (“</w:t>
      </w:r>
      <w:r>
        <w:rPr>
          <w:rFonts w:ascii="Arial" w:cs="Arial" w:eastAsia="Arial" w:hAnsi="Arial"/>
          <w:sz w:val="21"/>
          <w:szCs w:val="21"/>
          <w:b w:val="1"/>
          <w:bCs w:val="1"/>
          <w:i w:val="1"/>
          <w:iCs w:val="1"/>
          <w:color w:val="auto"/>
        </w:rPr>
        <w:t>NGM</w:t>
      </w:r>
      <w:r>
        <w:rPr>
          <w:rFonts w:ascii="Arial" w:cs="Arial" w:eastAsia="Arial" w:hAnsi="Arial"/>
          <w:sz w:val="21"/>
          <w:szCs w:val="21"/>
          <w:color w:val="auto"/>
        </w:rPr>
        <w:t>”) or any of its subsidiaries (each such member, an “</w:t>
      </w:r>
      <w:r>
        <w:rPr>
          <w:rFonts w:ascii="Arial" w:cs="Arial" w:eastAsia="Arial" w:hAnsi="Arial"/>
          <w:sz w:val="21"/>
          <w:szCs w:val="21"/>
          <w:b w:val="1"/>
          <w:bCs w:val="1"/>
          <w:i w:val="1"/>
          <w:iCs w:val="1"/>
          <w:color w:val="auto"/>
        </w:rPr>
        <w:t>Eligible Director</w:t>
      </w:r>
      <w:r>
        <w:rPr>
          <w:rFonts w:ascii="Arial" w:cs="Arial" w:eastAsia="Arial" w:hAnsi="Arial"/>
          <w:sz w:val="21"/>
          <w:szCs w:val="21"/>
          <w:color w:val="auto"/>
        </w:rPr>
        <w:t>”) will receive the compensation described in this Non-Employee Director Compensation Policy (the “</w:t>
      </w:r>
      <w:r>
        <w:rPr>
          <w:rFonts w:ascii="Arial" w:cs="Arial" w:eastAsia="Arial" w:hAnsi="Arial"/>
          <w:sz w:val="21"/>
          <w:szCs w:val="21"/>
          <w:b w:val="1"/>
          <w:bCs w:val="1"/>
          <w:i w:val="1"/>
          <w:iCs w:val="1"/>
          <w:color w:val="auto"/>
        </w:rPr>
        <w:t>Director Compensation Policy</w:t>
      </w:r>
      <w:r>
        <w:rPr>
          <w:rFonts w:ascii="Arial" w:cs="Arial" w:eastAsia="Arial" w:hAnsi="Arial"/>
          <w:sz w:val="21"/>
          <w:szCs w:val="21"/>
          <w:color w:val="auto"/>
        </w:rPr>
        <w:t>”) for his or her Board service following the closing of the initial public offering of the common stock of NGM (the “</w:t>
      </w:r>
      <w:r>
        <w:rPr>
          <w:rFonts w:ascii="Arial" w:cs="Arial" w:eastAsia="Arial" w:hAnsi="Arial"/>
          <w:sz w:val="21"/>
          <w:szCs w:val="21"/>
          <w:b w:val="1"/>
          <w:bCs w:val="1"/>
          <w:i w:val="1"/>
          <w:iCs w:val="1"/>
          <w:color w:val="auto"/>
        </w:rPr>
        <w:t>IPO</w:t>
      </w:r>
      <w:r>
        <w:rPr>
          <w:rFonts w:ascii="Arial" w:cs="Arial" w:eastAsia="Arial" w:hAnsi="Arial"/>
          <w:sz w:val="21"/>
          <w:szCs w:val="21"/>
          <w:color w:val="auto"/>
        </w:rPr>
        <w:t>”).</w:t>
      </w:r>
    </w:p>
    <w:p>
      <w:pPr>
        <w:spacing w:after="0" w:line="4" w:lineRule="exact"/>
        <w:rPr>
          <w:sz w:val="20"/>
          <w:szCs w:val="20"/>
          <w:color w:val="auto"/>
        </w:rPr>
      </w:pPr>
    </w:p>
    <w:p>
      <w:pPr>
        <w:jc w:val="both"/>
        <w:ind w:firstLine="262"/>
        <w:spacing w:after="0" w:line="205" w:lineRule="auto"/>
        <w:rPr>
          <w:sz w:val="20"/>
          <w:szCs w:val="20"/>
          <w:color w:val="auto"/>
        </w:rPr>
      </w:pPr>
      <w:r>
        <w:rPr>
          <w:rFonts w:ascii="Arial" w:cs="Arial" w:eastAsia="Arial" w:hAnsi="Arial"/>
          <w:sz w:val="21"/>
          <w:szCs w:val="21"/>
          <w:color w:val="auto"/>
        </w:rPr>
        <w:t>The Director Compensation Policy will be effective upon the date of the underwriting agreement between NGM and the underwriters managing the IPO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The Director Compensation Policy may be amended at any time in the sole discretion of the Board. Capitalized terms not explicitly defined in this Director Compensation Policy but defined in the Plan (as defined below) will have the same definitions as in the Plan.</w:t>
      </w:r>
    </w:p>
    <w:p>
      <w:pPr>
        <w:jc w:val="both"/>
        <w:ind w:firstLine="619"/>
        <w:spacing w:after="0" w:line="226" w:lineRule="auto"/>
        <w:rPr>
          <w:sz w:val="20"/>
          <w:szCs w:val="20"/>
          <w:color w:val="auto"/>
        </w:rPr>
      </w:pPr>
      <w:r>
        <w:rPr>
          <w:rFonts w:ascii="Arial" w:cs="Arial" w:eastAsia="Arial" w:hAnsi="Arial"/>
          <w:sz w:val="21"/>
          <w:szCs w:val="21"/>
          <w:color w:val="auto"/>
        </w:rPr>
        <w:t>An Eligible Director may decline all or any portion of his or her compensation by giving notice to NGM prior to the date cash is to be paid or equity awards are to be granted, as the case may be.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Cash Compensation</w:t>
      </w:r>
    </w:p>
    <w:p>
      <w:pPr>
        <w:spacing w:after="0" w:line="223" w:lineRule="exact"/>
        <w:rPr>
          <w:sz w:val="20"/>
          <w:szCs w:val="20"/>
          <w:color w:val="auto"/>
        </w:rPr>
      </w:pPr>
    </w:p>
    <w:p>
      <w:pPr>
        <w:jc w:val="both"/>
        <w:ind w:firstLine="265"/>
        <w:spacing w:after="0" w:line="210" w:lineRule="auto"/>
        <w:rPr>
          <w:sz w:val="20"/>
          <w:szCs w:val="20"/>
          <w:color w:val="auto"/>
        </w:rPr>
      </w:pPr>
      <w:r>
        <w:rPr>
          <w:rFonts w:ascii="Arial" w:cs="Arial" w:eastAsia="Arial" w:hAnsi="Arial"/>
          <w:sz w:val="21"/>
          <w:szCs w:val="21"/>
          <w:color w:val="auto"/>
        </w:rPr>
        <w:t>Commencing at the IPO, each Eligible Director shall receive the cash compensation described below. The annual cash compensation amount set forth below is payable in equal quarterly installments in arrears within 30 days following each fiscal quarter in which the service occurred. The first installment following the IPO will be pro-rated for the number of days remaining in the calendar quarter. If an Eligible Director joins the Board or a committee of the Board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w:t>
      </w:r>
    </w:p>
    <w:p>
      <w:pPr>
        <w:sectPr>
          <w:pgSz w:w="11900" w:h="16838" w:orient="portrait"/>
          <w:cols w:equalWidth="0" w:num="1">
            <w:col w:w="11240"/>
          </w:cols>
          <w:pgMar w:left="320" w:top="1092" w:right="339" w:bottom="1440" w:gutter="0" w:footer="0" w:header="0"/>
        </w:sectPr>
      </w:pPr>
    </w:p>
    <w:bookmarkStart w:id="137" w:name="page138"/>
    <w:bookmarkEnd w:id="137"/>
    <w:p>
      <w:pPr>
        <w:ind w:left="400" w:hanging="397"/>
        <w:spacing w:after="0"/>
        <w:tabs>
          <w:tab w:leader="none" w:pos="40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Annual Board Service Retainer</w:t>
      </w:r>
      <w:r>
        <w:rPr>
          <w:rFonts w:ascii="Arial" w:cs="Arial" w:eastAsia="Arial" w:hAnsi="Arial"/>
          <w:sz w:val="21"/>
          <w:szCs w:val="21"/>
          <w:color w:val="auto"/>
        </w:rPr>
        <w:t>:</w:t>
      </w:r>
    </w:p>
    <w:p>
      <w:pPr>
        <w:ind w:left="620" w:firstLine="2"/>
        <w:spacing w:after="0" w:line="205" w:lineRule="auto"/>
        <w:tabs>
          <w:tab w:leader="none" w:pos="1182" w:val="left"/>
        </w:tabs>
        <w:numPr>
          <w:ilvl w:val="1"/>
          <w:numId w:val="56"/>
        </w:numPr>
        <w:rPr>
          <w:rFonts w:ascii="Arial" w:cs="Arial" w:eastAsia="Arial" w:hAnsi="Arial"/>
          <w:sz w:val="21"/>
          <w:szCs w:val="21"/>
          <w:color w:val="auto"/>
        </w:rPr>
      </w:pPr>
      <w:r>
        <w:rPr>
          <w:rFonts w:ascii="Arial" w:cs="Arial" w:eastAsia="Arial" w:hAnsi="Arial"/>
          <w:sz w:val="21"/>
          <w:szCs w:val="21"/>
          <w:color w:val="auto"/>
        </w:rPr>
        <w:t>Eligible Directors other than the Lead Independent Director or Non-Executive Chairperson, as applicable: $40,000</w:t>
      </w:r>
    </w:p>
    <w:p>
      <w:pPr>
        <w:ind w:left="1020" w:hanging="398"/>
        <w:spacing w:after="0" w:line="205" w:lineRule="auto"/>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Lead Independent Director: $65,000</w:t>
      </w:r>
    </w:p>
    <w:p>
      <w:pPr>
        <w:ind w:left="1020" w:hanging="398"/>
        <w:spacing w:after="0"/>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Non-Executive Chairperson: $75,000</w:t>
      </w:r>
    </w:p>
    <w:p>
      <w:pPr>
        <w:spacing w:after="0" w:line="161" w:lineRule="exact"/>
        <w:rPr>
          <w:rFonts w:ascii="Arial" w:cs="Arial" w:eastAsia="Arial" w:hAnsi="Arial"/>
          <w:sz w:val="21"/>
          <w:szCs w:val="21"/>
          <w:color w:val="auto"/>
        </w:rPr>
      </w:pPr>
    </w:p>
    <w:p>
      <w:pPr>
        <w:ind w:left="400" w:hanging="397"/>
        <w:spacing w:after="0"/>
        <w:tabs>
          <w:tab w:leader="none" w:pos="40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Annual Committee Chair Service Retainer</w:t>
      </w:r>
      <w:r>
        <w:rPr>
          <w:rFonts w:ascii="Arial" w:cs="Arial" w:eastAsia="Arial" w:hAnsi="Arial"/>
          <w:sz w:val="21"/>
          <w:szCs w:val="21"/>
          <w:color w:val="auto"/>
        </w:rPr>
        <w:t>:</w:t>
      </w:r>
    </w:p>
    <w:p>
      <w:pPr>
        <w:ind w:left="1020" w:hanging="398"/>
        <w:spacing w:after="0" w:line="205" w:lineRule="auto"/>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Chairperson of the Audit Committee: $30,000</w:t>
      </w:r>
    </w:p>
    <w:p>
      <w:pPr>
        <w:ind w:left="1020" w:hanging="398"/>
        <w:spacing w:after="0" w:line="205" w:lineRule="auto"/>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Chairperson of the Compensation Committee: $15,000</w:t>
      </w:r>
    </w:p>
    <w:p>
      <w:pPr>
        <w:ind w:left="1020" w:hanging="398"/>
        <w:spacing w:after="0"/>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Chairperson of the Nominating &amp; Corporate Governance Committee: $10,000</w:t>
      </w:r>
    </w:p>
    <w:p>
      <w:pPr>
        <w:spacing w:after="0" w:line="161" w:lineRule="exact"/>
        <w:rPr>
          <w:rFonts w:ascii="Arial" w:cs="Arial" w:eastAsia="Arial" w:hAnsi="Arial"/>
          <w:sz w:val="21"/>
          <w:szCs w:val="21"/>
          <w:color w:val="auto"/>
        </w:rPr>
      </w:pPr>
    </w:p>
    <w:p>
      <w:pPr>
        <w:ind w:left="400" w:hanging="397"/>
        <w:spacing w:after="0"/>
        <w:tabs>
          <w:tab w:leader="none" w:pos="40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Annual Committee Member Service Retainer (excludes Committee Chairs)</w:t>
      </w:r>
      <w:r>
        <w:rPr>
          <w:rFonts w:ascii="Arial" w:cs="Arial" w:eastAsia="Arial" w:hAnsi="Arial"/>
          <w:sz w:val="21"/>
          <w:szCs w:val="21"/>
          <w:color w:val="auto"/>
        </w:rPr>
        <w:t>:</w:t>
      </w:r>
    </w:p>
    <w:p>
      <w:pPr>
        <w:ind w:left="1020" w:hanging="398"/>
        <w:spacing w:after="0" w:line="205" w:lineRule="auto"/>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Member of the Audit Committee: $10,000</w:t>
      </w:r>
    </w:p>
    <w:p>
      <w:pPr>
        <w:ind w:left="1020" w:hanging="398"/>
        <w:spacing w:after="0" w:line="205" w:lineRule="auto"/>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Member of the Compensation Committee: $6,000</w:t>
      </w:r>
    </w:p>
    <w:p>
      <w:pPr>
        <w:ind w:left="1020" w:hanging="398"/>
        <w:spacing w:after="0"/>
        <w:tabs>
          <w:tab w:leader="none" w:pos="1020" w:val="left"/>
        </w:tabs>
        <w:numPr>
          <w:ilvl w:val="1"/>
          <w:numId w:val="56"/>
        </w:numPr>
        <w:rPr>
          <w:rFonts w:ascii="Arial" w:cs="Arial" w:eastAsia="Arial" w:hAnsi="Arial"/>
          <w:sz w:val="21"/>
          <w:szCs w:val="21"/>
          <w:color w:val="auto"/>
        </w:rPr>
      </w:pPr>
      <w:r>
        <w:rPr>
          <w:rFonts w:ascii="Arial" w:cs="Arial" w:eastAsia="Arial" w:hAnsi="Arial"/>
          <w:sz w:val="21"/>
          <w:szCs w:val="21"/>
          <w:color w:val="auto"/>
        </w:rPr>
        <w:t>Member of the Nominating &amp; Corporate Governance Committee: $5,000</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Compensation</w:t>
      </w:r>
    </w:p>
    <w:p>
      <w:pPr>
        <w:spacing w:after="0" w:line="223" w:lineRule="exact"/>
        <w:rPr>
          <w:sz w:val="20"/>
          <w:szCs w:val="20"/>
          <w:color w:val="auto"/>
        </w:rPr>
      </w:pPr>
    </w:p>
    <w:p>
      <w:pPr>
        <w:jc w:val="both"/>
        <w:ind w:firstLine="299"/>
        <w:spacing w:after="0" w:line="209" w:lineRule="auto"/>
        <w:rPr>
          <w:sz w:val="20"/>
          <w:szCs w:val="20"/>
          <w:color w:val="auto"/>
        </w:rPr>
      </w:pPr>
      <w:r>
        <w:rPr>
          <w:rFonts w:ascii="Arial" w:cs="Arial" w:eastAsia="Arial" w:hAnsi="Arial"/>
          <w:sz w:val="21"/>
          <w:szCs w:val="21"/>
          <w:color w:val="auto"/>
        </w:rPr>
        <w:t>The equity compensation set forth below (including pursuant to an Annual Election, as defined below) will be granted under the Company’s 2018 Equity Incentive Plan, as amended and restated from time to time, or any successor equity incentive plan adopted by NGM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and will be documented on the applicable form of equity award agreement most recently approved for use by the Board (or a duly authorized committee thereof) for Eligible Directors. All stock options granted under the Director Compensation Policy will be nonstatutory stock options, with an exercise price per share equal to 100% of the Fair Market Value of the underlying Common Stock on the date of grant, and a term of ten years from the date of grant (subject to earlier termination in connection with a termination of Continuous Service or a Corporate Transaction as provided in the Plan). Upon a termination of Continuous Service other than for death, Disability or Cause, the post-termination exercise period of a stock option will be 12 months from the date of termination.</w:t>
      </w:r>
    </w:p>
    <w:p>
      <w:pPr>
        <w:spacing w:after="0" w:line="196" w:lineRule="exact"/>
        <w:rPr>
          <w:sz w:val="20"/>
          <w:szCs w:val="20"/>
          <w:color w:val="auto"/>
        </w:rPr>
      </w:pPr>
    </w:p>
    <w:p>
      <w:pPr>
        <w:jc w:val="both"/>
        <w:ind w:firstLine="3"/>
        <w:spacing w:after="0" w:line="211" w:lineRule="auto"/>
        <w:tabs>
          <w:tab w:leader="none" w:pos="453"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Initial Option Grant</w:t>
      </w:r>
      <w:r>
        <w:rPr>
          <w:rFonts w:ascii="Arial" w:cs="Arial" w:eastAsia="Arial" w:hAnsi="Arial"/>
          <w:sz w:val="21"/>
          <w:szCs w:val="21"/>
          <w:color w:val="auto"/>
        </w:rPr>
        <w:t>. On the date of the Eligible Director’s initial election to the Board (or, if such date is not a market trading day, the first market trading day thereafter), the Eligible Director automatically, and without further action by the Board or Compensation Committee of the Board, will be granted a stock option to purchase shares of Common Stock having a Grant Date Value (defined below) of $500,000 (the “</w:t>
      </w:r>
      <w:r>
        <w:rPr>
          <w:rFonts w:ascii="Arial" w:cs="Arial" w:eastAsia="Arial" w:hAnsi="Arial"/>
          <w:sz w:val="21"/>
          <w:szCs w:val="21"/>
          <w:b w:val="1"/>
          <w:bCs w:val="1"/>
          <w:i w:val="1"/>
          <w:iCs w:val="1"/>
          <w:color w:val="auto"/>
        </w:rPr>
        <w:t>Initial Option Grant</w:t>
      </w:r>
      <w:r>
        <w:rPr>
          <w:rFonts w:ascii="Arial" w:cs="Arial" w:eastAsia="Arial" w:hAnsi="Arial"/>
          <w:sz w:val="21"/>
          <w:szCs w:val="21"/>
          <w:color w:val="auto"/>
        </w:rPr>
        <w:t>”). The Initial Option Grant will vest one-third after the first year, with the remaining shares vesting quarterly in years two and three following the grant date, such that the Initial Option Grant will be fully vested on the third anniversary of the date of grant, subject to the Eligible Director’s Continuous Service on each applicable vesting date.</w:t>
      </w:r>
    </w:p>
    <w:p>
      <w:pPr>
        <w:spacing w:after="0" w:line="189" w:lineRule="exact"/>
        <w:rPr>
          <w:rFonts w:ascii="Arial" w:cs="Arial" w:eastAsia="Arial" w:hAnsi="Arial"/>
          <w:sz w:val="21"/>
          <w:szCs w:val="21"/>
          <w:color w:val="auto"/>
        </w:rPr>
      </w:pPr>
    </w:p>
    <w:p>
      <w:pPr>
        <w:jc w:val="both"/>
        <w:ind w:firstLine="3"/>
        <w:spacing w:after="0" w:line="212" w:lineRule="auto"/>
        <w:tabs>
          <w:tab w:leader="none" w:pos="401"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Annual Option Grant</w:t>
      </w:r>
      <w:r>
        <w:rPr>
          <w:rFonts w:ascii="Arial" w:cs="Arial" w:eastAsia="Arial" w:hAnsi="Arial"/>
          <w:sz w:val="21"/>
          <w:szCs w:val="21"/>
          <w:color w:val="auto"/>
        </w:rPr>
        <w:t>. On the date of each NGM annual stockholder meeting held after the effective date of the IPO (an “</w:t>
      </w:r>
      <w:r>
        <w:rPr>
          <w:rFonts w:ascii="Arial" w:cs="Arial" w:eastAsia="Arial" w:hAnsi="Arial"/>
          <w:sz w:val="21"/>
          <w:szCs w:val="21"/>
          <w:b w:val="1"/>
          <w:bCs w:val="1"/>
          <w:i w:val="1"/>
          <w:iCs w:val="1"/>
          <w:color w:val="auto"/>
        </w:rPr>
        <w:t>Annual Meeting</w:t>
      </w:r>
      <w:r>
        <w:rPr>
          <w:rFonts w:ascii="Arial" w:cs="Arial" w:eastAsia="Arial" w:hAnsi="Arial"/>
          <w:sz w:val="21"/>
          <w:szCs w:val="21"/>
          <w:color w:val="auto"/>
        </w:rPr>
        <w:t>”), each Eligible Director automatically, and without further action by the Board or Compensation Committee of the Board, will be granted a stock option to purchase Common Stock having an Grant Date Value of $200,000 (the “</w:t>
      </w:r>
      <w:r>
        <w:rPr>
          <w:rFonts w:ascii="Arial" w:cs="Arial" w:eastAsia="Arial" w:hAnsi="Arial"/>
          <w:sz w:val="21"/>
          <w:szCs w:val="21"/>
          <w:b w:val="1"/>
          <w:bCs w:val="1"/>
          <w:i w:val="1"/>
          <w:iCs w:val="1"/>
          <w:color w:val="auto"/>
        </w:rPr>
        <w:t>Annual Option Grant</w:t>
      </w:r>
      <w:r>
        <w:rPr>
          <w:rFonts w:ascii="Arial" w:cs="Arial" w:eastAsia="Arial" w:hAnsi="Arial"/>
          <w:sz w:val="21"/>
          <w:szCs w:val="21"/>
          <w:color w:val="auto"/>
        </w:rPr>
        <w:t>”). The Annual Option Grant will vest in four approximately equal quarterly tranches, with the final tranche vesting on the earlier of (x) first anniversary of the date of grant, and (y) the day prior to the next Annual Meeting,</w:t>
      </w:r>
    </w:p>
    <w:p>
      <w:pPr>
        <w:sectPr>
          <w:pgSz w:w="11900" w:h="16838" w:orient="portrait"/>
          <w:cols w:equalWidth="0" w:num="1">
            <w:col w:w="11240"/>
          </w:cols>
          <w:pgMar w:left="320" w:top="1078" w:right="339"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color w:val="auto"/>
        </w:rPr>
        <w:t>subject to the Eligible Director’s Continuous Service on each applicable vesting date.</w:t>
      </w:r>
    </w:p>
    <w:p>
      <w:pPr>
        <w:jc w:val="both"/>
        <w:ind w:firstLine="3"/>
        <w:spacing w:after="0" w:line="215" w:lineRule="auto"/>
        <w:tabs>
          <w:tab w:leader="none" w:pos="40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Calculation of Grant Date Value</w:t>
      </w:r>
      <w:r>
        <w:rPr>
          <w:rFonts w:ascii="Arial" w:cs="Arial" w:eastAsia="Arial" w:hAnsi="Arial"/>
          <w:sz w:val="20"/>
          <w:szCs w:val="20"/>
          <w:color w:val="auto"/>
        </w:rPr>
        <w:t>. The “</w:t>
      </w:r>
      <w:r>
        <w:rPr>
          <w:rFonts w:ascii="Arial" w:cs="Arial" w:eastAsia="Arial" w:hAnsi="Arial"/>
          <w:sz w:val="20"/>
          <w:szCs w:val="20"/>
          <w:b w:val="1"/>
          <w:bCs w:val="1"/>
          <w:i w:val="1"/>
          <w:iCs w:val="1"/>
          <w:color w:val="auto"/>
        </w:rPr>
        <w:t>Grant Date Value</w:t>
      </w:r>
      <w:r>
        <w:rPr>
          <w:rFonts w:ascii="Arial" w:cs="Arial" w:eastAsia="Arial" w:hAnsi="Arial"/>
          <w:sz w:val="20"/>
          <w:szCs w:val="20"/>
          <w:color w:val="auto"/>
        </w:rPr>
        <w:t>” of an equity award granted under this Director Compensation Policy will be determined using the same method the Company uses to calculate the grant date fair value of stock-based compensation for its financial statements (e.g., applying a Black-Scholes option pricing model in the case of stock options).</w:t>
      </w:r>
    </w:p>
    <w:p>
      <w:pPr>
        <w:jc w:val="both"/>
        <w:ind w:firstLine="3"/>
        <w:spacing w:after="0" w:line="213" w:lineRule="auto"/>
        <w:tabs>
          <w:tab w:leader="none" w:pos="427"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Treatment on a Change in Control</w:t>
      </w:r>
      <w:r>
        <w:rPr>
          <w:rFonts w:ascii="Arial" w:cs="Arial" w:eastAsia="Arial" w:hAnsi="Arial"/>
          <w:sz w:val="21"/>
          <w:szCs w:val="21"/>
          <w:color w:val="auto"/>
        </w:rPr>
        <w:t>. In the event of a Change in Control, any then-unvested equity award will fully vest (and become exercisable, in the case of an option) as of immediately prior to the effective time of such transaction, subject to the Eligible Director’s Continuous Service on the effective date of such transaction. For clarity, such accelerated vesting will not accelerate the settlement of any equity award subject to a deferral election in accordance with Section 409A of the Internal Revenue Code.</w:t>
      </w:r>
    </w:p>
    <w:p>
      <w:pPr>
        <w:spacing w:after="0" w:line="191" w:lineRule="exact"/>
        <w:rPr>
          <w:rFonts w:ascii="Arial" w:cs="Arial" w:eastAsia="Arial" w:hAnsi="Arial"/>
          <w:sz w:val="21"/>
          <w:szCs w:val="21"/>
          <w:color w:val="auto"/>
        </w:rPr>
      </w:pPr>
    </w:p>
    <w:p>
      <w:pPr>
        <w:jc w:val="both"/>
        <w:ind w:firstLine="3"/>
        <w:spacing w:after="0" w:line="219" w:lineRule="auto"/>
        <w:tabs>
          <w:tab w:leader="none" w:pos="69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Capitalization Adjustments</w:t>
      </w:r>
      <w:r>
        <w:rPr>
          <w:rFonts w:ascii="Arial" w:cs="Arial" w:eastAsia="Arial" w:hAnsi="Arial"/>
          <w:sz w:val="21"/>
          <w:szCs w:val="21"/>
          <w:color w:val="auto"/>
        </w:rPr>
        <w:t>. In the event of a Capitalization Adjustment, the Board shall appropriately and proportionately adjust the number of shares provided above to be subject to any Initial Option Grant and Annual Option Grant made after the date of such Capitalization Adjustment.</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Election to Receive Annual Cash Compensation in the Form of Stock Options</w:t>
      </w:r>
    </w:p>
    <w:p>
      <w:pPr>
        <w:spacing w:after="0" w:line="173"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Following the IPO, each Eligible Director may elect in writing (an “</w:t>
      </w:r>
      <w:r>
        <w:rPr>
          <w:rFonts w:ascii="Arial" w:cs="Arial" w:eastAsia="Arial" w:hAnsi="Arial"/>
          <w:sz w:val="20"/>
          <w:szCs w:val="20"/>
          <w:b w:val="1"/>
          <w:bCs w:val="1"/>
          <w:i w:val="1"/>
          <w:iCs w:val="1"/>
          <w:color w:val="auto"/>
        </w:rPr>
        <w:t>Annual Election</w:t>
      </w:r>
      <w:r>
        <w:rPr>
          <w:rFonts w:ascii="Arial" w:cs="Arial" w:eastAsia="Arial" w:hAnsi="Arial"/>
          <w:sz w:val="20"/>
          <w:szCs w:val="20"/>
          <w:color w:val="auto"/>
        </w:rPr>
        <w:t>”) to receive his or her annual cash compensation in the form of a stock option (an “</w:t>
      </w:r>
      <w:r>
        <w:rPr>
          <w:rFonts w:ascii="Arial" w:cs="Arial" w:eastAsia="Arial" w:hAnsi="Arial"/>
          <w:sz w:val="20"/>
          <w:szCs w:val="20"/>
          <w:b w:val="1"/>
          <w:bCs w:val="1"/>
          <w:i w:val="1"/>
          <w:iCs w:val="1"/>
          <w:color w:val="auto"/>
        </w:rPr>
        <w:t>Annual Election Option</w:t>
      </w:r>
      <w:r>
        <w:rPr>
          <w:rFonts w:ascii="Arial" w:cs="Arial" w:eastAsia="Arial" w:hAnsi="Arial"/>
          <w:sz w:val="20"/>
          <w:szCs w:val="20"/>
          <w:color w:val="auto"/>
        </w:rPr>
        <w:t>”). Such Annual Election would apply to all annual cash compensation payable during the subsequent year of service, measured from the date of the Annual Meeting.</w:t>
      </w:r>
    </w:p>
    <w:p>
      <w:pPr>
        <w:spacing w:after="0" w:line="2"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21"/>
          <w:szCs w:val="21"/>
          <w:color w:val="auto"/>
        </w:rPr>
        <w:t>Except as provided below, any Annual Election must be submitted in January of each calendar year, or in the case of an individual who first becomes an Eligible Director in any calendar year, within 30 days following the date on which he or she first becomes an Eligible Director (and no later than 30 days prior to the date of the Annual Meeting). An Annual Election will be irrevocable once submitted. All Annual Elections must also be submitted during an “open window period” in accordance with the Company’s then-effective Insider Trading and Trading Window Policy (or any other policy on trading in Company securities), and when the Eligible Director submitting the Annual Election is not otherwise aware of any material, nonpublic information with respect to the Company or any of its securities (collectively, an “</w:t>
      </w:r>
      <w:r>
        <w:rPr>
          <w:rFonts w:ascii="Arial" w:cs="Arial" w:eastAsia="Arial" w:hAnsi="Arial"/>
          <w:sz w:val="21"/>
          <w:szCs w:val="21"/>
          <w:b w:val="1"/>
          <w:bCs w:val="1"/>
          <w:i w:val="1"/>
          <w:iCs w:val="1"/>
          <w:color w:val="auto"/>
        </w:rPr>
        <w:t>Open Window</w:t>
      </w:r>
      <w:r>
        <w:rPr>
          <w:rFonts w:ascii="Arial" w:cs="Arial" w:eastAsia="Arial" w:hAnsi="Arial"/>
          <w:sz w:val="21"/>
          <w:szCs w:val="21"/>
          <w:color w:val="auto"/>
        </w:rPr>
        <w:t>”). If there were no Open Windows within the applicable timeframe above during which an Annual Election could be submitted, then the Annual Election for that calendar year will be due no later than the tenth business day following the commencement of the next Open Window.</w:t>
      </w:r>
    </w:p>
    <w:p>
      <w:pPr>
        <w:spacing w:after="0" w:line="192"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color w:val="auto"/>
        </w:rPr>
        <w:t>An Annual Election Grant will be granted on the date of the next Annual Meeting, with a Grant Date Value equal to the aggregate amount of cash retainers that such Eligible Director would otherwise have been eligible to receive over the four fiscal quarters following such Annual Meeting, and will vest in quarterly tranches, with the final tranche vesting on the earlier of (x) the first anniversary of the date of grant, and (y) the day prior to the next Annual Meeting.</w:t>
      </w:r>
    </w:p>
    <w:p>
      <w:pPr>
        <w:sectPr>
          <w:pgSz w:w="11900" w:h="16838" w:orient="portrait"/>
          <w:cols w:equalWidth="0" w:num="1">
            <w:col w:w="11240"/>
          </w:cols>
          <w:pgMar w:left="320" w:top="1078" w:right="339" w:bottom="1440" w:gutter="0" w:footer="0" w:header="0"/>
        </w:sectPr>
      </w:pPr>
    </w:p>
    <w:bookmarkStart w:id="139" w:name="page140"/>
    <w:bookmarkEnd w:id="139"/>
    <w:p>
      <w:pPr>
        <w:spacing w:after="0"/>
        <w:rPr>
          <w:sz w:val="20"/>
          <w:szCs w:val="20"/>
          <w:color w:val="auto"/>
        </w:rPr>
      </w:pPr>
      <w:r>
        <w:rPr>
          <w:rFonts w:ascii="Arial" w:cs="Arial" w:eastAsia="Arial" w:hAnsi="Arial"/>
          <w:sz w:val="21"/>
          <w:szCs w:val="21"/>
          <w:b w:val="1"/>
          <w:bCs w:val="1"/>
          <w:color w:val="auto"/>
        </w:rPr>
        <w:t>Expenses</w:t>
      </w:r>
    </w:p>
    <w:p>
      <w:pPr>
        <w:spacing w:after="0" w:line="223" w:lineRule="exact"/>
        <w:rPr>
          <w:sz w:val="20"/>
          <w:szCs w:val="20"/>
          <w:color w:val="auto"/>
        </w:rPr>
      </w:pPr>
    </w:p>
    <w:p>
      <w:pPr>
        <w:jc w:val="both"/>
        <w:ind w:firstLine="266"/>
        <w:spacing w:after="0" w:line="215" w:lineRule="auto"/>
        <w:rPr>
          <w:sz w:val="20"/>
          <w:szCs w:val="20"/>
          <w:color w:val="auto"/>
        </w:rPr>
      </w:pPr>
      <w:r>
        <w:rPr>
          <w:rFonts w:ascii="Arial" w:cs="Arial" w:eastAsia="Arial" w:hAnsi="Arial"/>
          <w:sz w:val="21"/>
          <w:szCs w:val="21"/>
          <w:color w:val="auto"/>
        </w:rPr>
        <w:t xml:space="preserve">The Company will reimburse Eligible Directors for ordinary, necessary and reasonable out-of-pocket travel expenses to cover in-person attendance at and participation in Board and/or Committee meetings; </w:t>
      </w:r>
      <w:r>
        <w:rPr>
          <w:rFonts w:ascii="Arial" w:cs="Arial" w:eastAsia="Arial" w:hAnsi="Arial"/>
          <w:sz w:val="21"/>
          <w:szCs w:val="21"/>
          <w:i w:val="1"/>
          <w:iCs w:val="1"/>
          <w:color w:val="auto"/>
        </w:rPr>
        <w:t>provided</w:t>
      </w:r>
      <w:r>
        <w:rPr>
          <w:rFonts w:ascii="Arial" w:cs="Arial" w:eastAsia="Arial" w:hAnsi="Arial"/>
          <w:sz w:val="21"/>
          <w:szCs w:val="21"/>
          <w:color w:val="auto"/>
        </w:rPr>
        <w:t>, that Eligible Directors timely submit to the Company appropriate documentation substantiating such expenses in accordance with the Company’s travel and expense policy, as in effect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Philosophy</w:t>
      </w:r>
    </w:p>
    <w:p>
      <w:pPr>
        <w:spacing w:after="0" w:line="223" w:lineRule="exact"/>
        <w:rPr>
          <w:sz w:val="20"/>
          <w:szCs w:val="20"/>
          <w:color w:val="auto"/>
        </w:rPr>
      </w:pPr>
    </w:p>
    <w:p>
      <w:pPr>
        <w:jc w:val="both"/>
        <w:ind w:firstLine="321"/>
        <w:spacing w:after="0" w:line="211" w:lineRule="auto"/>
        <w:rPr>
          <w:sz w:val="20"/>
          <w:szCs w:val="20"/>
          <w:color w:val="auto"/>
        </w:rPr>
      </w:pPr>
      <w:r>
        <w:rPr>
          <w:rFonts w:ascii="Arial" w:cs="Arial" w:eastAsia="Arial" w:hAnsi="Arial"/>
          <w:sz w:val="21"/>
          <w:szCs w:val="21"/>
          <w:color w:val="auto"/>
        </w:rPr>
        <w:t>The Director Compensation Policy is designed to attract and retain experienced, talented individuals to serve on the Board. The Board anticipates that the Board, or a duly authorized committee thereof, will generally review Eligible Director compensation on an annual basis following the IPO. The Director Compensation Policy, as amended from time to time, may take into account the time commitment expected of Eligible Directors, best practices and market rates in director compensation, the economic position of NGM,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90" w:lineRule="exact"/>
        <w:rPr>
          <w:sz w:val="20"/>
          <w:szCs w:val="20"/>
          <w:color w:val="auto"/>
        </w:rPr>
      </w:pPr>
    </w:p>
    <w:p>
      <w:pPr>
        <w:jc w:val="both"/>
        <w:ind w:firstLine="392"/>
        <w:spacing w:after="0" w:line="205" w:lineRule="auto"/>
        <w:rPr>
          <w:sz w:val="20"/>
          <w:szCs w:val="20"/>
          <w:color w:val="auto"/>
        </w:rPr>
      </w:pPr>
      <w:r>
        <w:rPr>
          <w:rFonts w:ascii="Arial" w:cs="Arial" w:eastAsia="Arial" w:hAnsi="Arial"/>
          <w:sz w:val="21"/>
          <w:szCs w:val="21"/>
          <w:color w:val="auto"/>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 Change in Control is consistent with market practices and is critical to attracting and retaining high quality directors.</w:t>
      </w:r>
    </w:p>
    <w:p>
      <w:pPr>
        <w:jc w:val="both"/>
        <w:ind w:firstLine="619"/>
        <w:spacing w:after="0" w:line="215" w:lineRule="auto"/>
        <w:rPr>
          <w:sz w:val="20"/>
          <w:szCs w:val="20"/>
          <w:color w:val="auto"/>
        </w:rPr>
      </w:pPr>
      <w:r>
        <w:rPr>
          <w:rFonts w:ascii="Arial" w:cs="Arial" w:eastAsia="Arial" w:hAnsi="Arial"/>
          <w:sz w:val="21"/>
          <w:szCs w:val="21"/>
          <w:color w:val="auto"/>
        </w:rPr>
        <w:t>To the extent this Director Compensation Policy would otherwise provide for compensation to any Eligible Director that would exceed any separate stockholder approved limit set forth in the Plan, the benefits provided under this Director Compensation Policy will automatically be reduced to fall within such limits (or if previously paid, are subject to recoupment).</w:t>
      </w:r>
    </w:p>
    <w:p>
      <w:pPr>
        <w:sectPr>
          <w:pgSz w:w="11900" w:h="16838" w:orient="portrait"/>
          <w:cols w:equalWidth="0" w:num="1">
            <w:col w:w="11240"/>
          </w:cols>
          <w:pgMar w:left="320" w:top="1087" w:right="339" w:bottom="1440" w:gutter="0" w:footer="0" w:header="0"/>
        </w:sectPr>
      </w:pPr>
    </w:p>
    <w:bookmarkStart w:id="140" w:name="page141"/>
    <w:bookmarkEnd w:id="140"/>
    <w:p>
      <w:pPr>
        <w:spacing w:after="0" w:line="1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146175" cy="6223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1146175" cy="62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January 16, 2019</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Hsiao D. Lieu, M.D.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Dear Hsiao,</w:t>
      </w:r>
    </w:p>
    <w:p>
      <w:pPr>
        <w:spacing w:after="0" w:line="243" w:lineRule="exact"/>
        <w:rPr>
          <w:sz w:val="20"/>
          <w:szCs w:val="20"/>
          <w:color w:val="auto"/>
        </w:rPr>
      </w:pPr>
    </w:p>
    <w:p>
      <w:pPr>
        <w:ind w:right="480"/>
        <w:spacing w:after="0" w:line="259" w:lineRule="auto"/>
        <w:rPr>
          <w:sz w:val="20"/>
          <w:szCs w:val="20"/>
          <w:color w:val="auto"/>
        </w:rPr>
      </w:pPr>
      <w:r>
        <w:rPr>
          <w:rFonts w:ascii="Arial" w:cs="Arial" w:eastAsia="Arial" w:hAnsi="Arial"/>
          <w:sz w:val="17"/>
          <w:szCs w:val="17"/>
          <w:color w:val="auto"/>
        </w:rPr>
        <w:t>On behalf of NGM Biopharmaceuticals, Inc. (“NGM” or the “Company”), we are pleased that you will be joining the Company as Senior Vice President, Chief Medical Officer reporting to me. We believe this position represents an extraordinary opportunity, and we look forward to your joining our exceptional team.</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Below are details of the compensation and benefits program we are offering as part of your employment with NGM, as well as other terms of your employment. Should you have questions regarding any part of this offer, or wish to receive additional details, please let us know. Your annual base salary will be $420,000.00, less payroll deductions and all required withholdings, paid semi-monthly over 24 pay periods per year. In addition, you will be eligible to participate in the NGM Incentive Bonus Plan. You will also be eligible to receive a one-time sign-on bonus of $225,000.00, payable within the first two pay periods of your employment with NGM. Should you voluntarily resign from NGM within two (2) years from your start date, you will be required to repay the pro-rated portion of the sign-on bonus payment based on the number of months you were employed by the Company following receipt of the sign-on bonus payment.</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NGM provides all eligible employees with a comprehensive benefits program. You will have the opportunity to participate in these benefits, which include medical, dental and vision coverage for you and your eligible dependents, if you choose to enroll in them. In addition, we provide life insurance, LTD and AD&amp;D coverage, along with a comprehensive 401(k) program. NGM also provides benefits including Company holidays, vacation, sick leave and Health Care and Dependent Flexible Spending Accounts. The Company may change compensation and benefits from time to time in its discretion. There is a formal performance review period once a year.</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An important component of your compensation includes the opportunity for ownership in the Company. After you commence employment, and subject to the approval of our Board of Directors (the “Board”), NGM will grant you an option to purchase 400,000 shares of the Company’s common stock (subject to adjustment for stock splits, stock dividends, reclassification and the like) at the fair market value determined by the Board as of the date of grant (the “Option”). The Option will be subject to the terms and conditions of the Company’s Equity Incentive Plan (the “Plan”) and your grant agreement. Your grant agreement will reflect a four year vesting schedule, under which 25% of your Option will vest after 12 months and 1/48th of the total will vest at the end of each month thereafter, until either the Option is fully vested or your employment ends, whichever occurs first.</w:t>
      </w:r>
    </w:p>
    <w:p>
      <w:pPr>
        <w:spacing w:after="0" w:line="200" w:lineRule="exact"/>
        <w:rPr>
          <w:sz w:val="20"/>
          <w:szCs w:val="20"/>
          <w:color w:val="auto"/>
        </w:rPr>
      </w:pPr>
    </w:p>
    <w:p>
      <w:pPr>
        <w:spacing w:after="0" w:line="230"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As a condition of your employment, you will be required to abide by the Company’s policies and procedures, including those outlined in our employee handbook. You also agree to read, sign and comply with the Company’s Employee Proprietary Information and Inventions Agreement (“Proprietary Information Agreement”).</w:t>
      </w:r>
    </w:p>
    <w:p>
      <w:pPr>
        <w:sectPr>
          <w:pgSz w:w="11900" w:h="16838" w:orient="portrait"/>
          <w:cols w:equalWidth="0" w:num="1">
            <w:col w:w="11240"/>
          </w:cols>
          <w:pgMar w:left="320" w:top="1440" w:right="339" w:bottom="1440" w:gutter="0" w:footer="0" w:header="0"/>
        </w:sectPr>
      </w:pPr>
    </w:p>
    <w:bookmarkStart w:id="141" w:name="page142"/>
    <w:bookmarkEnd w:id="141"/>
    <w:p>
      <w:pPr>
        <w:ind w:right="60"/>
        <w:spacing w:after="0" w:line="255" w:lineRule="auto"/>
        <w:rPr>
          <w:sz w:val="20"/>
          <w:szCs w:val="20"/>
          <w:color w:val="auto"/>
        </w:rPr>
      </w:pPr>
      <w:r>
        <w:rPr>
          <w:rFonts w:ascii="Arial" w:cs="Arial" w:eastAsia="Arial" w:hAnsi="Arial"/>
          <w:sz w:val="17"/>
          <w:szCs w:val="17"/>
          <w:color w:val="auto"/>
        </w:rPr>
        <w:t>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pacing w:after="0" w:line="22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offer is contingent upon our verification of your employment history. Any intentional misrepresentation concerning your employment history may result in actions up to and including revocation of this offer or termination of your employment at NGM.</w:t>
      </w:r>
    </w:p>
    <w:p>
      <w:pPr>
        <w:spacing w:after="0" w:line="213" w:lineRule="exact"/>
        <w:rPr>
          <w:sz w:val="20"/>
          <w:szCs w:val="20"/>
          <w:color w:val="auto"/>
        </w:rPr>
      </w:pPr>
    </w:p>
    <w:p>
      <w:pPr>
        <w:ind w:right="500"/>
        <w:spacing w:after="0" w:line="259" w:lineRule="auto"/>
        <w:rPr>
          <w:sz w:val="20"/>
          <w:szCs w:val="20"/>
          <w:color w:val="auto"/>
        </w:rPr>
      </w:pPr>
      <w:r>
        <w:rPr>
          <w:rFonts w:ascii="Arial" w:cs="Arial" w:eastAsia="Arial" w:hAnsi="Arial"/>
          <w:sz w:val="17"/>
          <w:szCs w:val="17"/>
          <w:color w:val="auto"/>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w:t>
      </w:r>
    </w:p>
    <w:p>
      <w:pPr>
        <w:spacing w:after="0" w:line="21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and signatures transmitted electronically will be deemed equivalent to originals. As required by law, this offer is subject to satisfactory proof of your identity and right to work in the United States.</w:t>
      </w:r>
    </w:p>
    <w:p>
      <w:pPr>
        <w:spacing w:after="0" w:line="226"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Hsiao, we are thrilled that you have decided to accept our employment offer. Under the terms described above, please sign and date this letter and the Proprietary Information Agreement, and return them by January 23, 2019. It is our expectation that you will join NGM in March 2019.</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NGM is an ambitious undertaking, and we fully expect our company to become a force in the development and commercialization of pharmaceutical therapies. To this end, we are assembling a team of uniquely qualified individuals with extraordinary knowledge, skills and drive. Your leadership of the development area will be a critical part of our success and we look forward to you joining our team.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Sincerely,</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6358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J. Woodhouse, Ph.D.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376"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6"/>
        </w:trPr>
        <w:tc>
          <w:tcPr>
            <w:tcW w:w="9380" w:type="dxa"/>
            <w:vAlign w:val="bottom"/>
            <w:gridSpan w:val="2"/>
          </w:tcPr>
          <w:p>
            <w:pPr>
              <w:ind w:left="20"/>
              <w:spacing w:after="0"/>
              <w:rPr>
                <w:sz w:val="20"/>
                <w:szCs w:val="20"/>
                <w:color w:val="auto"/>
              </w:rPr>
            </w:pPr>
            <w:r>
              <w:rPr>
                <w:rFonts w:ascii="Arial" w:cs="Arial" w:eastAsia="Arial" w:hAnsi="Arial"/>
                <w:sz w:val="17"/>
                <w:szCs w:val="17"/>
                <w:color w:val="auto"/>
              </w:rPr>
              <w:t>Exhibit A — Employee Proprietary Information and Inventions Agreement</w:t>
            </w:r>
          </w:p>
        </w:tc>
        <w:tc>
          <w:tcPr>
            <w:tcW w:w="1860" w:type="dxa"/>
            <w:vAlign w:val="bottom"/>
          </w:tcPr>
          <w:p>
            <w:pPr>
              <w:spacing w:after="0"/>
              <w:rPr>
                <w:sz w:val="17"/>
                <w:szCs w:val="17"/>
                <w:color w:val="auto"/>
              </w:rPr>
            </w:pPr>
          </w:p>
        </w:tc>
      </w:tr>
      <w:tr>
        <w:trPr>
          <w:trHeight w:val="477"/>
        </w:trPr>
        <w:tc>
          <w:tcPr>
            <w:tcW w:w="9380" w:type="dxa"/>
            <w:vAlign w:val="bottom"/>
            <w:gridSpan w:val="2"/>
          </w:tcPr>
          <w:p>
            <w:pPr>
              <w:ind w:left="20"/>
              <w:spacing w:after="0"/>
              <w:rPr>
                <w:sz w:val="20"/>
                <w:szCs w:val="20"/>
                <w:color w:val="auto"/>
              </w:rPr>
            </w:pPr>
            <w:r>
              <w:rPr>
                <w:rFonts w:ascii="Arial" w:cs="Arial" w:eastAsia="Arial" w:hAnsi="Arial"/>
                <w:sz w:val="17"/>
                <w:szCs w:val="17"/>
                <w:color w:val="auto"/>
              </w:rPr>
              <w:t>Understood and Accepted</w:t>
            </w:r>
          </w:p>
        </w:tc>
        <w:tc>
          <w:tcPr>
            <w:tcW w:w="1860" w:type="dxa"/>
            <w:vAlign w:val="bottom"/>
          </w:tcPr>
          <w:p>
            <w:pPr>
              <w:spacing w:after="0"/>
              <w:rPr>
                <w:sz w:val="24"/>
                <w:szCs w:val="24"/>
                <w:color w:val="auto"/>
              </w:rPr>
            </w:pPr>
          </w:p>
        </w:tc>
      </w:tr>
      <w:tr>
        <w:trPr>
          <w:trHeight w:val="47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Hsiao D. Lieu</w:t>
            </w:r>
          </w:p>
        </w:tc>
        <w:tc>
          <w:tcPr>
            <w:tcW w:w="522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1/22/2019</w:t>
            </w:r>
          </w:p>
        </w:tc>
      </w:tr>
      <w:tr>
        <w:trPr>
          <w:trHeight w:val="211"/>
        </w:trPr>
        <w:tc>
          <w:tcPr>
            <w:tcW w:w="9380" w:type="dxa"/>
            <w:vAlign w:val="bottom"/>
            <w:gridSpan w:val="2"/>
          </w:tcPr>
          <w:p>
            <w:pPr>
              <w:ind w:left="20"/>
              <w:spacing w:after="0"/>
              <w:rPr>
                <w:sz w:val="20"/>
                <w:szCs w:val="20"/>
                <w:color w:val="auto"/>
              </w:rPr>
            </w:pPr>
            <w:r>
              <w:rPr>
                <w:rFonts w:ascii="Arial" w:cs="Arial" w:eastAsia="Arial" w:hAnsi="Arial"/>
                <w:sz w:val="17"/>
                <w:szCs w:val="17"/>
                <w:color w:val="auto"/>
              </w:rPr>
              <w:t>Hsiao D. Lieu, M.D.</w:t>
            </w:r>
          </w:p>
        </w:tc>
        <w:tc>
          <w:tcPr>
            <w:tcW w:w="1860" w:type="dxa"/>
            <w:vAlign w:val="bottom"/>
          </w:tcPr>
          <w:p>
            <w:pPr>
              <w:ind w:left="20"/>
              <w:spacing w:after="0"/>
              <w:rPr>
                <w:sz w:val="20"/>
                <w:szCs w:val="20"/>
                <w:color w:val="auto"/>
              </w:rPr>
            </w:pPr>
            <w:r>
              <w:rPr>
                <w:rFonts w:ascii="Arial" w:cs="Arial" w:eastAsia="Arial" w:hAnsi="Arial"/>
                <w:sz w:val="17"/>
                <w:szCs w:val="17"/>
                <w:color w:val="auto"/>
              </w:rPr>
              <w:t>Date</w:t>
            </w:r>
          </w:p>
        </w:tc>
      </w:tr>
    </w:tbl>
    <w:p>
      <w:pPr>
        <w:sectPr>
          <w:pgSz w:w="11900" w:h="16838" w:orient="portrait"/>
          <w:cols w:equalWidth="0" w:num="1">
            <w:col w:w="11240"/>
          </w:cols>
          <w:pgMar w:left="320" w:top="1415"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ADDITIONAL INFORMATION REGARDING SEVERANCE AND CHANGE IN CONTROL ARRANGEMENTS</w:t>
      </w:r>
    </w:p>
    <w:p>
      <w:pPr>
        <w:spacing w:after="0" w:line="263"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In addition to the employment offer letter with Dr. Lieu entered into on January 16, 2019, in February 2023, the Compensation Committee of the NGM Biopharmaceuticals, Inc. Board of Directors determined that,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Dr. Lieu will be entitled to (i) continued payment of his base salary for 6 months; (ii) payment or reimbursement of COBRA premiums for him and his eligible dependents for up to 6 months; and (iii) full vesting of any unvested equity awards held by Dr. Lieu. The complete details of the foregoing benefits will be set forth in a written document provided to Dr. Lieu by the Company.</w:t>
      </w:r>
    </w:p>
    <w:p>
      <w:pPr>
        <w:sectPr>
          <w:pgSz w:w="11900" w:h="16838" w:orient="portrait"/>
          <w:cols w:equalWidth="0" w:num="1">
            <w:col w:w="11220"/>
          </w:cols>
          <w:pgMar w:left="320" w:top="1356" w:right="3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21.1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0" w:type="dxa"/>
            <w:vAlign w:val="bottom"/>
          </w:tcPr>
          <w:p>
            <w:pPr>
              <w:ind w:left="160"/>
              <w:spacing w:after="0"/>
              <w:rPr>
                <w:sz w:val="20"/>
                <w:szCs w:val="20"/>
                <w:color w:val="auto"/>
              </w:rPr>
            </w:pPr>
            <w:r>
              <w:rPr>
                <w:rFonts w:ascii="Arial" w:cs="Arial" w:eastAsia="Arial" w:hAnsi="Arial"/>
                <w:sz w:val="21"/>
                <w:szCs w:val="21"/>
                <w:b w:val="1"/>
                <w:bCs w:val="1"/>
                <w:color w:val="auto"/>
              </w:rPr>
              <w:t>SUBSIDIARIES</w:t>
            </w:r>
          </w:p>
        </w:tc>
      </w:tr>
      <w:tr>
        <w:trPr>
          <w:trHeight w:val="756"/>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7"/>
              </w:rPr>
              <w:t>Subsidiary Name</w:t>
            </w:r>
          </w:p>
        </w:tc>
        <w:tc>
          <w:tcPr>
            <w:tcW w:w="120" w:type="dxa"/>
            <w:vAlign w:val="bottom"/>
          </w:tcPr>
          <w:p>
            <w:pPr>
              <w:spacing w:after="0"/>
              <w:rPr>
                <w:sz w:val="24"/>
                <w:szCs w:val="24"/>
                <w:color w:val="auto"/>
              </w:rPr>
            </w:pPr>
          </w:p>
        </w:tc>
        <w:tc>
          <w:tcPr>
            <w:tcW w:w="64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8"/>
              </w:rPr>
              <w:t>Jurisdiction of Incorporation or Organization</w:t>
            </w:r>
          </w:p>
        </w:tc>
      </w:tr>
      <w:tr>
        <w:trPr>
          <w:trHeight w:val="268"/>
        </w:trPr>
        <w:tc>
          <w:tcPr>
            <w:tcW w:w="4740" w:type="dxa"/>
            <w:vAlign w:val="bottom"/>
            <w:gridSpan w:val="2"/>
          </w:tcPr>
          <w:p>
            <w:pPr>
              <w:jc w:val="center"/>
              <w:ind w:right="120"/>
              <w:spacing w:after="0"/>
              <w:rPr>
                <w:sz w:val="20"/>
                <w:szCs w:val="20"/>
                <w:color w:val="auto"/>
              </w:rPr>
            </w:pPr>
            <w:r>
              <w:rPr>
                <w:rFonts w:ascii="Arial" w:cs="Arial" w:eastAsia="Arial" w:hAnsi="Arial"/>
                <w:sz w:val="21"/>
                <w:szCs w:val="21"/>
                <w:color w:val="auto"/>
                <w:w w:val="97"/>
              </w:rPr>
              <w:t>NGM Biopharmaceuticals Australia Pty Ltd.</w:t>
            </w:r>
          </w:p>
        </w:tc>
        <w:tc>
          <w:tcPr>
            <w:tcW w:w="6400" w:type="dxa"/>
            <w:vAlign w:val="bottom"/>
          </w:tcPr>
          <w:p>
            <w:pPr>
              <w:jc w:val="center"/>
              <w:spacing w:after="0"/>
              <w:rPr>
                <w:sz w:val="20"/>
                <w:szCs w:val="20"/>
                <w:color w:val="auto"/>
              </w:rPr>
            </w:pPr>
            <w:r>
              <w:rPr>
                <w:rFonts w:ascii="Arial" w:cs="Arial" w:eastAsia="Arial" w:hAnsi="Arial"/>
                <w:sz w:val="21"/>
                <w:szCs w:val="21"/>
                <w:color w:val="auto"/>
                <w:w w:val="97"/>
              </w:rPr>
              <w:t>Australia</w:t>
            </w:r>
          </w:p>
        </w:tc>
      </w:tr>
    </w:tbl>
    <w:p>
      <w:pPr>
        <w:sectPr>
          <w:pgSz w:w="11900" w:h="16838" w:orient="portrait"/>
          <w:cols w:equalWidth="0" w:num="1">
            <w:col w:w="11240"/>
          </w:cols>
          <w:pgMar w:left="320" w:top="85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62" w:lineRule="exact"/>
        <w:rPr>
          <w:sz w:val="20"/>
          <w:szCs w:val="20"/>
          <w:color w:val="auto"/>
        </w:rPr>
      </w:pPr>
    </w:p>
    <w:p>
      <w:pPr>
        <w:ind w:left="620" w:right="560" w:hanging="307"/>
        <w:spacing w:after="0" w:line="265" w:lineRule="auto"/>
        <w:tabs>
          <w:tab w:leader="none" w:pos="608"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Registration Statement (Form S-8 No. 333-230725) pertaining to NGM Biopharmaceuticals, Inc. Amended and Restated 2018 Equity Incentive Plan and NGM Biopharmaceuticals, Inc. 2019 Employee Stock Purchase Plan;</w:t>
      </w:r>
    </w:p>
    <w:p>
      <w:pPr>
        <w:spacing w:after="0" w:line="19" w:lineRule="exact"/>
        <w:rPr>
          <w:rFonts w:ascii="Arial" w:cs="Arial" w:eastAsia="Arial" w:hAnsi="Arial"/>
          <w:sz w:val="17"/>
          <w:szCs w:val="17"/>
          <w:color w:val="auto"/>
        </w:rPr>
      </w:pPr>
    </w:p>
    <w:p>
      <w:pPr>
        <w:ind w:left="620" w:right="100" w:hanging="307"/>
        <w:spacing w:after="0" w:line="249" w:lineRule="auto"/>
        <w:tabs>
          <w:tab w:leader="none" w:pos="608"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Registration Statements (Form S-8 Nos. 333-237243, 333-254295 and 333-263155) pertaining to NGM Biopharmaceuticals, Inc. Amended and Restated 2018 Equity Incentive Plan; and</w:t>
      </w:r>
    </w:p>
    <w:p>
      <w:pPr>
        <w:spacing w:after="0" w:line="45"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Registration Statement (Form S-3 No. 333-238991) and related prospectus and prospectus supplements of NGM Biopharmaceuticals, Inc.;</w:t>
      </w:r>
    </w:p>
    <w:p>
      <w:pPr>
        <w:spacing w:after="0" w:line="62" w:lineRule="exact"/>
        <w:rPr>
          <w:sz w:val="20"/>
          <w:szCs w:val="20"/>
          <w:color w:val="auto"/>
        </w:rPr>
      </w:pPr>
    </w:p>
    <w:p>
      <w:pPr>
        <w:ind w:right="540"/>
        <w:spacing w:after="0" w:line="259" w:lineRule="auto"/>
        <w:rPr>
          <w:sz w:val="20"/>
          <w:szCs w:val="20"/>
          <w:color w:val="auto"/>
        </w:rPr>
      </w:pPr>
      <w:r>
        <w:rPr>
          <w:rFonts w:ascii="Arial" w:cs="Arial" w:eastAsia="Arial" w:hAnsi="Arial"/>
          <w:sz w:val="17"/>
          <w:szCs w:val="17"/>
          <w:color w:val="auto"/>
        </w:rPr>
        <w:t>of our reports dated February 28, 2023, with respect to the consolidated financial statements of NGM Biopharmaceuticals, Inc., and the effectiveness of internal control over financial reporting of NGM Biopharmaceuticals, Inc., included in this Annual Report (Form 10-K) of NGM Biopharmaceuticals, Inc. for the year ended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333333"/>
        </w:rPr>
        <w:t>San Mateo, California</w:t>
      </w:r>
    </w:p>
    <w:p>
      <w:pPr>
        <w:spacing w:after="0"/>
        <w:rPr>
          <w:sz w:val="20"/>
          <w:szCs w:val="20"/>
          <w:color w:val="auto"/>
        </w:rPr>
      </w:pPr>
      <w:r>
        <w:rPr>
          <w:rFonts w:ascii="Arial" w:cs="Arial" w:eastAsia="Arial" w:hAnsi="Arial"/>
          <w:sz w:val="17"/>
          <w:szCs w:val="17"/>
          <w:color w:val="333333"/>
        </w:rPr>
        <w:t>February 28, 2023</w:t>
      </w:r>
    </w:p>
    <w:p>
      <w:pPr>
        <w:sectPr>
          <w:pgSz w:w="11900" w:h="16838" w:orient="portrait"/>
          <w:cols w:equalWidth="0" w:num="1">
            <w:col w:w="11240"/>
          </w:cols>
          <w:pgMar w:left="320" w:top="853"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 David J. Woodhouse, certify that:</w:t>
      </w:r>
    </w:p>
    <w:p>
      <w:pPr>
        <w:spacing w:after="0" w:line="217" w:lineRule="exact"/>
        <w:rPr>
          <w:sz w:val="20"/>
          <w:szCs w:val="20"/>
          <w:color w:val="auto"/>
        </w:rPr>
      </w:pPr>
    </w:p>
    <w:p>
      <w:pPr>
        <w:ind w:left="620" w:hanging="61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NGM Biopharmaceuticals, Inc.;</w:t>
      </w:r>
    </w:p>
    <w:p>
      <w:pPr>
        <w:spacing w:after="0" w:line="217" w:lineRule="exact"/>
        <w:rPr>
          <w:rFonts w:ascii="Arial" w:cs="Arial" w:eastAsia="Arial" w:hAnsi="Arial"/>
          <w:sz w:val="17"/>
          <w:szCs w:val="17"/>
          <w:color w:val="auto"/>
        </w:rPr>
      </w:pPr>
    </w:p>
    <w:p>
      <w:pPr>
        <w:jc w:val="both"/>
        <w:ind w:left="620" w:hanging="617"/>
        <w:spacing w:after="0" w:line="259" w:lineRule="auto"/>
        <w:tabs>
          <w:tab w:leader="none" w:pos="60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7"/>
          <w:szCs w:val="17"/>
          <w:color w:val="auto"/>
        </w:rPr>
      </w:pPr>
    </w:p>
    <w:p>
      <w:pPr>
        <w:ind w:left="620" w:hanging="617"/>
        <w:spacing w:after="0" w:line="265" w:lineRule="auto"/>
        <w:tabs>
          <w:tab w:leader="none" w:pos="60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620" w:hanging="617"/>
        <w:spacing w:after="0" w:line="259" w:lineRule="auto"/>
        <w:tabs>
          <w:tab w:leader="none" w:pos="60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17"/>
          <w:szCs w:val="17"/>
          <w:color w:val="auto"/>
        </w:rPr>
      </w:pPr>
    </w:p>
    <w:p>
      <w:pPr>
        <w:jc w:val="both"/>
        <w:ind w:left="1240" w:hanging="618"/>
        <w:spacing w:after="0" w:line="259" w:lineRule="auto"/>
        <w:tabs>
          <w:tab w:leader="none" w:pos="1231"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240" w:hanging="618"/>
        <w:spacing w:after="0" w:line="259" w:lineRule="auto"/>
        <w:tabs>
          <w:tab w:leader="none" w:pos="1231"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1240" w:hanging="618"/>
        <w:spacing w:after="0" w:line="259" w:lineRule="auto"/>
        <w:tabs>
          <w:tab w:leader="none" w:pos="1234"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17"/>
          <w:szCs w:val="17"/>
          <w:color w:val="auto"/>
        </w:rPr>
      </w:pPr>
    </w:p>
    <w:p>
      <w:pPr>
        <w:jc w:val="both"/>
        <w:ind w:left="1240" w:hanging="618"/>
        <w:spacing w:after="0" w:line="259" w:lineRule="auto"/>
        <w:tabs>
          <w:tab w:leader="none" w:pos="1231"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620" w:hanging="617"/>
        <w:spacing w:after="0" w:line="265" w:lineRule="auto"/>
        <w:tabs>
          <w:tab w:leader="none" w:pos="60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hanging="618"/>
        <w:spacing w:after="0" w:line="265" w:lineRule="auto"/>
        <w:tabs>
          <w:tab w:leader="none" w:pos="1231"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hanging="618"/>
        <w:spacing w:after="0" w:line="265" w:lineRule="auto"/>
        <w:tabs>
          <w:tab w:leader="none" w:pos="1231"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2023</w:t>
      </w:r>
    </w:p>
    <w:p>
      <w:pPr>
        <w:spacing w:after="0" w:line="243" w:lineRule="exact"/>
        <w:rPr>
          <w:sz w:val="20"/>
          <w:szCs w:val="20"/>
          <w:color w:val="auto"/>
        </w:rPr>
      </w:pPr>
    </w:p>
    <w:p>
      <w:pPr>
        <w:ind w:left="5360"/>
        <w:spacing w:after="0"/>
        <w:tabs>
          <w:tab w:leader="none" w:pos="73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7620</wp:posOffset>
            </wp:positionV>
            <wp:extent cx="33889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3388995" cy="8255"/>
                    </a:xfrm>
                    <a:prstGeom prst="rect">
                      <a:avLst/>
                    </a:prstGeom>
                    <a:noFill/>
                  </pic:spPr>
                </pic:pic>
              </a:graphicData>
            </a:graphic>
          </wp:anchor>
        </w:drawing>
      </w:r>
    </w:p>
    <w:p>
      <w:pPr>
        <w:ind w:left="7420"/>
        <w:spacing w:after="0"/>
        <w:rPr>
          <w:sz w:val="20"/>
          <w:szCs w:val="20"/>
          <w:color w:val="auto"/>
        </w:rPr>
      </w:pPr>
      <w:r>
        <w:rPr>
          <w:rFonts w:ascii="Arial" w:cs="Arial" w:eastAsia="Arial" w:hAnsi="Arial"/>
          <w:sz w:val="17"/>
          <w:szCs w:val="17"/>
          <w:b w:val="1"/>
          <w:bCs w:val="1"/>
          <w:color w:val="auto"/>
        </w:rPr>
        <w:t>David J. Woodhouse, Ph.D.</w:t>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7"/>
          <w:szCs w:val="17"/>
          <w:b w:val="1"/>
          <w:bCs w:val="1"/>
          <w:color w:val="auto"/>
        </w:rPr>
        <w:t>Chief Executive Officer and Director</w:t>
      </w:r>
    </w:p>
    <w:p>
      <w:pPr>
        <w:ind w:left="7400"/>
        <w:spacing w:after="0"/>
        <w:rPr>
          <w:sz w:val="20"/>
          <w:szCs w:val="20"/>
          <w:color w:val="auto"/>
        </w:rPr>
      </w:pPr>
      <w:r>
        <w:rPr>
          <w:rFonts w:ascii="Arial" w:cs="Arial" w:eastAsia="Arial" w:hAnsi="Arial"/>
          <w:sz w:val="17"/>
          <w:szCs w:val="17"/>
          <w:b w:val="1"/>
          <w:bCs w:val="1"/>
          <w:i w:val="1"/>
          <w:iCs w:val="1"/>
          <w:color w:val="auto"/>
        </w:rPr>
        <w:t>(Principal Executive Officer)</w:t>
      </w:r>
    </w:p>
    <w:p>
      <w:pPr>
        <w:sectPr>
          <w:pgSz w:w="11900" w:h="16838" w:orient="portrait"/>
          <w:cols w:equalWidth="0" w:num="1">
            <w:col w:w="11240"/>
          </w:cols>
          <w:pgMar w:left="320" w:top="853"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 Siobhan Nolan Mangini, certify that:</w:t>
      </w:r>
    </w:p>
    <w:p>
      <w:pPr>
        <w:spacing w:after="0" w:line="217" w:lineRule="exact"/>
        <w:rPr>
          <w:sz w:val="20"/>
          <w:szCs w:val="20"/>
          <w:color w:val="auto"/>
        </w:rPr>
      </w:pPr>
    </w:p>
    <w:p>
      <w:pPr>
        <w:ind w:left="620" w:hanging="61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NGM Biopharmaceuticals, Inc.;</w:t>
      </w:r>
    </w:p>
    <w:p>
      <w:pPr>
        <w:spacing w:after="0" w:line="217" w:lineRule="exact"/>
        <w:rPr>
          <w:rFonts w:ascii="Arial" w:cs="Arial" w:eastAsia="Arial" w:hAnsi="Arial"/>
          <w:sz w:val="17"/>
          <w:szCs w:val="17"/>
          <w:color w:val="auto"/>
        </w:rPr>
      </w:pPr>
    </w:p>
    <w:p>
      <w:pPr>
        <w:jc w:val="both"/>
        <w:ind w:left="620" w:hanging="617"/>
        <w:spacing w:after="0" w:line="259" w:lineRule="auto"/>
        <w:tabs>
          <w:tab w:leader="none" w:pos="6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7"/>
          <w:szCs w:val="17"/>
          <w:color w:val="auto"/>
        </w:rPr>
      </w:pPr>
    </w:p>
    <w:p>
      <w:pPr>
        <w:ind w:left="620" w:hanging="617"/>
        <w:spacing w:after="0" w:line="265" w:lineRule="auto"/>
        <w:tabs>
          <w:tab w:leader="none" w:pos="6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ind w:left="620" w:hanging="617"/>
        <w:spacing w:after="0" w:line="265" w:lineRule="auto"/>
        <w:tabs>
          <w:tab w:leader="none" w:pos="6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87" w:lineRule="exact"/>
        <w:rPr>
          <w:rFonts w:ascii="Arial" w:cs="Arial" w:eastAsia="Arial" w:hAnsi="Arial"/>
          <w:sz w:val="17"/>
          <w:szCs w:val="17"/>
          <w:color w:val="auto"/>
        </w:rPr>
      </w:pPr>
    </w:p>
    <w:p>
      <w:pPr>
        <w:jc w:val="both"/>
        <w:ind w:left="1240" w:hanging="618"/>
        <w:spacing w:after="0" w:line="259" w:lineRule="auto"/>
        <w:tabs>
          <w:tab w:leader="none" w:pos="1231"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240" w:hanging="618"/>
        <w:spacing w:after="0" w:line="259" w:lineRule="auto"/>
        <w:tabs>
          <w:tab w:leader="none" w:pos="1231"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jc w:val="both"/>
        <w:ind w:left="1240" w:hanging="618"/>
        <w:spacing w:after="0" w:line="259" w:lineRule="auto"/>
        <w:tabs>
          <w:tab w:leader="none" w:pos="1234"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2" w:lineRule="exact"/>
        <w:rPr>
          <w:rFonts w:ascii="Arial" w:cs="Arial" w:eastAsia="Arial" w:hAnsi="Arial"/>
          <w:sz w:val="17"/>
          <w:szCs w:val="17"/>
          <w:color w:val="auto"/>
        </w:rPr>
      </w:pPr>
    </w:p>
    <w:p>
      <w:pPr>
        <w:jc w:val="both"/>
        <w:ind w:left="1240" w:hanging="618"/>
        <w:spacing w:after="0" w:line="259" w:lineRule="auto"/>
        <w:tabs>
          <w:tab w:leader="none" w:pos="1231"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620" w:hanging="617"/>
        <w:spacing w:after="0" w:line="265" w:lineRule="auto"/>
        <w:tabs>
          <w:tab w:leader="none" w:pos="6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hanging="618"/>
        <w:spacing w:after="0" w:line="265" w:lineRule="auto"/>
        <w:tabs>
          <w:tab w:leader="none" w:pos="1231"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hanging="618"/>
        <w:spacing w:after="0" w:line="265" w:lineRule="auto"/>
        <w:tabs>
          <w:tab w:leader="none" w:pos="1231"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2023</w:t>
      </w:r>
    </w:p>
    <w:p>
      <w:pPr>
        <w:spacing w:after="0" w:line="243" w:lineRule="exact"/>
        <w:rPr>
          <w:sz w:val="20"/>
          <w:szCs w:val="20"/>
          <w:color w:val="auto"/>
        </w:rPr>
      </w:pPr>
    </w:p>
    <w:p>
      <w:pPr>
        <w:ind w:left="5300"/>
        <w:spacing w:after="0"/>
        <w:tabs>
          <w:tab w:leader="none" w:pos="7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7620</wp:posOffset>
            </wp:positionV>
            <wp:extent cx="3422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3422015" cy="8255"/>
                    </a:xfrm>
                    <a:prstGeom prst="rect">
                      <a:avLst/>
                    </a:prstGeom>
                    <a:noFill/>
                  </pic:spPr>
                </pic:pic>
              </a:graphicData>
            </a:graphic>
          </wp:anchor>
        </w:drawing>
      </w:r>
    </w:p>
    <w:p>
      <w:pPr>
        <w:ind w:left="7560"/>
        <w:spacing w:after="0"/>
        <w:rPr>
          <w:sz w:val="20"/>
          <w:szCs w:val="20"/>
          <w:color w:val="auto"/>
        </w:rPr>
      </w:pPr>
      <w:r>
        <w:rPr>
          <w:rFonts w:ascii="Arial" w:cs="Arial" w:eastAsia="Arial" w:hAnsi="Arial"/>
          <w:sz w:val="17"/>
          <w:szCs w:val="17"/>
          <w:b w:val="1"/>
          <w:bCs w:val="1"/>
          <w:color w:val="auto"/>
        </w:rPr>
        <w:t>Siobhan Nolan Mangini</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7"/>
          <w:szCs w:val="17"/>
          <w:b w:val="1"/>
          <w:bCs w:val="1"/>
          <w:color w:val="auto"/>
        </w:rPr>
        <w:t>President and Chief Financial Officer</w:t>
      </w:r>
    </w:p>
    <w:p>
      <w:pPr>
        <w:ind w:left="7400"/>
        <w:spacing w:after="0"/>
        <w:rPr>
          <w:sz w:val="20"/>
          <w:szCs w:val="20"/>
          <w:color w:val="auto"/>
        </w:rPr>
      </w:pPr>
      <w:r>
        <w:rPr>
          <w:rFonts w:ascii="Arial" w:cs="Arial" w:eastAsia="Arial" w:hAnsi="Arial"/>
          <w:sz w:val="17"/>
          <w:szCs w:val="17"/>
          <w:b w:val="1"/>
          <w:bCs w:val="1"/>
          <w:i w:val="1"/>
          <w:iCs w:val="1"/>
          <w:color w:val="auto"/>
        </w:rPr>
        <w:t>(Principal Financial Officer)</w:t>
      </w:r>
    </w:p>
    <w:p>
      <w:pPr>
        <w:sectPr>
          <w:pgSz w:w="11900" w:h="16838" w:orient="portrait"/>
          <w:cols w:equalWidth="0" w:num="1">
            <w:col w:w="11240"/>
          </w:cols>
          <w:pgMar w:left="320" w:top="85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President and Chief Financial Officer of the Company, each hereby certifies that, to the best of his or her knowledge:</w:t>
      </w:r>
    </w:p>
    <w:p>
      <w:pPr>
        <w:spacing w:after="0" w:line="194" w:lineRule="exact"/>
        <w:rPr>
          <w:sz w:val="20"/>
          <w:szCs w:val="20"/>
          <w:color w:val="auto"/>
        </w:rPr>
      </w:pPr>
    </w:p>
    <w:p>
      <w:pPr>
        <w:ind w:left="620" w:hanging="617"/>
        <w:spacing w:after="0" w:line="265" w:lineRule="auto"/>
        <w:tabs>
          <w:tab w:leader="none" w:pos="60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Company’s Annual Report on Form 10-K for the fiscal year ended December 31, 2022, to which this Certification is attached as Exhibit 32.1 (the “Annual Report”), fully complies with the requirements of Section 13(a) or Section 15(d) of the Exchange Act; and</w:t>
      </w:r>
    </w:p>
    <w:p>
      <w:pPr>
        <w:spacing w:after="0" w:line="187" w:lineRule="exact"/>
        <w:rPr>
          <w:rFonts w:ascii="Arial" w:cs="Arial" w:eastAsia="Arial" w:hAnsi="Arial"/>
          <w:sz w:val="17"/>
          <w:szCs w:val="17"/>
          <w:color w:val="auto"/>
        </w:rPr>
      </w:pPr>
    </w:p>
    <w:p>
      <w:pPr>
        <w:ind w:left="620" w:hanging="617"/>
        <w:spacing w:after="0" w:line="265" w:lineRule="auto"/>
        <w:tabs>
          <w:tab w:leader="none" w:pos="60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Annual Report fairly presents, in all material respects, the financial condition and results of operations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2023</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5610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J. Woodhouse, Ph.D.</w:t>
      </w:r>
    </w:p>
    <w:p>
      <w:pPr>
        <w:ind w:left="20"/>
        <w:spacing w:after="0" w:line="234" w:lineRule="auto"/>
        <w:rPr>
          <w:sz w:val="20"/>
          <w:szCs w:val="20"/>
          <w:color w:val="auto"/>
        </w:rPr>
      </w:pPr>
      <w:r>
        <w:rPr>
          <w:rFonts w:ascii="Arial" w:cs="Arial" w:eastAsia="Arial" w:hAnsi="Arial"/>
          <w:sz w:val="17"/>
          <w:szCs w:val="17"/>
          <w:color w:val="auto"/>
        </w:rPr>
        <w:t>Chief Executive Officer and Director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Executive Officer)</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561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Siobhan Nolan Mangini</w:t>
      </w:r>
    </w:p>
    <w:p>
      <w:pPr>
        <w:ind w:left="20"/>
        <w:spacing w:after="0" w:line="234" w:lineRule="auto"/>
        <w:rPr>
          <w:sz w:val="20"/>
          <w:szCs w:val="20"/>
          <w:color w:val="auto"/>
        </w:rPr>
      </w:pPr>
      <w:r>
        <w:rPr>
          <w:rFonts w:ascii="Arial" w:cs="Arial" w:eastAsia="Arial" w:hAnsi="Arial"/>
          <w:sz w:val="17"/>
          <w:szCs w:val="17"/>
          <w:color w:val="auto"/>
        </w:rPr>
        <w:t>President and 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certification accompanies the Annual Report on Form 10-K to which it relates, is not deemed filed with the Securities and Exchange Commission and is not to be incorporated by reference into any filing of NGM Biopharmaceuticals, Inc. under the Securities Act of 1933, as amended, or the Exchange Act (whether made before or after the date of the Form 10-K), irrespective of any general incorporation language contained in such filing.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lvl w:ilvl="1">
      <w:lvlJc w:val="left"/>
      <w:lvlText w:val="•"/>
      <w:numFmt w:val="bullet"/>
      <w:start w:val="1"/>
    </w:lvl>
  </w:abstractNum>
  <w:abstractNum w:abstractNumId="5">
    <w:nsid w:val="614FD4A1"/>
    <w:multiLevelType w:val="hybridMultilevel"/>
    <w:lvl w:ilvl="0">
      <w:lvlJc w:val="left"/>
      <w:lvlText w:val="•"/>
      <w:numFmt w:val="bullet"/>
      <w:start w:val="1"/>
    </w:lvl>
    <w:lvl w:ilvl="1">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2"/>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lowerRoman"/>
      <w:start w:val="3"/>
    </w:lvl>
  </w:abstractNum>
  <w:abstractNum w:abstractNumId="34">
    <w:nsid w:val="32FFF90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684A48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579478FE"/>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7">
    <w:nsid w:val="749ABB4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2"/>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5"/>
    </w:lvl>
  </w:abstractNum>
  <w:abstractNum w:abstractNumId="47">
    <w:nsid w:val="23F9C13C"/>
    <w:multiLevelType w:val="hybridMultilevel"/>
    <w:lvl w:ilvl="0">
      <w:lvlJc w:val="left"/>
      <w:lvlText w:val="%1."/>
      <w:numFmt w:val="decimal"/>
      <w:start w:val="6"/>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lowerLetter"/>
      <w:start w:val="1"/>
    </w:lvl>
    <w:lvl w:ilvl="1">
      <w:lvlJc w:val="left"/>
      <w:lvlText w:val="%2."/>
      <w:numFmt w:val="decimal"/>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
    </w:lvl>
    <w:lvl w:ilvl="1">
      <w:lvlJc w:val="left"/>
      <w:lvlText w:val="%2."/>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3"/>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98"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jpe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175" Type="http://schemas.openxmlformats.org/officeDocument/2006/relationships/hyperlink" Target="https://www.sec.gov/Archives/edgar/data/0001426332/000119312519100757/d731361dex31.htm" TargetMode="External"/><Relationship Id="rId176" Type="http://schemas.openxmlformats.org/officeDocument/2006/relationships/hyperlink" Target="https://www.sec.gov/Archives/edgar/data/0001426332/000119312518287727/d693178dex34.htm" TargetMode="External"/><Relationship Id="rId177" Type="http://schemas.openxmlformats.org/officeDocument/2006/relationships/hyperlink" Target="https://www.sec.gov/Archives/edgar/data/0001426332/000119312518287727/d693178dex41.htm" TargetMode="External"/><Relationship Id="rId178" Type="http://schemas.openxmlformats.org/officeDocument/2006/relationships/hyperlink" Target="https://www.sec.gov/Archives/edgar/data/0001426332/000119312519094494/d693178dex42.htm" TargetMode="External"/><Relationship Id="rId179" Type="http://schemas.openxmlformats.org/officeDocument/2006/relationships/hyperlink" Target="https://www.sec.gov/Archives/edgar/data/1426332/000156459020011422/ngm-ex43_293.htm" TargetMode="External"/><Relationship Id="rId180" Type="http://schemas.openxmlformats.org/officeDocument/2006/relationships/hyperlink" Target="https://www.sec.gov/Archives/edgar/data/0001426332/000119312518287727/d693178dex101.htm" TargetMode="External"/><Relationship Id="rId181" Type="http://schemas.openxmlformats.org/officeDocument/2006/relationships/hyperlink" Target="https://www.sec.gov/Archives/edgar/data/0001426332/000119312518287727/d693178dex102.htm" TargetMode="External"/><Relationship Id="rId182" Type="http://schemas.openxmlformats.org/officeDocument/2006/relationships/hyperlink" Target="https://www.sec.gov/Archives/edgar/data/0001426332/000119312519084550/d693178dex103.htm" TargetMode="External"/><Relationship Id="rId185" Type="http://schemas.openxmlformats.org/officeDocument/2006/relationships/hyperlink" Target="https://www.sec.gov/Archives/edgar/data/0001426332/000119312519084550/d693178dex104.htm" TargetMode="External"/><Relationship Id="rId186" Type="http://schemas.openxmlformats.org/officeDocument/2006/relationships/hyperlink" Target="https://www.sec.gov/Archives/edgar/data/0001426332/000119312519084550/d693178dex105.htm" TargetMode="External"/><Relationship Id="rId187" Type="http://schemas.openxmlformats.org/officeDocument/2006/relationships/hyperlink" Target="https://www.sec.gov/Archives/edgar/data/0001426332/000119312519084550/d693178dex106.htm" TargetMode="External"/><Relationship Id="rId188" Type="http://schemas.openxmlformats.org/officeDocument/2006/relationships/hyperlink" Target="https://www.sec.gov/Archives/edgar/data/0001426332/000119312518287727/d693178dex107.htm" TargetMode="External"/><Relationship Id="rId189" Type="http://schemas.openxmlformats.org/officeDocument/2006/relationships/hyperlink" Target="https://www.sec.gov/Archives/edgar/data/0001426332/000119312519084550/d693178dex108.htm" TargetMode="External"/><Relationship Id="rId190" Type="http://schemas.openxmlformats.org/officeDocument/2006/relationships/hyperlink" Target="https://www.sec.gov/Archives/edgar/data/0001426332/000119312518287727/d693178dex109.htm" TargetMode="External"/><Relationship Id="rId191" Type="http://schemas.openxmlformats.org/officeDocument/2006/relationships/hyperlink" Target="https://www.sec.gov/Archives/edgar/data/0001426332/000119312518287727/d693178dex1011.htm" TargetMode="External"/><Relationship Id="rId192" Type="http://schemas.openxmlformats.org/officeDocument/2006/relationships/hyperlink" Target="https://www.sec.gov/Archives/edgar/data/0001426332/000119312519084550/d693178dex1013.htm" TargetMode="External"/><Relationship Id="rId193" Type="http://schemas.openxmlformats.org/officeDocument/2006/relationships/hyperlink" Target="https://www.sec.gov/Archives/edgar/data/1426332/000162828021009327/ngm-20210331x10qex103.htm" TargetMode="External"/><Relationship Id="rId194" Type="http://schemas.openxmlformats.org/officeDocument/2006/relationships/hyperlink" Target="https://www.sec.gov/Archives/edgar/data/0001426332/000156459020039692/ngm-ex101_91.htm" TargetMode="External"/><Relationship Id="rId195" Type="http://schemas.openxmlformats.org/officeDocument/2006/relationships/hyperlink" Target="https://www.sec.gov/Archives/edgar/data/0001426332/000119312518287727/d693178dex1015.htm" TargetMode="External"/><Relationship Id="rId196" Type="http://schemas.openxmlformats.org/officeDocument/2006/relationships/hyperlink" Target="https://www.sec.gov/Archives/edgar/data/0001426332/000119312518287727/d693178dex1017.htm" TargetMode="External"/><Relationship Id="rId197" Type="http://schemas.openxmlformats.org/officeDocument/2006/relationships/hyperlink" Target="https://www.sec.gov/Archives/edgar/data/1426332/000162828021015882/ngm-20210630x10qex101.htm" TargetMode="External"/><Relationship Id="rId199" Type="http://schemas.openxmlformats.org/officeDocument/2006/relationships/hyperlink" Target="https://www.sec.gov/Archives/edgar/data/0001426332/000119312519094494/d693178dex1017.htm" TargetMode="External"/><Relationship Id="rId200" Type="http://schemas.openxmlformats.org/officeDocument/2006/relationships/hyperlink" Target="https://www.sec.gov/Archives/edgar/data/1426332/000156459021013179/ngm-ex1017_396.htm" TargetMode="External"/><Relationship Id="rId201" Type="http://schemas.openxmlformats.org/officeDocument/2006/relationships/hyperlink" Target="https://www.sec.gov/Archives/edgar/data/1426332/000156459021013179/ngm-ex1018_397.htm" TargetMode="External"/><Relationship Id="rId202" Type="http://schemas.openxmlformats.org/officeDocument/2006/relationships/hyperlink" Target="https://www.sec.gov/Archives/edgar/data/1426332/000162828022004526/ngm-20211231x10kex1023.htm" TargetMode="External"/><Relationship Id="rId203" Type="http://schemas.openxmlformats.org/officeDocument/2006/relationships/hyperlink" Target="https://www.sec.gov/Archives/edgar/data/0001426332/000119312519084550/d693178dex1018.htm" TargetMode="External"/><Relationship Id="rId204" Type="http://schemas.openxmlformats.org/officeDocument/2006/relationships/hyperlink" Target="https://www.sec.gov/Archives/edgar/data/1426332/000162828022012690/ngm-20220331x10qex101.htm" TargetMode="External"/><Relationship Id="rId205" Type="http://schemas.openxmlformats.org/officeDocument/2006/relationships/hyperlink" Target="https://www.sec.gov/Archives/edgar/data/1426332/000162828022021104/ngm-20220630x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2023-02-28T21:27:37Z</dcterms:created>
  <dcterms:modified xsi:type="dcterms:W3CDTF">2023-02-28T21:27:37Z</dcterms:modified>
</cp:coreProperties>
</file>