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276860</wp:posOffset>
            </wp:positionH>
            <wp:positionV relativeFrom="page">
              <wp:posOffset>157480</wp:posOffset>
            </wp:positionV>
            <wp:extent cx="1165860" cy="377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165860" cy="377190"/>
                    </a:xfrm>
                    <a:prstGeom prst="rect">
                      <a:avLst/>
                    </a:prstGeom>
                    <a:noFill/>
                  </pic:spPr>
                </pic:pic>
              </a:graphicData>
            </a:graphic>
          </wp:anchor>
        </w:drawing>
        <w:t>Carlton Fleming</w:t>
      </w:r>
    </w:p>
    <w:p>
      <w:pPr>
        <w:spacing w:after="0" w:line="23" w:lineRule="exact"/>
        <w:rPr>
          <w:sz w:val="24"/>
          <w:szCs w:val="24"/>
          <w:color w:val="auto"/>
        </w:rPr>
      </w:pPr>
    </w:p>
    <w:p>
      <w:pPr>
        <w:ind w:left="4"/>
        <w:spacing w:after="0"/>
        <w:rPr>
          <w:sz w:val="20"/>
          <w:szCs w:val="20"/>
          <w:color w:val="auto"/>
        </w:rPr>
      </w:pPr>
      <w:r>
        <w:rPr>
          <w:rFonts w:ascii="Arial" w:cs="Arial" w:eastAsia="Arial" w:hAnsi="Arial"/>
          <w:sz w:val="18"/>
          <w:szCs w:val="18"/>
          <w:color w:val="auto"/>
        </w:rPr>
        <w:t>+1 650 843 5865</w:t>
      </w:r>
    </w:p>
    <w:p>
      <w:pPr>
        <w:spacing w:after="0" w:line="9" w:lineRule="exact"/>
        <w:rPr>
          <w:sz w:val="24"/>
          <w:szCs w:val="24"/>
          <w:color w:val="auto"/>
        </w:rPr>
      </w:pPr>
    </w:p>
    <w:p>
      <w:pPr>
        <w:ind w:left="4"/>
        <w:spacing w:after="0"/>
        <w:rPr>
          <w:sz w:val="20"/>
          <w:szCs w:val="20"/>
          <w:color w:val="auto"/>
        </w:rPr>
      </w:pPr>
      <w:r>
        <w:rPr>
          <w:rFonts w:ascii="Arial" w:cs="Arial" w:eastAsia="Arial" w:hAnsi="Arial"/>
          <w:sz w:val="18"/>
          <w:szCs w:val="18"/>
          <w:color w:val="auto"/>
        </w:rPr>
        <w:t>cfleming@cooley.com</w:t>
      </w:r>
    </w:p>
    <w:p>
      <w:pPr>
        <w:spacing w:after="0" w:line="211" w:lineRule="exact"/>
        <w:rPr>
          <w:sz w:val="24"/>
          <w:szCs w:val="24"/>
          <w:color w:val="auto"/>
        </w:rPr>
      </w:pPr>
    </w:p>
    <w:p>
      <w:pPr>
        <w:ind w:left="4"/>
        <w:spacing w:after="0"/>
        <w:rPr>
          <w:sz w:val="20"/>
          <w:szCs w:val="20"/>
          <w:color w:val="auto"/>
        </w:rPr>
      </w:pPr>
      <w:r>
        <w:rPr>
          <w:rFonts w:ascii="Arial" w:cs="Arial" w:eastAsia="Arial" w:hAnsi="Arial"/>
          <w:sz w:val="18"/>
          <w:szCs w:val="18"/>
          <w:color w:val="auto"/>
        </w:rPr>
        <w:t>March 25, 2019</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color w:val="auto"/>
        </w:rPr>
        <w:t>U.S. Securities and Exchange Commission</w:t>
      </w:r>
    </w:p>
    <w:p>
      <w:pPr>
        <w:spacing w:after="0" w:line="23" w:lineRule="exact"/>
        <w:rPr>
          <w:sz w:val="24"/>
          <w:szCs w:val="24"/>
          <w:color w:val="auto"/>
        </w:rPr>
      </w:pPr>
    </w:p>
    <w:p>
      <w:pPr>
        <w:ind w:left="4"/>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ind w:left="4"/>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ind w:left="4"/>
        <w:spacing w:after="0"/>
        <w:rPr>
          <w:sz w:val="20"/>
          <w:szCs w:val="20"/>
          <w:color w:val="auto"/>
        </w:rPr>
      </w:pPr>
      <w:r>
        <w:rPr>
          <w:rFonts w:ascii="Arial" w:cs="Arial" w:eastAsia="Arial" w:hAnsi="Arial"/>
          <w:sz w:val="18"/>
          <w:szCs w:val="18"/>
          <w:color w:val="auto"/>
        </w:rPr>
        <w:t>Washington, D.C. 20549</w:t>
      </w:r>
    </w:p>
    <w:p>
      <w:pPr>
        <w:spacing w:after="0" w:line="9" w:lineRule="exact"/>
        <w:rPr>
          <w:sz w:val="24"/>
          <w:szCs w:val="24"/>
          <w:color w:val="auto"/>
        </w:rPr>
      </w:pPr>
    </w:p>
    <w:p>
      <w:pPr>
        <w:ind w:left="4"/>
        <w:spacing w:after="0"/>
        <w:rPr>
          <w:sz w:val="20"/>
          <w:szCs w:val="20"/>
          <w:color w:val="auto"/>
        </w:rPr>
      </w:pPr>
      <w:r>
        <w:rPr>
          <w:rFonts w:ascii="Arial" w:cs="Arial" w:eastAsia="Arial" w:hAnsi="Arial"/>
          <w:sz w:val="18"/>
          <w:szCs w:val="18"/>
          <w:color w:val="auto"/>
        </w:rPr>
        <w:t>Attn: Sasha Parikh</w:t>
      </w:r>
    </w:p>
    <w:p>
      <w:pPr>
        <w:spacing w:after="0" w:line="9" w:lineRule="exact"/>
        <w:rPr>
          <w:sz w:val="24"/>
          <w:szCs w:val="24"/>
          <w:color w:val="auto"/>
        </w:rPr>
      </w:pPr>
    </w:p>
    <w:p>
      <w:pPr>
        <w:ind w:left="444"/>
        <w:spacing w:after="0"/>
        <w:rPr>
          <w:sz w:val="20"/>
          <w:szCs w:val="20"/>
          <w:color w:val="auto"/>
        </w:rPr>
      </w:pPr>
      <w:r>
        <w:rPr>
          <w:rFonts w:ascii="Arial" w:cs="Arial" w:eastAsia="Arial" w:hAnsi="Arial"/>
          <w:sz w:val="18"/>
          <w:szCs w:val="18"/>
          <w:color w:val="auto"/>
        </w:rPr>
        <w:t>Jim Rosenberg</w:t>
      </w:r>
    </w:p>
    <w:p>
      <w:pPr>
        <w:spacing w:after="0" w:line="9" w:lineRule="exact"/>
        <w:rPr>
          <w:sz w:val="24"/>
          <w:szCs w:val="24"/>
          <w:color w:val="auto"/>
        </w:rPr>
      </w:pPr>
    </w:p>
    <w:p>
      <w:pPr>
        <w:ind w:left="444"/>
        <w:spacing w:after="0"/>
        <w:rPr>
          <w:sz w:val="20"/>
          <w:szCs w:val="20"/>
          <w:color w:val="auto"/>
        </w:rPr>
      </w:pPr>
      <w:r>
        <w:rPr>
          <w:rFonts w:ascii="Arial" w:cs="Arial" w:eastAsia="Arial" w:hAnsi="Arial"/>
          <w:sz w:val="18"/>
          <w:szCs w:val="18"/>
          <w:color w:val="auto"/>
        </w:rPr>
        <w:t>Dorrie Yale</w:t>
      </w:r>
    </w:p>
    <w:p>
      <w:pPr>
        <w:spacing w:after="0" w:line="9" w:lineRule="exact"/>
        <w:rPr>
          <w:sz w:val="24"/>
          <w:szCs w:val="24"/>
          <w:color w:val="auto"/>
        </w:rPr>
      </w:pPr>
    </w:p>
    <w:p>
      <w:pPr>
        <w:ind w:left="444"/>
        <w:spacing w:after="0"/>
        <w:rPr>
          <w:sz w:val="20"/>
          <w:szCs w:val="20"/>
          <w:color w:val="auto"/>
        </w:rPr>
      </w:pPr>
      <w:r>
        <w:rPr>
          <w:rFonts w:ascii="Arial" w:cs="Arial" w:eastAsia="Arial" w:hAnsi="Arial"/>
          <w:sz w:val="18"/>
          <w:szCs w:val="18"/>
          <w:color w:val="auto"/>
        </w:rPr>
        <w:t>Erin Jaskot</w:t>
      </w:r>
    </w:p>
    <w:p>
      <w:pPr>
        <w:spacing w:after="0" w:line="234" w:lineRule="exact"/>
        <w:rPr>
          <w:sz w:val="24"/>
          <w:szCs w:val="24"/>
          <w:color w:val="auto"/>
        </w:rPr>
      </w:pPr>
    </w:p>
    <w:p>
      <w:pPr>
        <w:ind w:left="4"/>
        <w:spacing w:after="0"/>
        <w:tabs>
          <w:tab w:leader="none" w:pos="404"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6"/>
          <w:szCs w:val="16"/>
          <w:b w:val="1"/>
          <w:bCs w:val="1"/>
          <w:color w:val="auto"/>
        </w:rPr>
        <w:t>NGM Biopharmaceuticals, Inc.</w:t>
      </w:r>
    </w:p>
    <w:p>
      <w:pPr>
        <w:spacing w:after="0" w:line="27" w:lineRule="exact"/>
        <w:rPr>
          <w:sz w:val="24"/>
          <w:szCs w:val="24"/>
          <w:color w:val="auto"/>
        </w:rPr>
      </w:pPr>
    </w:p>
    <w:p>
      <w:pPr>
        <w:ind w:left="424"/>
        <w:spacing w:after="0"/>
        <w:rPr>
          <w:sz w:val="20"/>
          <w:szCs w:val="20"/>
          <w:color w:val="auto"/>
        </w:rPr>
      </w:pPr>
      <w:r>
        <w:rPr>
          <w:rFonts w:ascii="Arial" w:cs="Arial" w:eastAsia="Arial" w:hAnsi="Arial"/>
          <w:sz w:val="18"/>
          <w:szCs w:val="18"/>
          <w:b w:val="1"/>
          <w:bCs w:val="1"/>
          <w:color w:val="auto"/>
        </w:rPr>
        <w:t>Registration Statement on Form S-1</w:t>
      </w:r>
    </w:p>
    <w:p>
      <w:pPr>
        <w:spacing w:after="0" w:line="9" w:lineRule="exact"/>
        <w:rPr>
          <w:sz w:val="24"/>
          <w:szCs w:val="24"/>
          <w:color w:val="auto"/>
        </w:rPr>
      </w:pPr>
    </w:p>
    <w:p>
      <w:pPr>
        <w:ind w:left="424"/>
        <w:spacing w:after="0"/>
        <w:rPr>
          <w:sz w:val="20"/>
          <w:szCs w:val="20"/>
          <w:color w:val="auto"/>
        </w:rPr>
      </w:pPr>
      <w:r>
        <w:rPr>
          <w:rFonts w:ascii="Arial" w:cs="Arial" w:eastAsia="Arial" w:hAnsi="Arial"/>
          <w:sz w:val="18"/>
          <w:szCs w:val="18"/>
          <w:b w:val="1"/>
          <w:bCs w:val="1"/>
          <w:color w:val="auto"/>
        </w:rPr>
        <w:t>Filed September 28, 2018</w:t>
      </w:r>
    </w:p>
    <w:p>
      <w:pPr>
        <w:spacing w:after="0" w:line="9" w:lineRule="exact"/>
        <w:rPr>
          <w:sz w:val="24"/>
          <w:szCs w:val="24"/>
          <w:color w:val="auto"/>
        </w:rPr>
      </w:pPr>
    </w:p>
    <w:p>
      <w:pPr>
        <w:ind w:left="424"/>
        <w:spacing w:after="0"/>
        <w:rPr>
          <w:sz w:val="20"/>
          <w:szCs w:val="20"/>
          <w:color w:val="auto"/>
        </w:rPr>
      </w:pPr>
      <w:r>
        <w:rPr>
          <w:rFonts w:ascii="Arial" w:cs="Arial" w:eastAsia="Arial" w:hAnsi="Arial"/>
          <w:sz w:val="18"/>
          <w:szCs w:val="18"/>
          <w:b w:val="1"/>
          <w:bCs w:val="1"/>
          <w:color w:val="auto"/>
        </w:rPr>
        <w:t>File No. 333-227608</w:t>
      </w:r>
    </w:p>
    <w:p>
      <w:pPr>
        <w:spacing w:after="0" w:line="9" w:lineRule="exact"/>
        <w:rPr>
          <w:sz w:val="24"/>
          <w:szCs w:val="24"/>
          <w:color w:val="auto"/>
        </w:rPr>
      </w:pPr>
    </w:p>
    <w:p>
      <w:pPr>
        <w:ind w:left="424"/>
        <w:spacing w:after="0"/>
        <w:rPr>
          <w:sz w:val="20"/>
          <w:szCs w:val="20"/>
          <w:color w:val="auto"/>
        </w:rPr>
      </w:pPr>
      <w:r>
        <w:rPr>
          <w:rFonts w:ascii="Arial" w:cs="Arial" w:eastAsia="Arial" w:hAnsi="Arial"/>
          <w:sz w:val="18"/>
          <w:szCs w:val="18"/>
          <w:b w:val="1"/>
          <w:bCs w:val="1"/>
          <w:color w:val="auto"/>
        </w:rPr>
        <w:t>CIK No. 0001426332</w:t>
      </w:r>
    </w:p>
    <w:p>
      <w:pPr>
        <w:spacing w:after="0" w:line="211" w:lineRule="exact"/>
        <w:rPr>
          <w:sz w:val="24"/>
          <w:szCs w:val="24"/>
          <w:color w:val="auto"/>
        </w:rPr>
      </w:pPr>
    </w:p>
    <w:p>
      <w:pPr>
        <w:ind w:left="4"/>
        <w:spacing w:after="0"/>
        <w:rPr>
          <w:sz w:val="20"/>
          <w:szCs w:val="20"/>
          <w:color w:val="auto"/>
        </w:rPr>
      </w:pPr>
      <w:r>
        <w:rPr>
          <w:rFonts w:ascii="Arial" w:cs="Arial" w:eastAsia="Arial" w:hAnsi="Arial"/>
          <w:sz w:val="18"/>
          <w:szCs w:val="18"/>
          <w:color w:val="auto"/>
        </w:rPr>
        <w:t>Ladies and Gentlemen:</w:t>
      </w:r>
    </w:p>
    <w:p>
      <w:pPr>
        <w:spacing w:after="0" w:line="117" w:lineRule="exact"/>
        <w:rPr>
          <w:sz w:val="24"/>
          <w:szCs w:val="24"/>
          <w:color w:val="auto"/>
        </w:rPr>
      </w:pPr>
    </w:p>
    <w:p>
      <w:pPr>
        <w:ind w:left="4" w:right="60" w:firstLine="440"/>
        <w:spacing w:after="0" w:line="296" w:lineRule="auto"/>
        <w:rPr>
          <w:sz w:val="20"/>
          <w:szCs w:val="20"/>
          <w:color w:val="auto"/>
        </w:rPr>
      </w:pPr>
      <w:r>
        <w:rPr>
          <w:rFonts w:ascii="Arial" w:cs="Arial" w:eastAsia="Arial" w:hAnsi="Arial"/>
          <w:sz w:val="16"/>
          <w:szCs w:val="16"/>
          <w:color w:val="auto"/>
        </w:rPr>
        <w:t>On behalf of NGM Biopharmaceuticals, Inc. (“</w:t>
      </w:r>
      <w:r>
        <w:rPr>
          <w:rFonts w:ascii="Arial" w:cs="Arial" w:eastAsia="Arial" w:hAnsi="Arial"/>
          <w:sz w:val="16"/>
          <w:szCs w:val="16"/>
          <w:b w:val="1"/>
          <w:bCs w:val="1"/>
          <w:i w:val="1"/>
          <w:iCs w:val="1"/>
          <w:color w:val="auto"/>
        </w:rPr>
        <w:t>NGM</w:t>
      </w:r>
      <w:r>
        <w:rPr>
          <w:rFonts w:ascii="Arial" w:cs="Arial" w:eastAsia="Arial" w:hAnsi="Arial"/>
          <w:sz w:val="16"/>
          <w:szCs w:val="16"/>
          <w:color w:val="auto"/>
        </w:rPr>
        <w:t>” or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we are submitting this letter and the following information in response to a letter, dated October 5, 2018, from the staff (the “</w:t>
      </w:r>
      <w:r>
        <w:rPr>
          <w:rFonts w:ascii="Arial" w:cs="Arial" w:eastAsia="Arial" w:hAnsi="Arial"/>
          <w:sz w:val="16"/>
          <w:szCs w:val="16"/>
          <w:b w:val="1"/>
          <w:bCs w:val="1"/>
          <w:i w:val="1"/>
          <w:iCs w:val="1"/>
          <w:color w:val="auto"/>
        </w:rPr>
        <w:t>Staff</w:t>
      </w:r>
      <w:r>
        <w:rPr>
          <w:rFonts w:ascii="Arial" w:cs="Arial" w:eastAsia="Arial" w:hAnsi="Arial"/>
          <w:sz w:val="16"/>
          <w:szCs w:val="16"/>
          <w:color w:val="auto"/>
        </w:rPr>
        <w:t>”) of the Securities and Exchange Commission (the “</w:t>
      </w:r>
      <w:r>
        <w:rPr>
          <w:rFonts w:ascii="Arial" w:cs="Arial" w:eastAsia="Arial" w:hAnsi="Arial"/>
          <w:sz w:val="16"/>
          <w:szCs w:val="16"/>
          <w:b w:val="1"/>
          <w:bCs w:val="1"/>
          <w:i w:val="1"/>
          <w:iCs w:val="1"/>
          <w:color w:val="auto"/>
        </w:rPr>
        <w:t>Commission</w:t>
      </w:r>
      <w:r>
        <w:rPr>
          <w:rFonts w:ascii="Arial" w:cs="Arial" w:eastAsia="Arial" w:hAnsi="Arial"/>
          <w:sz w:val="16"/>
          <w:szCs w:val="16"/>
          <w:color w:val="auto"/>
        </w:rPr>
        <w:t>”) with respect to the Company’s Registration Statement on Form S-1 (the “</w:t>
      </w:r>
      <w:r>
        <w:rPr>
          <w:rFonts w:ascii="Arial" w:cs="Arial" w:eastAsia="Arial" w:hAnsi="Arial"/>
          <w:sz w:val="16"/>
          <w:szCs w:val="16"/>
          <w:b w:val="1"/>
          <w:bCs w:val="1"/>
          <w:i w:val="1"/>
          <w:iCs w:val="1"/>
          <w:color w:val="auto"/>
        </w:rPr>
        <w:t>Registration Statement</w:t>
      </w:r>
      <w:r>
        <w:rPr>
          <w:rFonts w:ascii="Arial" w:cs="Arial" w:eastAsia="Arial" w:hAnsi="Arial"/>
          <w:sz w:val="16"/>
          <w:szCs w:val="16"/>
          <w:color w:val="auto"/>
        </w:rPr>
        <w:t>”) filed with the Commission on September 28, 2018. We are also filing the Amendment No. 1 to Registration Statement on Form S-1 (the “</w:t>
      </w:r>
      <w:r>
        <w:rPr>
          <w:rFonts w:ascii="Arial" w:cs="Arial" w:eastAsia="Arial" w:hAnsi="Arial"/>
          <w:sz w:val="16"/>
          <w:szCs w:val="16"/>
          <w:b w:val="1"/>
          <w:bCs w:val="1"/>
          <w:i w:val="1"/>
          <w:iCs w:val="1"/>
          <w:color w:val="auto"/>
        </w:rPr>
        <w:t>Amendment No. 1</w:t>
      </w:r>
      <w:r>
        <w:rPr>
          <w:rFonts w:ascii="Arial" w:cs="Arial" w:eastAsia="Arial" w:hAnsi="Arial"/>
          <w:sz w:val="16"/>
          <w:szCs w:val="16"/>
          <w:color w:val="auto"/>
        </w:rPr>
        <w:t>”). We are also sending a copy of this letter and the Amendment No. 1 in typeset format, including a version that is marked to show changes to the Registration Statement, to the Staff.</w:t>
      </w:r>
    </w:p>
    <w:p>
      <w:pPr>
        <w:spacing w:after="0" w:line="161" w:lineRule="exact"/>
        <w:rPr>
          <w:sz w:val="24"/>
          <w:szCs w:val="24"/>
          <w:color w:val="auto"/>
        </w:rPr>
      </w:pPr>
    </w:p>
    <w:p>
      <w:pPr>
        <w:ind w:left="4" w:firstLine="440"/>
        <w:spacing w:after="0" w:line="259" w:lineRule="auto"/>
        <w:rPr>
          <w:sz w:val="20"/>
          <w:szCs w:val="20"/>
          <w:color w:val="auto"/>
        </w:rPr>
      </w:pPr>
      <w:r>
        <w:rPr>
          <w:rFonts w:ascii="Arial" w:cs="Arial" w:eastAsia="Arial" w:hAnsi="Arial"/>
          <w:sz w:val="18"/>
          <w:szCs w:val="18"/>
          <w:color w:val="auto"/>
        </w:rPr>
        <w:t>The numbering of the paragraphs below corresponds to the numbering of the comments in the letter from the Staff. For the Staff’s convenience, we have incorporated your comments into this response letter in italics. Page references in the text of this response letter correspond to the page numbers in the Amendment No. 1. Capitalized terms used in this letter but otherwise not defined herein shall have the meanings ascribed to such terms in the Amendment No. 1.</w:t>
      </w:r>
    </w:p>
    <w:p>
      <w:pPr>
        <w:spacing w:after="0" w:line="295" w:lineRule="exact"/>
        <w:rPr>
          <w:sz w:val="24"/>
          <w:szCs w:val="24"/>
          <w:color w:val="auto"/>
        </w:rPr>
      </w:pPr>
    </w:p>
    <w:p>
      <w:pPr>
        <w:ind w:left="4"/>
        <w:spacing w:after="0"/>
        <w:rPr>
          <w:sz w:val="20"/>
          <w:szCs w:val="20"/>
          <w:color w:val="auto"/>
        </w:rPr>
      </w:pPr>
      <w:r>
        <w:rPr>
          <w:rFonts w:ascii="Arial" w:cs="Arial" w:eastAsia="Arial" w:hAnsi="Arial"/>
          <w:sz w:val="18"/>
          <w:szCs w:val="18"/>
          <w:i w:val="1"/>
          <w:iCs w:val="1"/>
          <w:u w:val="single" w:color="auto"/>
          <w:color w:val="auto"/>
        </w:rPr>
        <w:t>Form S-1 filed September 28, 2018</w:t>
      </w:r>
    </w:p>
    <w:p>
      <w:pPr>
        <w:spacing w:after="0" w:line="117" w:lineRule="exact"/>
        <w:rPr>
          <w:sz w:val="24"/>
          <w:szCs w:val="24"/>
          <w:color w:val="auto"/>
        </w:rPr>
      </w:pPr>
    </w:p>
    <w:p>
      <w:pPr>
        <w:ind w:left="4"/>
        <w:spacing w:after="0"/>
        <w:rPr>
          <w:sz w:val="20"/>
          <w:szCs w:val="20"/>
          <w:color w:val="auto"/>
        </w:rPr>
      </w:pPr>
      <w:r>
        <w:rPr>
          <w:rFonts w:ascii="Arial" w:cs="Arial" w:eastAsia="Arial" w:hAnsi="Arial"/>
          <w:sz w:val="18"/>
          <w:szCs w:val="18"/>
          <w:i w:val="1"/>
          <w:iCs w:val="1"/>
          <w:u w:val="single" w:color="auto"/>
          <w:color w:val="auto"/>
        </w:rPr>
        <w:t>Notes to Consolidated Financial Statements</w:t>
      </w:r>
    </w:p>
    <w:p>
      <w:pPr>
        <w:spacing w:after="0" w:line="23" w:lineRule="exact"/>
        <w:rPr>
          <w:sz w:val="24"/>
          <w:szCs w:val="24"/>
          <w:color w:val="auto"/>
        </w:rPr>
      </w:pPr>
    </w:p>
    <w:p>
      <w:pPr>
        <w:ind w:left="4" w:right="7300" w:hanging="4"/>
        <w:spacing w:after="0" w:line="260" w:lineRule="auto"/>
        <w:tabs>
          <w:tab w:leader="none" w:pos="184" w:val="left"/>
        </w:tabs>
        <w:numPr>
          <w:ilvl w:val="0"/>
          <w:numId w:val="1"/>
        </w:numPr>
        <w:rPr>
          <w:rFonts w:ascii="Arial" w:cs="Arial" w:eastAsia="Arial" w:hAnsi="Arial"/>
          <w:sz w:val="18"/>
          <w:szCs w:val="18"/>
          <w:i w:val="1"/>
          <w:iCs w:val="1"/>
          <w:u w:val="single" w:color="auto"/>
          <w:color w:val="auto"/>
        </w:rPr>
      </w:pPr>
      <w:r>
        <w:rPr>
          <w:rFonts w:ascii="Arial" w:cs="Arial" w:eastAsia="Arial" w:hAnsi="Arial"/>
          <w:sz w:val="18"/>
          <w:szCs w:val="18"/>
          <w:i w:val="1"/>
          <w:iCs w:val="1"/>
          <w:u w:val="single" w:color="auto"/>
          <w:color w:val="auto"/>
        </w:rPr>
        <w:t>Research Collaboration and License Agreements Merck, page F-22</w:t>
      </w:r>
    </w:p>
    <w:p>
      <w:pPr>
        <w:spacing w:after="0" w:line="91" w:lineRule="exact"/>
        <w:rPr>
          <w:sz w:val="24"/>
          <w:szCs w:val="24"/>
          <w:color w:val="auto"/>
        </w:rPr>
      </w:pPr>
    </w:p>
    <w:p>
      <w:pPr>
        <w:ind w:left="424" w:right="120" w:hanging="424"/>
        <w:spacing w:after="0" w:line="342" w:lineRule="auto"/>
        <w:tabs>
          <w:tab w:leader="none" w:pos="424" w:val="left"/>
        </w:tabs>
        <w:numPr>
          <w:ilvl w:val="0"/>
          <w:numId w:val="2"/>
        </w:numPr>
        <w:rPr>
          <w:rFonts w:ascii="Arial" w:cs="Arial" w:eastAsia="Arial" w:hAnsi="Arial"/>
          <w:sz w:val="16"/>
          <w:szCs w:val="16"/>
          <w:i w:val="1"/>
          <w:iCs w:val="1"/>
          <w:color w:val="auto"/>
        </w:rPr>
      </w:pPr>
      <w:r>
        <w:rPr>
          <w:rFonts w:ascii="Arial" w:cs="Arial" w:eastAsia="Arial" w:hAnsi="Arial"/>
          <w:sz w:val="16"/>
          <w:szCs w:val="16"/>
          <w:i w:val="1"/>
          <w:iCs w:val="1"/>
          <w:color w:val="auto"/>
        </w:rPr>
        <w:t>Please revise the last paragraph herein and on F-54 under “Company Option to Elect Cost and Profit Share and Merck Financial Assistance” to provide more specificity regarding the amounts that Merck will advance to the Company as well as the amount of the aggregate cap.</w:t>
      </w:r>
    </w:p>
    <w:p>
      <w:pPr>
        <w:spacing w:after="0" w:line="11" w:lineRule="exact"/>
        <w:rPr>
          <w:rFonts w:ascii="Arial" w:cs="Arial" w:eastAsia="Arial" w:hAnsi="Arial"/>
          <w:sz w:val="16"/>
          <w:szCs w:val="16"/>
          <w:i w:val="1"/>
          <w:iCs w:val="1"/>
          <w:color w:val="auto"/>
        </w:rPr>
      </w:pPr>
    </w:p>
    <w:p>
      <w:pPr>
        <w:ind w:left="444"/>
        <w:spacing w:after="0"/>
        <w:rPr>
          <w:rFonts w:ascii="Arial" w:cs="Arial" w:eastAsia="Arial" w:hAnsi="Arial"/>
          <w:sz w:val="16"/>
          <w:szCs w:val="16"/>
          <w:i w:val="1"/>
          <w:iCs w:val="1"/>
          <w:color w:val="auto"/>
        </w:rPr>
      </w:pPr>
      <w:r>
        <w:rPr>
          <w:rFonts w:ascii="Arial" w:cs="Arial" w:eastAsia="Arial" w:hAnsi="Arial"/>
          <w:sz w:val="16"/>
          <w:szCs w:val="16"/>
          <w:b w:val="1"/>
          <w:bCs w:val="1"/>
          <w:color w:val="auto"/>
        </w:rPr>
        <w:t>Response</w:t>
      </w:r>
      <w:r>
        <w:rPr>
          <w:rFonts w:ascii="Arial" w:cs="Arial" w:eastAsia="Arial" w:hAnsi="Arial"/>
          <w:sz w:val="16"/>
          <w:szCs w:val="16"/>
          <w:color w:val="auto"/>
        </w:rPr>
        <w:t>: In response to the Staff’s comment, the Company has revised the disclosure on pages 137, F-24 and F-25 of the Amendment No. 1.</w:t>
      </w:r>
    </w:p>
    <w:p>
      <w:pPr>
        <w:spacing w:after="0" w:line="252" w:lineRule="exact"/>
        <w:rPr>
          <w:sz w:val="24"/>
          <w:szCs w:val="24"/>
          <w:color w:val="auto"/>
        </w:rPr>
      </w:pPr>
    </w:p>
    <w:p>
      <w:pPr>
        <w:jc w:val="center"/>
        <w:ind w:right="-3"/>
        <w:spacing w:after="0"/>
        <w:rPr>
          <w:sz w:val="20"/>
          <w:szCs w:val="20"/>
          <w:color w:val="auto"/>
        </w:rPr>
      </w:pPr>
      <w:r>
        <w:rPr>
          <w:rFonts w:ascii="Arial" w:cs="Arial" w:eastAsia="Arial" w:hAnsi="Arial"/>
          <w:sz w:val="18"/>
          <w:szCs w:val="18"/>
          <w:color w:val="auto"/>
        </w:rPr>
        <w:t>Cooley LLP 3175 Hanover Street Palo Alto, CA 94304-1130</w:t>
      </w:r>
    </w:p>
    <w:p>
      <w:pPr>
        <w:spacing w:after="0" w:line="23" w:lineRule="exact"/>
        <w:rPr>
          <w:sz w:val="24"/>
          <w:szCs w:val="24"/>
          <w:color w:val="auto"/>
        </w:rPr>
      </w:pPr>
    </w:p>
    <w:p>
      <w:pPr>
        <w:jc w:val="center"/>
        <w:ind w:right="-3"/>
        <w:spacing w:after="0"/>
        <w:rPr>
          <w:sz w:val="20"/>
          <w:szCs w:val="20"/>
          <w:color w:val="auto"/>
        </w:rPr>
      </w:pPr>
      <w:r>
        <w:rPr>
          <w:rFonts w:ascii="Arial" w:cs="Arial" w:eastAsia="Arial" w:hAnsi="Arial"/>
          <w:sz w:val="18"/>
          <w:szCs w:val="18"/>
          <w:color w:val="auto"/>
        </w:rPr>
        <w:t>t: (650) 843-5000 f: (650) 849-7400 cooley.com</w:t>
      </w:r>
    </w:p>
    <w:p>
      <w:pPr>
        <w:sectPr>
          <w:pgSz w:w="11900" w:h="16838" w:orient="portrait"/>
          <w:cols w:equalWidth="0" w:num="1">
            <w:col w:w="11004"/>
          </w:cols>
          <w:pgMar w:left="436" w:top="1043" w:right="459" w:bottom="1440" w:gutter="0" w:footer="0" w:header="0"/>
        </w:sectPr>
      </w:pPr>
    </w:p>
    <w:bookmarkStart w:id="1" w:name="page2"/>
    <w:bookmarkEnd w:id="1"/>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9465" cy="260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1165860" cy="377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1165860" cy="377190"/>
                    </a:xfrm>
                    <a:prstGeom prst="rect">
                      <a:avLst/>
                    </a:prstGeom>
                    <a:noFill/>
                  </pic:spPr>
                </pic:pic>
              </a:graphicData>
            </a:graphic>
          </wp:anchor>
        </w:drawing>
        <w:t>U.S. Securities and Exchange Commission</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March 25, 2019</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Page Two</w:t>
      </w:r>
    </w:p>
    <w:p>
      <w:pPr>
        <w:spacing w:after="0" w:line="143" w:lineRule="exact"/>
        <w:rPr>
          <w:sz w:val="20"/>
          <w:szCs w:val="20"/>
          <w:color w:val="auto"/>
        </w:rPr>
      </w:pPr>
    </w:p>
    <w:p>
      <w:pPr>
        <w:ind w:left="424" w:right="100" w:hanging="424"/>
        <w:spacing w:after="0" w:line="263" w:lineRule="auto"/>
        <w:tabs>
          <w:tab w:leader="none" w:pos="424"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Refer to your response to our prior comment 2. As previously requested in our comment, please provide in your disclosure a break out of the aggregate clinical development milestones of $77.7 million by indication (i.e. first indication, second indication and third indication) for each of the three geographic areas (i.e. United States, European Union and Japan).</w:t>
      </w:r>
    </w:p>
    <w:p>
      <w:pPr>
        <w:spacing w:after="0" w:line="71" w:lineRule="exact"/>
        <w:rPr>
          <w:rFonts w:ascii="Arial" w:cs="Arial" w:eastAsia="Arial" w:hAnsi="Arial"/>
          <w:sz w:val="18"/>
          <w:szCs w:val="18"/>
          <w:i w:val="1"/>
          <w:iCs w:val="1"/>
          <w:color w:val="auto"/>
        </w:rPr>
      </w:pPr>
    </w:p>
    <w:p>
      <w:pPr>
        <w:ind w:left="444" w:right="120"/>
        <w:spacing w:after="0" w:line="266" w:lineRule="auto"/>
        <w:rPr>
          <w:rFonts w:ascii="Arial" w:cs="Arial" w:eastAsia="Arial" w:hAnsi="Arial"/>
          <w:sz w:val="18"/>
          <w:szCs w:val="18"/>
          <w:i w:val="1"/>
          <w:iCs w:val="1"/>
          <w:color w:val="auto"/>
        </w:rPr>
      </w:pPr>
      <w:r>
        <w:rPr>
          <w:rFonts w:ascii="Arial" w:cs="Arial" w:eastAsia="Arial" w:hAnsi="Arial"/>
          <w:sz w:val="18"/>
          <w:szCs w:val="18"/>
          <w:b w:val="1"/>
          <w:bCs w:val="1"/>
          <w:color w:val="auto"/>
        </w:rPr>
        <w:t>Response</w:t>
      </w:r>
      <w:r>
        <w:rPr>
          <w:rFonts w:ascii="Arial" w:cs="Arial" w:eastAsia="Arial" w:hAnsi="Arial"/>
          <w:sz w:val="18"/>
          <w:szCs w:val="18"/>
          <w:color w:val="auto"/>
        </w:rPr>
        <w:t>: In response to the Staff’s comment, the Company has revised the disclosure on pages 140 and F-27 of the Amendment No. 1.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advises the Staff that there are not separate milestone payments in each of the three geographic areas upon the achievement of clinical development milestones.</w:t>
      </w:r>
    </w:p>
    <w:p>
      <w:pPr>
        <w:spacing w:after="0" w:line="179" w:lineRule="exact"/>
        <w:rPr>
          <w:rFonts w:ascii="Arial" w:cs="Arial" w:eastAsia="Arial" w:hAnsi="Arial"/>
          <w:sz w:val="18"/>
          <w:szCs w:val="18"/>
          <w:i w:val="1"/>
          <w:iCs w:val="1"/>
          <w:color w:val="auto"/>
        </w:rPr>
      </w:pPr>
    </w:p>
    <w:p>
      <w:pPr>
        <w:ind w:left="4984"/>
        <w:spacing w:after="0"/>
        <w:rPr>
          <w:rFonts w:ascii="Arial" w:cs="Arial" w:eastAsia="Arial" w:hAnsi="Arial"/>
          <w:sz w:val="18"/>
          <w:szCs w:val="18"/>
          <w:i w:val="1"/>
          <w:iCs w:val="1"/>
          <w:color w:val="auto"/>
        </w:rPr>
      </w:pPr>
      <w:r>
        <w:rPr>
          <w:rFonts w:ascii="Arial" w:cs="Arial" w:eastAsia="Arial" w:hAnsi="Arial"/>
          <w:sz w:val="18"/>
          <w:szCs w:val="18"/>
          <w:color w:val="auto"/>
        </w:rPr>
        <w:t>***</w:t>
      </w:r>
    </w:p>
    <w:p>
      <w:pPr>
        <w:spacing w:after="0" w:line="225" w:lineRule="exact"/>
        <w:rPr>
          <w:sz w:val="20"/>
          <w:szCs w:val="20"/>
          <w:color w:val="auto"/>
        </w:rPr>
      </w:pPr>
    </w:p>
    <w:p>
      <w:pPr>
        <w:ind w:left="4"/>
        <w:spacing w:after="0" w:line="277" w:lineRule="auto"/>
        <w:rPr>
          <w:sz w:val="20"/>
          <w:szCs w:val="20"/>
          <w:color w:val="auto"/>
        </w:rPr>
      </w:pPr>
      <w:r>
        <w:rPr>
          <w:rFonts w:ascii="Arial" w:cs="Arial" w:eastAsia="Arial" w:hAnsi="Arial"/>
          <w:sz w:val="18"/>
          <w:szCs w:val="18"/>
          <w:color w:val="auto"/>
        </w:rPr>
        <w:t>Please contact me at (650) 843-5865, Kenneth Guernsey of Cooley LLP at (415) 693-2091 or Michael Tenta of Cooley LLP at (650) 843-5636 with any questions or further comments regarding our responses to the Staff’s comments.</w:t>
      </w:r>
    </w:p>
    <w:p>
      <w:pPr>
        <w:spacing w:after="0" w:line="197" w:lineRule="exact"/>
        <w:rPr>
          <w:sz w:val="20"/>
          <w:szCs w:val="20"/>
          <w:color w:val="auto"/>
        </w:rPr>
      </w:pPr>
    </w:p>
    <w:p>
      <w:pPr>
        <w:ind w:left="4"/>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/s/ Carlton Fleming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27946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3" w:lineRule="exact"/>
        <w:rPr>
          <w:sz w:val="20"/>
          <w:szCs w:val="20"/>
          <w:color w:val="auto"/>
        </w:rPr>
      </w:pPr>
    </w:p>
    <w:p>
      <w:pPr>
        <w:ind w:left="4"/>
        <w:spacing w:after="0"/>
        <w:rPr>
          <w:sz w:val="20"/>
          <w:szCs w:val="20"/>
          <w:color w:val="auto"/>
        </w:rPr>
      </w:pPr>
      <w:r>
        <w:rPr>
          <w:rFonts w:ascii="Arial" w:cs="Arial" w:eastAsia="Arial" w:hAnsi="Arial"/>
          <w:sz w:val="18"/>
          <w:szCs w:val="18"/>
          <w:color w:val="auto"/>
        </w:rPr>
        <w:t>Carlton Fleming</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Cooley LLP</w:t>
      </w:r>
    </w:p>
    <w:p>
      <w:pPr>
        <w:spacing w:after="0" w:line="251" w:lineRule="exact"/>
        <w:rPr>
          <w:sz w:val="20"/>
          <w:szCs w:val="20"/>
          <w:color w:val="auto"/>
        </w:rPr>
      </w:pPr>
    </w:p>
    <w:p>
      <w:pPr>
        <w:ind w:left="424" w:right="6340" w:hanging="424"/>
        <w:spacing w:after="0" w:line="274" w:lineRule="auto"/>
        <w:tabs>
          <w:tab w:leader="none" w:pos="424" w:val="left"/>
        </w:tabs>
        <w:numPr>
          <w:ilvl w:val="0"/>
          <w:numId w:val="4"/>
        </w:numPr>
        <w:rPr>
          <w:rFonts w:ascii="Arial" w:cs="Arial" w:eastAsia="Arial" w:hAnsi="Arial"/>
          <w:sz w:val="17"/>
          <w:szCs w:val="17"/>
          <w:color w:val="auto"/>
        </w:rPr>
      </w:pPr>
      <w:r>
        <w:rPr>
          <w:rFonts w:ascii="Arial" w:cs="Arial" w:eastAsia="Arial" w:hAnsi="Arial"/>
          <w:sz w:val="17"/>
          <w:szCs w:val="17"/>
          <w:color w:val="auto"/>
        </w:rPr>
        <w:t>David Woodhouse, Ph.D., NGM Biopharmaceuticals, Inc. Kenneth Guernsey, Cooley LLP</w:t>
      </w:r>
    </w:p>
    <w:p>
      <w:pPr>
        <w:ind w:left="424"/>
        <w:spacing w:after="0"/>
        <w:rPr>
          <w:rFonts w:ascii="Arial" w:cs="Arial" w:eastAsia="Arial" w:hAnsi="Arial"/>
          <w:sz w:val="17"/>
          <w:szCs w:val="17"/>
          <w:color w:val="auto"/>
        </w:rPr>
      </w:pPr>
      <w:r>
        <w:rPr>
          <w:rFonts w:ascii="Arial" w:cs="Arial" w:eastAsia="Arial" w:hAnsi="Arial"/>
          <w:sz w:val="18"/>
          <w:szCs w:val="18"/>
          <w:color w:val="auto"/>
        </w:rPr>
        <w:t>Michael Tenta, Cooley LLP</w:t>
      </w:r>
    </w:p>
    <w:p>
      <w:pPr>
        <w:spacing w:after="0" w:line="9" w:lineRule="exact"/>
        <w:rPr>
          <w:rFonts w:ascii="Arial" w:cs="Arial" w:eastAsia="Arial" w:hAnsi="Arial"/>
          <w:sz w:val="17"/>
          <w:szCs w:val="17"/>
          <w:color w:val="auto"/>
        </w:rPr>
      </w:pPr>
    </w:p>
    <w:p>
      <w:pPr>
        <w:jc w:val="both"/>
        <w:ind w:left="424" w:right="7400"/>
        <w:spacing w:after="0" w:line="323" w:lineRule="auto"/>
        <w:rPr>
          <w:rFonts w:ascii="Arial" w:cs="Arial" w:eastAsia="Arial" w:hAnsi="Arial"/>
          <w:sz w:val="17"/>
          <w:szCs w:val="17"/>
          <w:color w:val="auto"/>
        </w:rPr>
      </w:pPr>
      <w:r>
        <w:rPr>
          <w:rFonts w:ascii="Arial" w:cs="Arial" w:eastAsia="Arial" w:hAnsi="Arial"/>
          <w:sz w:val="16"/>
          <w:szCs w:val="16"/>
          <w:color w:val="auto"/>
        </w:rPr>
        <w:t>Bruce Dallas, Davis Polk &amp; Wardwell LLP Sarah Solum, Davis Polk &amp; Wardwell LLP</w:t>
      </w:r>
    </w:p>
    <w:p>
      <w:pPr>
        <w:spacing w:after="0" w:line="138"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Cooley LLP 3175 Hanover Street Palo Alto, CA 94304-1130</w:t>
      </w:r>
    </w:p>
    <w:p>
      <w:pPr>
        <w:spacing w:after="0" w:line="23"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t: (650) 843-5000 f: (650) 849-7400 cooley.com</w:t>
      </w:r>
    </w:p>
    <w:sectPr>
      <w:pgSz w:w="11900" w:h="16838" w:orient="portrait"/>
      <w:cols w:equalWidth="0" w:num="1">
        <w:col w:w="10944"/>
      </w:cols>
      <w:pgMar w:left="436" w:top="976"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2"/>
    </w:lvl>
    <w:lvl w:ilvl="1">
      <w:lvlJc w:val="left"/>
      <w:lvlText w:val="*"/>
      <w:numFmt w:val="bullet"/>
      <w:start w:val="1"/>
    </w:lvl>
  </w:abstractNum>
  <w:abstractNum w:abstractNumId="3">
    <w:nsid w:val="625558EC"/>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2020-10-07T23:39:19Z</dcterms:created>
  <dcterms:modified xsi:type="dcterms:W3CDTF">2020-10-07T23:39:19Z</dcterms:modified>
</cp:coreProperties>
</file>