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20" w:right="20"/>
        <w:spacing w:after="0" w:line="255" w:lineRule="auto"/>
        <w:rPr>
          <w:sz w:val="20"/>
          <w:szCs w:val="20"/>
          <w:color w:val="auto"/>
        </w:rPr>
      </w:pPr>
      <w:r>
        <w:rPr>
          <w:rFonts w:ascii="Arial" w:cs="Arial" w:eastAsia="Arial" w:hAnsi="Arial"/>
          <w:sz w:val="14"/>
          <w:szCs w:val="14"/>
          <w:b w:val="1"/>
          <w:bCs w:val="1"/>
          <w:color w:val="auto"/>
        </w:rPr>
        <w:t>As confidentially submitted to the Securities and Exchange Commission on September 13, 2018. This draft registration statement has not been publicly filed with the Securities and Exchange Commission and all information herein remains strictly confidential.</w:t>
      </w: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9"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NGM BIOPHARMACEUTICALS, INC.</w:t>
      </w: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109220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2"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820" w:type="dxa"/>
            <w:vAlign w:val="bottom"/>
          </w:tcPr>
          <w:p>
            <w:pPr>
              <w:jc w:val="center"/>
              <w:ind w:right="74"/>
              <w:spacing w:after="0"/>
              <w:rPr>
                <w:sz w:val="20"/>
                <w:szCs w:val="20"/>
                <w:color w:val="auto"/>
              </w:rPr>
            </w:pPr>
            <w:r>
              <w:rPr>
                <w:rFonts w:ascii="Arial" w:cs="Arial" w:eastAsia="Arial" w:hAnsi="Arial"/>
                <w:sz w:val="14"/>
                <w:szCs w:val="14"/>
                <w:b w:val="1"/>
                <w:bCs w:val="1"/>
                <w:color w:val="auto"/>
              </w:rPr>
              <w:t>2834</w:t>
            </w:r>
          </w:p>
        </w:tc>
        <w:tc>
          <w:tcPr>
            <w:tcW w:w="2200" w:type="dxa"/>
            <w:vAlign w:val="bottom"/>
          </w:tcPr>
          <w:p>
            <w:pPr>
              <w:jc w:val="center"/>
              <w:ind w:left="1054"/>
              <w:spacing w:after="0"/>
              <w:rPr>
                <w:sz w:val="20"/>
                <w:szCs w:val="20"/>
                <w:color w:val="auto"/>
              </w:rPr>
            </w:pPr>
            <w:r>
              <w:rPr>
                <w:rFonts w:ascii="Arial" w:cs="Arial" w:eastAsia="Arial" w:hAnsi="Arial"/>
                <w:sz w:val="14"/>
                <w:szCs w:val="14"/>
                <w:b w:val="1"/>
                <w:bCs w:val="1"/>
                <w:color w:val="auto"/>
              </w:rPr>
              <w:t>26-1679911</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8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7"/>
              </w:rPr>
              <w:t>(Primary Standard Industrial</w:t>
            </w:r>
          </w:p>
        </w:tc>
        <w:tc>
          <w:tcPr>
            <w:tcW w:w="2200" w:type="dxa"/>
            <w:vAlign w:val="bottom"/>
          </w:tcPr>
          <w:p>
            <w:pPr>
              <w:jc w:val="center"/>
              <w:ind w:left="105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820" w:type="dxa"/>
            <w:vAlign w:val="bottom"/>
          </w:tcPr>
          <w:p>
            <w:pPr>
              <w:jc w:val="center"/>
              <w:ind w:right="74"/>
              <w:spacing w:after="0"/>
              <w:rPr>
                <w:sz w:val="20"/>
                <w:szCs w:val="20"/>
                <w:color w:val="auto"/>
              </w:rPr>
            </w:pPr>
            <w:r>
              <w:rPr>
                <w:rFonts w:ascii="Arial" w:cs="Arial" w:eastAsia="Arial" w:hAnsi="Arial"/>
                <w:sz w:val="13"/>
                <w:szCs w:val="13"/>
                <w:b w:val="1"/>
                <w:bCs w:val="1"/>
                <w:color w:val="auto"/>
                <w:w w:val="96"/>
              </w:rPr>
              <w:t>Classification Code Number)</w:t>
            </w:r>
          </w:p>
        </w:tc>
        <w:tc>
          <w:tcPr>
            <w:tcW w:w="2200" w:type="dxa"/>
            <w:vAlign w:val="bottom"/>
          </w:tcPr>
          <w:p>
            <w:pPr>
              <w:jc w:val="center"/>
              <w:ind w:left="1074"/>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South San Francisco, CA 94080</w:t>
      </w:r>
    </w:p>
    <w:p>
      <w:pPr>
        <w:jc w:val="center"/>
        <w:ind w:right="-179"/>
        <w:spacing w:after="0" w:line="227" w:lineRule="auto"/>
        <w:rPr>
          <w:sz w:val="20"/>
          <w:szCs w:val="20"/>
          <w:color w:val="auto"/>
        </w:rPr>
      </w:pPr>
      <w:r>
        <w:rPr>
          <w:rFonts w:ascii="Arial" w:cs="Arial" w:eastAsia="Arial" w:hAnsi="Arial"/>
          <w:sz w:val="14"/>
          <w:szCs w:val="14"/>
          <w:b w:val="1"/>
          <w:bCs w:val="1"/>
          <w:color w:val="auto"/>
        </w:rPr>
        <w:t>(650) 243-5555</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106045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David J. Woodhouse, Ph.D.</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Chief Executive Officer and Acting Chief Financial Officer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NGM Biopharmaceuticals, Inc.</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333 Oyster Point Boulevard</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South San Francisco, CA 94080</w:t>
      </w:r>
    </w:p>
    <w:p>
      <w:pPr>
        <w:jc w:val="center"/>
        <w:ind w:right="-179"/>
        <w:spacing w:after="0" w:line="227" w:lineRule="auto"/>
        <w:rPr>
          <w:sz w:val="20"/>
          <w:szCs w:val="20"/>
          <w:color w:val="auto"/>
        </w:rPr>
      </w:pPr>
      <w:r>
        <w:rPr>
          <w:rFonts w:ascii="Arial" w:cs="Arial" w:eastAsia="Arial" w:hAnsi="Arial"/>
          <w:sz w:val="14"/>
          <w:szCs w:val="14"/>
          <w:b w:val="1"/>
          <w:bCs w:val="1"/>
          <w:color w:val="auto"/>
        </w:rPr>
        <w:t>(650) 243-5555</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114935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7" w:lineRule="exact"/>
        <w:rPr>
          <w:sz w:val="24"/>
          <w:szCs w:val="24"/>
          <w:color w:val="auto"/>
        </w:rPr>
      </w:pPr>
    </w:p>
    <w:tbl>
      <w:tblPr>
        <w:tblLayout w:type="fixed"/>
        <w:tblInd w:w="2240" w:type="dxa"/>
        <w:tblCellMar>
          <w:top w:w="0" w:type="dxa"/>
          <w:left w:w="0" w:type="dxa"/>
          <w:bottom w:w="0" w:type="dxa"/>
          <w:right w:w="0" w:type="dxa"/>
        </w:tblCellMar>
      </w:tblPr>
      <w:tr>
        <w:trPr>
          <w:trHeight w:val="188"/>
        </w:trPr>
        <w:tc>
          <w:tcPr>
            <w:tcW w:w="2320" w:type="dxa"/>
            <w:vAlign w:val="bottom"/>
          </w:tcPr>
          <w:p>
            <w:pPr>
              <w:spacing w:after="0"/>
              <w:rPr>
                <w:sz w:val="16"/>
                <w:szCs w:val="16"/>
                <w:color w:val="auto"/>
              </w:rPr>
            </w:pPr>
          </w:p>
        </w:tc>
        <w:tc>
          <w:tcPr>
            <w:tcW w:w="492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320" w:type="dxa"/>
            <w:vAlign w:val="bottom"/>
          </w:tcPr>
          <w:p>
            <w:pPr>
              <w:jc w:val="center"/>
              <w:ind w:right="768"/>
              <w:spacing w:after="0"/>
              <w:rPr>
                <w:sz w:val="20"/>
                <w:szCs w:val="20"/>
                <w:color w:val="auto"/>
              </w:rPr>
            </w:pPr>
            <w:r>
              <w:rPr>
                <w:rFonts w:ascii="Arial" w:cs="Arial" w:eastAsia="Arial" w:hAnsi="Arial"/>
                <w:sz w:val="14"/>
                <w:szCs w:val="14"/>
                <w:b w:val="1"/>
                <w:bCs w:val="1"/>
                <w:color w:val="auto"/>
              </w:rPr>
              <w:t>Kenneth L. Guernsey</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Bruce K. Dallas</w:t>
            </w:r>
          </w:p>
        </w:tc>
      </w:tr>
      <w:tr>
        <w:trPr>
          <w:trHeight w:val="162"/>
        </w:trPr>
        <w:tc>
          <w:tcPr>
            <w:tcW w:w="2320" w:type="dxa"/>
            <w:vAlign w:val="bottom"/>
          </w:tcPr>
          <w:p>
            <w:pPr>
              <w:jc w:val="center"/>
              <w:ind w:right="768"/>
              <w:spacing w:after="0"/>
              <w:rPr>
                <w:sz w:val="20"/>
                <w:szCs w:val="20"/>
                <w:color w:val="auto"/>
              </w:rPr>
            </w:pPr>
            <w:r>
              <w:rPr>
                <w:rFonts w:ascii="Arial" w:cs="Arial" w:eastAsia="Arial" w:hAnsi="Arial"/>
                <w:sz w:val="14"/>
                <w:szCs w:val="14"/>
                <w:b w:val="1"/>
                <w:bCs w:val="1"/>
                <w:color w:val="auto"/>
              </w:rPr>
              <w:t>Michael E. Tenta</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Sarah K. Solum</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J. Carlton Fleming</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Davis Polk &amp; Wardwell LLP</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Cooley LLP</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1600 El Camino Real</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3175 Hanover Street</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Menlo Park, CA 94025</w:t>
            </w:r>
          </w:p>
        </w:tc>
      </w:tr>
      <w:tr>
        <w:trPr>
          <w:trHeight w:val="162"/>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Palo Alto, CA 94304</w:t>
            </w:r>
          </w:p>
        </w:tc>
        <w:tc>
          <w:tcPr>
            <w:tcW w:w="4920" w:type="dxa"/>
            <w:vAlign w:val="bottom"/>
          </w:tcPr>
          <w:p>
            <w:pPr>
              <w:jc w:val="center"/>
              <w:ind w:left="2988"/>
              <w:spacing w:after="0"/>
              <w:rPr>
                <w:sz w:val="20"/>
                <w:szCs w:val="20"/>
                <w:color w:val="auto"/>
              </w:rPr>
            </w:pPr>
            <w:r>
              <w:rPr>
                <w:rFonts w:ascii="Arial" w:cs="Arial" w:eastAsia="Arial" w:hAnsi="Arial"/>
                <w:sz w:val="14"/>
                <w:szCs w:val="14"/>
                <w:b w:val="1"/>
                <w:bCs w:val="1"/>
                <w:color w:val="auto"/>
              </w:rPr>
              <w:t>Phone: (650) 752-2000</w:t>
            </w:r>
          </w:p>
        </w:tc>
      </w:tr>
      <w:tr>
        <w:trPr>
          <w:trHeight w:val="190"/>
        </w:trPr>
        <w:tc>
          <w:tcPr>
            <w:tcW w:w="2320" w:type="dxa"/>
            <w:vAlign w:val="bottom"/>
          </w:tcPr>
          <w:p>
            <w:pPr>
              <w:jc w:val="center"/>
              <w:ind w:right="748"/>
              <w:spacing w:after="0"/>
              <w:rPr>
                <w:sz w:val="20"/>
                <w:szCs w:val="20"/>
                <w:color w:val="auto"/>
              </w:rPr>
            </w:pPr>
            <w:r>
              <w:rPr>
                <w:rFonts w:ascii="Arial" w:cs="Arial" w:eastAsia="Arial" w:hAnsi="Arial"/>
                <w:sz w:val="14"/>
                <w:szCs w:val="14"/>
                <w:b w:val="1"/>
                <w:bCs w:val="1"/>
                <w:color w:val="auto"/>
              </w:rPr>
              <w:t>Phone: (650) 843-5000</w:t>
            </w:r>
          </w:p>
        </w:tc>
        <w:tc>
          <w:tcPr>
            <w:tcW w:w="4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110490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76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200" w:right="60" w:firstLine="551"/>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520" w:firstLine="55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42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400" w:firstLine="55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340" w:firstLine="551"/>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3940" w:type="dxa"/>
            <w:vAlign w:val="bottom"/>
          </w:tcPr>
          <w:p>
            <w:pPr>
              <w:ind w:left="210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40" w:type="dxa"/>
            <w:vAlign w:val="bottom"/>
          </w:tcPr>
          <w:p>
            <w:pPr>
              <w:ind w:left="210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940" w:type="dxa"/>
            <w:vAlign w:val="bottom"/>
          </w:tcPr>
          <w:p>
            <w:pPr>
              <w:ind w:left="210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200" w:right="120" w:firstLine="551"/>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100330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8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4"/>
        </w:trPr>
        <w:tc>
          <w:tcPr>
            <w:tcW w:w="20" w:type="dxa"/>
            <w:vAlign w:val="bottom"/>
          </w:tcPr>
          <w:p>
            <w:pPr>
              <w:spacing w:after="0"/>
              <w:rPr>
                <w:sz w:val="8"/>
                <w:szCs w:val="8"/>
                <w:color w:val="auto"/>
              </w:rPr>
            </w:pPr>
          </w:p>
        </w:tc>
        <w:tc>
          <w:tcPr>
            <w:tcW w:w="784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9"/>
                <w:szCs w:val="9"/>
                <w:b w:val="1"/>
                <w:bCs w:val="1"/>
                <w:color w:val="auto"/>
              </w:rPr>
              <w:t>Proposed</w:t>
            </w:r>
          </w:p>
        </w:tc>
        <w:tc>
          <w:tcPr>
            <w:tcW w:w="15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8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Maximum</w:t>
            </w:r>
          </w:p>
        </w:tc>
        <w:tc>
          <w:tcPr>
            <w:tcW w:w="15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78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7"/>
              </w:rPr>
              <w:t>Title of Each Class of</w:t>
            </w:r>
          </w:p>
        </w:tc>
        <w:tc>
          <w:tcPr>
            <w:tcW w:w="166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6"/>
              </w:rPr>
              <w:t>Aggregate</w:t>
            </w: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Amount of</w:t>
            </w:r>
          </w:p>
        </w:tc>
      </w:tr>
      <w:tr>
        <w:trPr>
          <w:trHeight w:val="162"/>
        </w:trPr>
        <w:tc>
          <w:tcPr>
            <w:tcW w:w="20" w:type="dxa"/>
            <w:vAlign w:val="bottom"/>
          </w:tcPr>
          <w:p>
            <w:pPr>
              <w:spacing w:after="0"/>
              <w:rPr>
                <w:sz w:val="14"/>
                <w:szCs w:val="14"/>
                <w:color w:val="auto"/>
              </w:rPr>
            </w:pPr>
          </w:p>
        </w:tc>
        <w:tc>
          <w:tcPr>
            <w:tcW w:w="7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Offering Price(1)(2)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Registration Fee</w:t>
            </w:r>
          </w:p>
        </w:tc>
      </w:tr>
      <w:tr>
        <w:trPr>
          <w:trHeight w:val="156"/>
        </w:trPr>
        <w:tc>
          <w:tcPr>
            <w:tcW w:w="786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Common Stock, $0.001 par value per share</w:t>
            </w:r>
          </w:p>
        </w:tc>
        <w:tc>
          <w:tcPr>
            <w:tcW w:w="166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740" w:hanging="536"/>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4"/>
          <w:szCs w:val="14"/>
          <w:color w:val="auto"/>
        </w:rPr>
      </w:pPr>
    </w:p>
    <w:p>
      <w:pPr>
        <w:ind w:left="740" w:hanging="536"/>
        <w:spacing w:after="0"/>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4"/>
          <w:szCs w:val="24"/>
          <w:color w:val="auto"/>
        </w:rPr>
      </w:pPr>
    </w:p>
    <w:p>
      <w:pPr>
        <w:ind w:left="200" w:right="160" w:firstLine="551"/>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43815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7" w:lineRule="exact"/>
        <w:rPr>
          <w:sz w:val="20"/>
          <w:szCs w:val="20"/>
          <w:color w:val="auto"/>
        </w:rPr>
      </w:pPr>
    </w:p>
    <w:tbl>
      <w:tblPr>
        <w:tblLayout w:type="fixed"/>
        <w:tblInd w:w="3920" w:type="dxa"/>
        <w:tblCellMar>
          <w:top w:w="0" w:type="dxa"/>
          <w:left w:w="0" w:type="dxa"/>
          <w:bottom w:w="0" w:type="dxa"/>
          <w:right w:w="0" w:type="dxa"/>
        </w:tblCellMar>
      </w:tblPr>
      <w:tr>
        <w:trPr>
          <w:trHeight w:val="217"/>
        </w:trPr>
        <w:tc>
          <w:tcPr>
            <w:tcW w:w="270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DE1A1E"/>
              </w:rPr>
              <w:t>, 2018</w:t>
            </w:r>
          </w:p>
        </w:tc>
      </w:tr>
    </w:tbl>
    <w:p>
      <w:pPr>
        <w:spacing w:after="0" w:line="96" w:lineRule="exact"/>
        <w:rPr>
          <w:sz w:val="20"/>
          <w:szCs w:val="20"/>
          <w:color w:val="auto"/>
        </w:rPr>
      </w:pPr>
    </w:p>
    <w:p>
      <w:pPr>
        <w:ind w:left="57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159385</wp:posOffset>
            </wp:positionV>
            <wp:extent cx="2272665" cy="1243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219710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760"/>
        <w:spacing w:after="0"/>
        <w:tabs>
          <w:tab w:leader="none" w:pos="9660" w:val="left"/>
        </w:tabs>
        <w:rPr>
          <w:sz w:val="20"/>
          <w:szCs w:val="20"/>
          <w:color w:val="auto"/>
        </w:rPr>
      </w:pPr>
      <w:r>
        <w:rPr>
          <w:rFonts w:ascii="Arial" w:cs="Arial" w:eastAsia="Arial" w:hAnsi="Arial"/>
          <w:sz w:val="18"/>
          <w:szCs w:val="18"/>
          <w:color w:val="auto"/>
        </w:rPr>
        <w:t>This is an initial public offering of shares of common stock of NGM Biopharmaceuticals, Inc. All of the</w:t>
      </w:r>
      <w:r>
        <w:rPr>
          <w:sz w:val="20"/>
          <w:szCs w:val="20"/>
          <w:color w:val="auto"/>
        </w:rPr>
        <w:tab/>
      </w:r>
      <w:r>
        <w:rPr>
          <w:rFonts w:ascii="Arial" w:cs="Arial" w:eastAsia="Arial" w:hAnsi="Arial"/>
          <w:sz w:val="17"/>
          <w:szCs w:val="17"/>
          <w:color w:val="auto"/>
        </w:rPr>
        <w:t>shares of common</w:t>
      </w:r>
    </w:p>
    <w:p>
      <w:pPr>
        <w:ind w:left="200"/>
        <w:spacing w:after="0"/>
        <w:rPr>
          <w:sz w:val="20"/>
          <w:szCs w:val="20"/>
          <w:color w:val="auto"/>
        </w:rPr>
      </w:pPr>
      <w:r>
        <w:rPr>
          <w:rFonts w:ascii="Arial" w:cs="Arial" w:eastAsia="Arial" w:hAnsi="Arial"/>
          <w:sz w:val="18"/>
          <w:szCs w:val="18"/>
          <w:color w:val="auto"/>
        </w:rPr>
        <w:t>stock are being sold by us.</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w:t>
      </w:r>
    </w:p>
    <w:p>
      <w:pPr>
        <w:ind w:left="200"/>
        <w:spacing w:after="0"/>
        <w:tabs>
          <w:tab w:leader="none" w:pos="3660" w:val="left"/>
          <w:tab w:leader="none" w:pos="4920" w:val="left"/>
        </w:tabs>
        <w:rPr>
          <w:sz w:val="20"/>
          <w:szCs w:val="20"/>
          <w:color w:val="auto"/>
        </w:rPr>
      </w:pPr>
      <w:r>
        <w:rPr>
          <w:rFonts w:ascii="Arial" w:cs="Arial" w:eastAsia="Arial" w:hAnsi="Arial"/>
          <w:sz w:val="18"/>
          <w:szCs w:val="18"/>
          <w:color w:val="auto"/>
        </w:rPr>
        <w:t>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4"/>
          <w:szCs w:val="14"/>
          <w:color w:val="auto"/>
        </w:rPr>
        <w: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list our common stock on the Nasdaq Global Market under the symbol “NGM.”</w:t>
      </w:r>
    </w:p>
    <w:p>
      <w:pPr>
        <w:spacing w:after="0" w:line="171"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w:t>
      </w:r>
    </w:p>
    <w:p>
      <w:pPr>
        <w:spacing w:after="0" w:line="138" w:lineRule="exact"/>
        <w:rPr>
          <w:sz w:val="20"/>
          <w:szCs w:val="20"/>
          <w:color w:val="auto"/>
        </w:rPr>
      </w:pPr>
    </w:p>
    <w:p>
      <w:pPr>
        <w:ind w:left="200" w:right="200" w:firstLine="551"/>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See “</w:t>
      </w:r>
      <w:hyperlink w:anchor="page14">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beginning on page 11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191135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200" w:right="60" w:firstLine="551"/>
        <w:spacing w:after="0" w:line="302"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3580" w:type="dxa"/>
            <w:vAlign w:val="bottom"/>
            <w:gridSpan w:val="2"/>
          </w:tcPr>
          <w:p>
            <w:pPr>
              <w:ind w:left="27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3580" w:type="dxa"/>
            <w:vAlign w:val="bottom"/>
            <w:gridSpan w:val="2"/>
            <w:shd w:val="clear" w:color="auto" w:fill="CCEEFF"/>
          </w:tcPr>
          <w:p>
            <w:pPr>
              <w:ind w:left="27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121" w:lineRule="exact"/>
        <w:rPr>
          <w:sz w:val="20"/>
          <w:szCs w:val="20"/>
          <w:color w:val="auto"/>
        </w:rPr>
      </w:pPr>
    </w:p>
    <w:p>
      <w:pPr>
        <w:ind w:left="740" w:hanging="536"/>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beginning on page 201 for additional information regarding total underwriting compensation.</w:t>
      </w:r>
    </w:p>
    <w:p>
      <w:pPr>
        <w:spacing w:after="0" w:line="167" w:lineRule="exact"/>
        <w:rPr>
          <w:sz w:val="20"/>
          <w:szCs w:val="20"/>
          <w:color w:val="auto"/>
        </w:rPr>
      </w:pPr>
    </w:p>
    <w:p>
      <w:pPr>
        <w:ind w:left="760"/>
        <w:spacing w:after="0"/>
        <w:tabs>
          <w:tab w:leader="none" w:pos="764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7"/>
          <w:szCs w:val="17"/>
          <w:color w:val="auto"/>
        </w:rPr>
        <w:t>shares at the initial public offering price less</w:t>
      </w:r>
    </w:p>
    <w:p>
      <w:pPr>
        <w:ind w:left="200"/>
        <w:spacing w:after="0"/>
        <w:rPr>
          <w:sz w:val="20"/>
          <w:szCs w:val="20"/>
          <w:color w:val="auto"/>
        </w:rPr>
      </w:pPr>
      <w:r>
        <w:rPr>
          <w:rFonts w:ascii="Arial" w:cs="Arial" w:eastAsia="Arial" w:hAnsi="Arial"/>
          <w:sz w:val="18"/>
          <w:szCs w:val="18"/>
          <w:color w:val="auto"/>
        </w:rPr>
        <w:t>the underwriting discounts and commissions.</w:t>
      </w:r>
    </w:p>
    <w:p>
      <w:pPr>
        <w:spacing w:after="0" w:line="185" w:lineRule="exact"/>
        <w:rPr>
          <w:sz w:val="20"/>
          <w:szCs w:val="20"/>
          <w:color w:val="auto"/>
        </w:rPr>
      </w:pPr>
    </w:p>
    <w:p>
      <w:pPr>
        <w:ind w:left="200" w:right="180" w:firstLine="551"/>
        <w:spacing w:after="0" w:line="234" w:lineRule="auto"/>
        <w:rPr>
          <w:sz w:val="20"/>
          <w:szCs w:val="20"/>
          <w:color w:val="auto"/>
        </w:rPr>
      </w:pPr>
      <w:r>
        <w:rPr>
          <w:rFonts w:ascii="Arial" w:cs="Arial" w:eastAsia="Arial" w:hAnsi="Arial"/>
          <w:sz w:val="18"/>
          <w:szCs w:val="18"/>
          <w:color w:val="auto"/>
        </w:rPr>
        <w:t>Merck Sharp &amp; Dohme Corp.,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w:t>
      </w:r>
    </w:p>
    <w:p>
      <w:pPr>
        <w:ind w:left="200"/>
        <w:spacing w:after="0"/>
        <w:tabs>
          <w:tab w:leader="none" w:pos="7600" w:val="left"/>
        </w:tabs>
        <w:rPr>
          <w:sz w:val="20"/>
          <w:szCs w:val="20"/>
          <w:color w:val="auto"/>
        </w:rPr>
      </w:pPr>
      <w:r>
        <w:rPr>
          <w:rFonts w:ascii="Arial" w:cs="Arial" w:eastAsia="Arial" w:hAnsi="Arial"/>
          <w:sz w:val="18"/>
          <w:szCs w:val="18"/>
          <w:color w:val="auto"/>
        </w:rPr>
        <w:t>completion of this offering. Based upon an assumed initial public offering price of $</w:t>
      </w:r>
      <w:r>
        <w:rPr>
          <w:sz w:val="20"/>
          <w:szCs w:val="20"/>
          <w:color w:val="auto"/>
        </w:rPr>
        <w:tab/>
      </w:r>
      <w:r>
        <w:rPr>
          <w:rFonts w:ascii="Arial" w:cs="Arial" w:eastAsia="Arial" w:hAnsi="Arial"/>
          <w:sz w:val="17"/>
          <w:szCs w:val="17"/>
          <w:color w:val="auto"/>
        </w:rPr>
        <w:t>per share, which is the midpoint of the range</w:t>
      </w:r>
    </w:p>
    <w:p>
      <w:pPr>
        <w:ind w:left="200"/>
        <w:spacing w:after="0"/>
        <w:tabs>
          <w:tab w:leader="none" w:pos="6540" w:val="left"/>
        </w:tabs>
        <w:rPr>
          <w:sz w:val="20"/>
          <w:szCs w:val="20"/>
          <w:color w:val="auto"/>
        </w:rPr>
      </w:pPr>
      <w:r>
        <w:rPr>
          <w:rFonts w:ascii="Arial" w:cs="Arial" w:eastAsia="Arial" w:hAnsi="Arial"/>
          <w:sz w:val="18"/>
          <w:szCs w:val="18"/>
          <w:color w:val="auto"/>
        </w:rPr>
        <w:t>set forth on the cover page of this prospectus, Merck would purchase</w:t>
      </w:r>
      <w:r>
        <w:rPr>
          <w:sz w:val="20"/>
          <w:szCs w:val="20"/>
          <w:color w:val="auto"/>
        </w:rPr>
        <w:tab/>
      </w:r>
      <w:r>
        <w:rPr>
          <w:rFonts w:ascii="Arial" w:cs="Arial" w:eastAsia="Arial" w:hAnsi="Arial"/>
          <w:sz w:val="17"/>
          <w:szCs w:val="17"/>
          <w:color w:val="auto"/>
        </w:rPr>
        <w:t>shares of our common stock. The sale of such shares will</w:t>
      </w:r>
    </w:p>
    <w:p>
      <w:pPr>
        <w:ind w:left="200" w:right="240"/>
        <w:spacing w:after="0" w:line="246" w:lineRule="auto"/>
        <w:rPr>
          <w:sz w:val="20"/>
          <w:szCs w:val="20"/>
          <w:color w:val="auto"/>
        </w:rPr>
      </w:pPr>
      <w:r>
        <w:rPr>
          <w:rFonts w:ascii="Arial" w:cs="Arial" w:eastAsia="Arial" w:hAnsi="Arial"/>
          <w:sz w:val="18"/>
          <w:szCs w:val="18"/>
          <w:color w:val="auto"/>
        </w:rPr>
        <w:t>not be registered under the Securities Act of 1933, as amended. The completion of this offering is not contingent upon the completion of such concurrent private placement.</w:t>
      </w:r>
    </w:p>
    <w:p>
      <w:pPr>
        <w:spacing w:after="0" w:line="156" w:lineRule="exact"/>
        <w:rPr>
          <w:sz w:val="20"/>
          <w:szCs w:val="20"/>
          <w:color w:val="auto"/>
        </w:rPr>
      </w:pPr>
    </w:p>
    <w:p>
      <w:pPr>
        <w:ind w:left="7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7"/>
          <w:szCs w:val="17"/>
          <w:color w:val="auto"/>
        </w:rPr>
        <w:t>, 2018.</w:t>
      </w:r>
    </w:p>
    <w:p>
      <w:pPr>
        <w:spacing w:after="0" w:line="182" w:lineRule="exact"/>
        <w:rPr>
          <w:sz w:val="20"/>
          <w:szCs w:val="20"/>
          <w:color w:val="auto"/>
        </w:rPr>
      </w:pPr>
    </w:p>
    <w:p>
      <w:pPr>
        <w:ind w:left="200"/>
        <w:spacing w:after="0"/>
        <w:tabs>
          <w:tab w:leader="none" w:pos="6800" w:val="left"/>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Cowen</w:t>
      </w:r>
    </w:p>
    <w:p>
      <w:pPr>
        <w:sectPr>
          <w:pgSz w:w="11900" w:h="16838" w:orient="portrait"/>
          <w:cols w:equalWidth="0" w:num="1">
            <w:col w:w="11240"/>
          </w:cols>
          <w:pgMar w:left="240" w:top="459" w:right="419" w:bottom="1440" w:gutter="0" w:footer="0" w:header="0"/>
        </w:sectPr>
      </w:pPr>
    </w:p>
    <w:p>
      <w:pPr>
        <w:spacing w:after="0" w:line="215" w:lineRule="exact"/>
        <w:rPr>
          <w:sz w:val="20"/>
          <w:szCs w:val="20"/>
          <w:color w:val="auto"/>
        </w:rPr>
      </w:pPr>
    </w:p>
    <w:p>
      <w:pPr>
        <w:ind w:left="4340"/>
        <w:spacing w:after="0"/>
        <w:tabs>
          <w:tab w:leader="none" w:pos="656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2018</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0" w:type="dxa"/>
            <w:vAlign w:val="bottom"/>
            <w:gridSpan w:val="3"/>
          </w:tcPr>
          <w:p>
            <w:pPr>
              <w:ind w:left="140"/>
              <w:spacing w:after="0"/>
              <w:rPr>
                <w:sz w:val="20"/>
                <w:szCs w:val="20"/>
                <w:color w:val="auto"/>
              </w:rPr>
            </w:pPr>
            <w:r>
              <w:rPr>
                <w:rFonts w:ascii="Arial" w:cs="Arial" w:eastAsia="Arial" w:hAnsi="Arial"/>
                <w:sz w:val="18"/>
                <w:szCs w:val="18"/>
                <w:color w:val="auto"/>
              </w:rPr>
              <w:t>TABLE OF CONTENTS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062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0620" w:type="dxa"/>
            <w:vAlign w:val="bottom"/>
            <w:gridSpan w:val="24"/>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900" w:type="dxa"/>
            <w:vAlign w:val="bottom"/>
            <w:gridSpan w:val="1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Special Note Regarding Forward-Looking Statements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3"/>
        </w:trPr>
        <w:tc>
          <w:tcPr>
            <w:tcW w:w="42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Industry and Market Data</w:t>
              </w:r>
            </w:hyperlink>
          </w:p>
        </w:tc>
        <w:tc>
          <w:tcPr>
            <w:tcW w:w="6360" w:type="dxa"/>
            <w:vAlign w:val="bottom"/>
            <w:gridSpan w:val="4"/>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13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Use of Proceeds</w:t>
              </w:r>
            </w:hyperlink>
          </w:p>
        </w:tc>
        <w:tc>
          <w:tcPr>
            <w:tcW w:w="680" w:type="dxa"/>
            <w:vAlign w:val="bottom"/>
            <w:tcBorders>
              <w:top w:val="single" w:sz="8" w:color="0000EE"/>
            </w:tcBorders>
            <w:gridSpan w:val="3"/>
          </w:tcPr>
          <w:p>
            <w:pPr>
              <w:spacing w:after="0"/>
              <w:rPr>
                <w:sz w:val="15"/>
                <w:szCs w:val="15"/>
                <w:color w:val="auto"/>
              </w:rPr>
            </w:pPr>
          </w:p>
        </w:tc>
        <w:tc>
          <w:tcPr>
            <w:tcW w:w="8600" w:type="dxa"/>
            <w:vAlign w:val="bottom"/>
            <w:gridSpan w:val="11"/>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12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Dividend Policy</w:t>
              </w:r>
            </w:hyperlink>
          </w:p>
        </w:tc>
        <w:tc>
          <w:tcPr>
            <w:tcW w:w="9380" w:type="dxa"/>
            <w:vAlign w:val="bottom"/>
            <w:gridSpan w:val="1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Dilution</w:t>
              </w:r>
            </w:hyperlink>
          </w:p>
        </w:tc>
        <w:tc>
          <w:tcPr>
            <w:tcW w:w="9540" w:type="dxa"/>
            <w:vAlign w:val="bottom"/>
            <w:gridSpan w:val="17"/>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Selected Consolidated Financial Data</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96">
              <w:r>
                <w:rPr>
                  <w:rFonts w:ascii="Arial" w:cs="Arial" w:eastAsia="Arial" w:hAnsi="Arial"/>
                  <w:sz w:val="18"/>
                  <w:szCs w:val="18"/>
                  <w:color w:val="0000EE"/>
                  <w:w w:val="98"/>
                </w:rPr>
                <w:t>Business</w:t>
              </w:r>
            </w:hyperlink>
          </w:p>
        </w:tc>
        <w:tc>
          <w:tcPr>
            <w:tcW w:w="6340" w:type="dxa"/>
            <w:vAlign w:val="bottom"/>
            <w:tcBorders>
              <w:top w:val="single" w:sz="8" w:color="0000EE"/>
            </w:tcBorders>
            <w:gridSpan w:val="19"/>
          </w:tcPr>
          <w:p>
            <w:pPr>
              <w:spacing w:after="0"/>
              <w:rPr>
                <w:sz w:val="15"/>
                <w:szCs w:val="15"/>
                <w:color w:val="auto"/>
              </w:rPr>
            </w:pPr>
          </w:p>
        </w:tc>
        <w:tc>
          <w:tcPr>
            <w:tcW w:w="3540" w:type="dxa"/>
            <w:vAlign w:val="bottom"/>
            <w:gridSpan w:val="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64">
              <w:r>
                <w:rPr>
                  <w:rFonts w:ascii="Arial" w:cs="Arial" w:eastAsia="Arial" w:hAnsi="Arial"/>
                  <w:sz w:val="18"/>
                  <w:szCs w:val="18"/>
                  <w:color w:val="0000EE"/>
                  <w:w w:val="98"/>
                </w:rPr>
                <w:t>Management</w:t>
              </w:r>
            </w:hyperlink>
          </w:p>
        </w:tc>
        <w:tc>
          <w:tcPr>
            <w:tcW w:w="9560" w:type="dxa"/>
            <w:vAlign w:val="bottom"/>
            <w:gridSpan w:val="18"/>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72">
              <w:r>
                <w:rPr>
                  <w:rFonts w:ascii="Arial" w:cs="Arial" w:eastAsia="Arial" w:hAnsi="Arial"/>
                  <w:sz w:val="18"/>
                  <w:szCs w:val="18"/>
                  <w:color w:val="0000EE"/>
                </w:rPr>
                <w:t>Executive and Director Compensation</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85">
              <w:r>
                <w:rPr>
                  <w:rFonts w:ascii="Arial" w:cs="Arial" w:eastAsia="Arial" w:hAnsi="Arial"/>
                  <w:sz w:val="18"/>
                  <w:szCs w:val="18"/>
                  <w:color w:val="0000EE"/>
                </w:rPr>
                <w:t>Certain Relationships and Related Person Transactions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3"/>
        </w:trPr>
        <w:tc>
          <w:tcPr>
            <w:tcW w:w="44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Principal Stockholders</w:t>
              </w:r>
            </w:hyperlink>
          </w:p>
        </w:tc>
        <w:tc>
          <w:tcPr>
            <w:tcW w:w="620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91">
              <w:r>
                <w:rPr>
                  <w:rFonts w:ascii="Arial" w:cs="Arial" w:eastAsia="Arial" w:hAnsi="Arial"/>
                  <w:sz w:val="18"/>
                  <w:szCs w:val="18"/>
                  <w:color w:val="0000EE"/>
                  <w:w w:val="99"/>
                </w:rPr>
                <w:t>Description of Capital Stock</w:t>
              </w:r>
            </w:hyperlink>
          </w:p>
        </w:tc>
        <w:tc>
          <w:tcPr>
            <w:tcW w:w="8400" w:type="dxa"/>
            <w:vAlign w:val="bottom"/>
            <w:gridSpan w:val="10"/>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197">
              <w:r>
                <w:rPr>
                  <w:rFonts w:ascii="Arial" w:cs="Arial" w:eastAsia="Arial" w:hAnsi="Arial"/>
                  <w:sz w:val="18"/>
                  <w:szCs w:val="18"/>
                  <w:color w:val="0000EE"/>
                </w:rPr>
                <w:t>Shares Eligible for Future Sale</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20" w:type="dxa"/>
            <w:vAlign w:val="bottom"/>
            <w:gridSpan w:val="24"/>
          </w:tcPr>
          <w:p>
            <w:pPr>
              <w:spacing w:after="0" w:line="182" w:lineRule="exact"/>
              <w:rPr>
                <w:rFonts w:ascii="Arial" w:cs="Arial" w:eastAsia="Arial" w:hAnsi="Arial"/>
                <w:sz w:val="18"/>
                <w:szCs w:val="18"/>
                <w:color w:val="0000EE"/>
              </w:rPr>
            </w:pPr>
            <w:hyperlink w:anchor="page200">
              <w:r>
                <w:rPr>
                  <w:rFonts w:ascii="Arial" w:cs="Arial" w:eastAsia="Arial" w:hAnsi="Arial"/>
                  <w:sz w:val="18"/>
                  <w:szCs w:val="18"/>
                  <w:color w:val="0000EE"/>
                </w:rPr>
                <w:t>Material United States Federal Income Tax Consequences to Non-U.S. Holders of Our Common Stock</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04">
              <w:r>
                <w:rPr>
                  <w:rFonts w:ascii="Arial" w:cs="Arial" w:eastAsia="Arial" w:hAnsi="Arial"/>
                  <w:sz w:val="18"/>
                  <w:szCs w:val="18"/>
                  <w:color w:val="0000EE"/>
                  <w:w w:val="98"/>
                </w:rPr>
                <w:t>Underwriting</w:t>
              </w:r>
            </w:hyperlink>
          </w:p>
        </w:tc>
        <w:tc>
          <w:tcPr>
            <w:tcW w:w="7120" w:type="dxa"/>
            <w:vAlign w:val="bottom"/>
            <w:tcBorders>
              <w:top w:val="single" w:sz="8" w:color="0000EE"/>
            </w:tcBorders>
            <w:gridSpan w:val="18"/>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210">
              <w:r>
                <w:rPr>
                  <w:rFonts w:ascii="Arial" w:cs="Arial" w:eastAsia="Arial" w:hAnsi="Arial"/>
                  <w:sz w:val="18"/>
                  <w:szCs w:val="18"/>
                  <w:color w:val="0000EE"/>
                  <w:w w:val="98"/>
                </w:rPr>
                <w:t>Legal Matters</w:t>
              </w:r>
            </w:hyperlink>
          </w:p>
        </w:tc>
        <w:tc>
          <w:tcPr>
            <w:tcW w:w="9520" w:type="dxa"/>
            <w:vAlign w:val="bottom"/>
            <w:gridSpan w:val="1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10">
              <w:r>
                <w:rPr>
                  <w:rFonts w:ascii="Arial" w:cs="Arial" w:eastAsia="Arial" w:hAnsi="Arial"/>
                  <w:sz w:val="18"/>
                  <w:szCs w:val="18"/>
                  <w:color w:val="0000EE"/>
                  <w:w w:val="98"/>
                </w:rPr>
                <w:t>Experts</w:t>
              </w:r>
            </w:hyperlink>
          </w:p>
        </w:tc>
        <w:tc>
          <w:tcPr>
            <w:tcW w:w="10000" w:type="dxa"/>
            <w:vAlign w:val="bottom"/>
            <w:gridSpan w:val="22"/>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210">
              <w:r>
                <w:rPr>
                  <w:rFonts w:ascii="Arial" w:cs="Arial" w:eastAsia="Arial" w:hAnsi="Arial"/>
                  <w:sz w:val="18"/>
                  <w:szCs w:val="18"/>
                  <w:color w:val="0000EE"/>
                  <w:w w:val="98"/>
                </w:rPr>
                <w:t>Where You Can Find More Information</w:t>
              </w:r>
            </w:hyperlink>
          </w:p>
        </w:tc>
        <w:tc>
          <w:tcPr>
            <w:tcW w:w="7540" w:type="dxa"/>
            <w:vAlign w:val="bottom"/>
            <w:gridSpan w:val="6"/>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83"/>
        </w:trPr>
        <w:tc>
          <w:tcPr>
            <w:tcW w:w="34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11">
              <w:r>
                <w:rPr>
                  <w:rFonts w:ascii="Arial" w:cs="Arial" w:eastAsia="Arial" w:hAnsi="Arial"/>
                  <w:sz w:val="18"/>
                  <w:szCs w:val="18"/>
                  <w:color w:val="0000EE"/>
                  <w:w w:val="99"/>
                </w:rPr>
                <w:t>Index to Consolidated Financial Statements</w:t>
              </w:r>
            </w:hyperlink>
          </w:p>
        </w:tc>
        <w:tc>
          <w:tcPr>
            <w:tcW w:w="714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240030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We have not authorized anyone to provide you with any information other than the information contained in this prospectus or any free writing prospectus we have prepared. We take no responsibility for, and provide no assurance as to the reliability of, any other information that others may give you. This prospectus is an offer to sell only the shares offered hereby, but only in circumstances and in jurisdictions where it is lawful to so do. The information contained in this prospectus is accurate only as of its date, regardless of the time of delivery of this prospectus or of any sale of our common stock. Our business, financial condition, results of operations and prospects may have changed since that date.</w:t>
      </w:r>
    </w:p>
    <w:p>
      <w:pPr>
        <w:spacing w:after="0" w:line="205"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Neither we nor any of the underwriters have done anything that would permit this offering or possession or distribution of this prospectus in any jurisdiction where action for that purpose is required, other than the United States. You are required to inform yourself about, and to observe any restrictions relating to, this offering and the distribution of this prospectus.</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80" w:firstLine="533"/>
        <w:spacing w:after="0"/>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the sections titled “Risk Factors” and “Management’s Discussion and Analysis of Financial Condition and Results of Operations,” in each case included elsewhere in this prospectus. Unless otherwise stated, all references to “us,” “our,” “NGM,” “NGM Biopharmaceuticals,” “we,” the “Company” and similar designations refer to NGM Biopharmaceuticals, Inc. and its subsidiary.</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380" w:right="20" w:firstLine="533"/>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Collaboration with Merck</w:t>
      </w:r>
    </w:p>
    <w:p>
      <w:pPr>
        <w:spacing w:after="0" w:line="234" w:lineRule="exact"/>
        <w:rPr>
          <w:sz w:val="20"/>
          <w:szCs w:val="20"/>
          <w:color w:val="auto"/>
        </w:rPr>
      </w:pPr>
    </w:p>
    <w:p>
      <w:pPr>
        <w:ind w:left="380" w:right="40" w:firstLine="533"/>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differentiation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292"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4" w:lineRule="exact"/>
        <w:rPr>
          <w:sz w:val="20"/>
          <w:szCs w:val="20"/>
          <w:color w:val="auto"/>
        </w:rPr>
      </w:pPr>
    </w:p>
    <w:p>
      <w:pPr>
        <w:ind w:left="380" w:right="160" w:firstLine="533"/>
        <w:spacing w:after="0" w:line="246"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3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5385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approach based on many decades of collective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We then rapidly advance the program to evaluate the effect of these product candidates on biomarkers of disease or target activity in order to enable early demonstration of human proof of concept.</w:t>
      </w:r>
    </w:p>
    <w:p>
      <w:pPr>
        <w:spacing w:after="0" w:line="28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Our Development Programs</w:t>
      </w:r>
    </w:p>
    <w:p>
      <w:pPr>
        <w:spacing w:after="0" w:line="234" w:lineRule="exact"/>
        <w:rPr>
          <w:sz w:val="20"/>
          <w:szCs w:val="20"/>
          <w:color w:val="auto"/>
        </w:rPr>
      </w:pPr>
    </w:p>
    <w:p>
      <w:pPr>
        <w:ind w:left="380" w:right="80" w:firstLine="533"/>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1100" w:right="160" w:hanging="18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Preliminary results from Phase 2 clinical trials have provided clinical proof of concept for a once-daily injection of NGM282 by demonstrating statistically significant reductions in liver fat, liver transaminases and biomarkers of fibrosis,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72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6724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180"/>
        <w:spacing w:after="0" w:line="239" w:lineRule="auto"/>
        <w:rPr>
          <w:sz w:val="20"/>
          <w:szCs w:val="20"/>
          <w:color w:val="auto"/>
        </w:rPr>
      </w:pPr>
      <w:r>
        <w:rPr>
          <w:rFonts w:ascii="Arial" w:cs="Arial" w:eastAsia="Arial" w:hAnsi="Arial"/>
          <w:sz w:val="18"/>
          <w:szCs w:val="18"/>
          <w:color w:val="auto"/>
        </w:rPr>
        <w:t>which has translated into improvements on liver histology and fibrosis at 12 weeks. We expect interim data in the second half of 2019 from our ongoing placebo-controlled Phase 2 clinical trial cohort assessing the histological effects of NGM282 after 24 weeks of treatment. We excluded our FGF19 program, including NGM282, from our Merck collaboration, and it remains wholly-owned by us.</w:t>
      </w:r>
    </w:p>
    <w:p>
      <w:pPr>
        <w:spacing w:after="0" w:line="107" w:lineRule="exact"/>
        <w:rPr>
          <w:sz w:val="20"/>
          <w:szCs w:val="20"/>
          <w:color w:val="auto"/>
        </w:rPr>
      </w:pPr>
    </w:p>
    <w:p>
      <w:pPr>
        <w:ind w:left="1100" w:right="160" w:hanging="187"/>
        <w:spacing w:after="0" w:line="23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NGM313 is an agonistic antibody selectively activating FGFR1c/KLB and has the potential as an insulin sensitizer to be a treatment for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Merck has a one-time option to license NGM313 upon our completion of a proof-of-concept study in humans.</w:t>
      </w:r>
    </w:p>
    <w:p>
      <w:pPr>
        <w:spacing w:after="0" w:line="108" w:lineRule="exact"/>
        <w:rPr>
          <w:rFonts w:ascii="Arial" w:cs="Arial" w:eastAsia="Arial" w:hAnsi="Arial"/>
          <w:sz w:val="18"/>
          <w:szCs w:val="18"/>
          <w:color w:val="auto"/>
        </w:rPr>
      </w:pPr>
    </w:p>
    <w:p>
      <w:pPr>
        <w:ind w:left="1100" w:right="120" w:hanging="187"/>
        <w:spacing w:after="0" w:line="248"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NGM386 and NGM395 are engineered variants of the human hormone known as GDF15, which we are developing with Merck for the treatment of obesity. Merck licensed our GDF15 agonist program in 2015 and is currently conducting a Phase</w:t>
      </w:r>
    </w:p>
    <w:p>
      <w:pPr>
        <w:spacing w:after="0" w:line="1" w:lineRule="exact"/>
        <w:rPr>
          <w:rFonts w:ascii="Arial" w:cs="Arial" w:eastAsia="Arial" w:hAnsi="Arial"/>
          <w:sz w:val="17"/>
          <w:szCs w:val="17"/>
          <w:color w:val="auto"/>
        </w:rPr>
      </w:pPr>
    </w:p>
    <w:p>
      <w:pPr>
        <w:ind w:left="1100" w:right="80"/>
        <w:spacing w:after="0"/>
        <w:rPr>
          <w:rFonts w:ascii="Arial" w:cs="Arial" w:eastAsia="Arial" w:hAnsi="Arial"/>
          <w:sz w:val="17"/>
          <w:szCs w:val="17"/>
          <w:color w:val="auto"/>
        </w:rPr>
      </w:pPr>
      <w:r>
        <w:rPr>
          <w:rFonts w:ascii="Arial" w:cs="Arial" w:eastAsia="Arial" w:hAnsi="Arial"/>
          <w:sz w:val="18"/>
          <w:szCs w:val="18"/>
          <w:color w:val="auto"/>
        </w:rPr>
        <w:t>1 study of NGM386 in overweight or obese but otherwise healthy adults. We expect Merck to initiate a Phase 2a clinical trial of NGM386 in obese adults and a Phase 1 clinical trial of NGM395 in overweight or obese but otherwise healthy adults in 2019.</w:t>
      </w:r>
    </w:p>
    <w:p>
      <w:pPr>
        <w:spacing w:after="0" w:line="108" w:lineRule="exact"/>
        <w:rPr>
          <w:rFonts w:ascii="Arial" w:cs="Arial" w:eastAsia="Arial" w:hAnsi="Arial"/>
          <w:sz w:val="17"/>
          <w:szCs w:val="17"/>
          <w:color w:val="auto"/>
        </w:rPr>
      </w:pPr>
    </w:p>
    <w:p>
      <w:pPr>
        <w:ind w:left="1100" w:right="120" w:hanging="187"/>
        <w:spacing w:after="0" w:line="255" w:lineRule="auto"/>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NGM120 is an antagonistic antibody binding glial cell-derived neurotrophic factor receptor alpha-like, or GFRAL, that is designed to inhibit the effects of elevated GDF15 levels on cancer anorexia/cachexia syndrome, or CACS, and possibly, cancer.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95" w:lineRule="exact"/>
        <w:rPr>
          <w:rFonts w:ascii="Arial" w:cs="Arial" w:eastAsia="Arial" w:hAnsi="Arial"/>
          <w:sz w:val="17"/>
          <w:szCs w:val="17"/>
          <w:color w:val="auto"/>
        </w:rPr>
      </w:pPr>
    </w:p>
    <w:p>
      <w:pPr>
        <w:ind w:left="1100" w:right="100" w:hanging="187"/>
        <w:spacing w:after="0" w:line="23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that is designed to restore pancreatic islet function and increase insulin production in patients with diabetes. NGM217 is in a Phase 1 study in adults with diabetes, where we are assessing its ability to increase levels of C-peptide, a biomarker of insulin production. Merck has a one-time option to license NGM217 upon our completion of a proof-of-concept study in humans.</w:t>
      </w:r>
    </w:p>
    <w:p>
      <w:pPr>
        <w:spacing w:after="0" w:line="107" w:lineRule="exact"/>
        <w:rPr>
          <w:rFonts w:ascii="Arial" w:cs="Arial" w:eastAsia="Arial" w:hAnsi="Arial"/>
          <w:sz w:val="18"/>
          <w:szCs w:val="18"/>
          <w:color w:val="auto"/>
        </w:rPr>
      </w:pPr>
    </w:p>
    <w:p>
      <w:pPr>
        <w:ind w:left="1100" w:hanging="187"/>
        <w:spacing w:after="0" w:line="23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that is designed to decrease levels of a protein implicated in the dry form of age-related macular degeneration, or dry AMD. NGM621 is in investigational new drug, or IND, enabling studies, and we expect to begin a Phase 1 safety, tolerability and pharmacokinetics study in patients with geographic atrophy, or GA, an advanced form of dry AMD, in the second half of 2019. Merck has a one-time option to license NGM621 upon our completion of a proof-of-concept study in humans.</w:t>
      </w: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380" w:right="180" w:firstLine="533"/>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90" w:lineRule="exact"/>
        <w:rPr>
          <w:sz w:val="20"/>
          <w:szCs w:val="20"/>
          <w:color w:val="auto"/>
        </w:rPr>
      </w:pPr>
    </w:p>
    <w:p>
      <w:pPr>
        <w:ind w:left="1100" w:right="300" w:hanging="187"/>
        <w:spacing w:after="0" w:line="26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Establish NGM282, our wholly-owned compound, as the leading treatment for NASH patients with moderate to advanced fibrosis</w:t>
      </w:r>
    </w:p>
    <w:p>
      <w:pPr>
        <w:spacing w:after="0" w:line="66" w:lineRule="exact"/>
        <w:rPr>
          <w:rFonts w:ascii="Arial" w:cs="Arial" w:eastAsia="Arial" w:hAnsi="Arial"/>
          <w:sz w:val="18"/>
          <w:szCs w:val="18"/>
          <w:color w:val="auto"/>
        </w:rPr>
      </w:pPr>
    </w:p>
    <w:p>
      <w:pPr>
        <w:ind w:left="1100" w:hanging="187"/>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 our collaboration with Merck to advance our pipeline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00" w:hanging="18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Grow our pipeline and extend our therapeutic areas of focus</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Build capabilities to deliver medicines to patients in areas of high unmet medical need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Strengthen our position as a leading drug discovery and development company</w:t>
      </w:r>
    </w:p>
    <w:p>
      <w:pPr>
        <w:spacing w:after="0" w:line="3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380" w:right="400" w:firstLine="533"/>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Some of those risks are:</w:t>
      </w:r>
    </w:p>
    <w:p>
      <w:pPr>
        <w:spacing w:after="0" w:line="102" w:lineRule="exact"/>
        <w:rPr>
          <w:sz w:val="20"/>
          <w:szCs w:val="20"/>
          <w:color w:val="auto"/>
        </w:rPr>
      </w:pPr>
    </w:p>
    <w:p>
      <w:pPr>
        <w:ind w:left="1100" w:right="18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 profitable;</w:t>
      </w:r>
    </w:p>
    <w:p>
      <w:pPr>
        <w:spacing w:after="0" w:line="102" w:lineRule="exact"/>
        <w:rPr>
          <w:rFonts w:ascii="Arial" w:cs="Arial" w:eastAsia="Arial" w:hAnsi="Arial"/>
          <w:sz w:val="18"/>
          <w:szCs w:val="18"/>
          <w:color w:val="auto"/>
        </w:rPr>
      </w:pPr>
    </w:p>
    <w:p>
      <w:pPr>
        <w:ind w:left="1100" w:right="14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to acquire additional capital to finance our operations, which may not be available to us on acceptable terms, or at all;</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substantially all of our revenue for recent periods has been received from a single collaboration partner;</w:t>
      </w:r>
    </w:p>
    <w:p>
      <w:pPr>
        <w:spacing w:after="0" w:line="117" w:lineRule="exact"/>
        <w:rPr>
          <w:rFonts w:ascii="Arial" w:cs="Arial" w:eastAsia="Arial" w:hAnsi="Arial"/>
          <w:sz w:val="18"/>
          <w:szCs w:val="18"/>
          <w:color w:val="auto"/>
        </w:rPr>
      </w:pPr>
    </w:p>
    <w:p>
      <w:pPr>
        <w:ind w:left="1100" w:right="40" w:hanging="187"/>
        <w:spacing w:after="0" w:line="275"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78" w:lineRule="exact"/>
        <w:rPr>
          <w:rFonts w:ascii="Arial" w:cs="Arial" w:eastAsia="Arial" w:hAnsi="Arial"/>
          <w:sz w:val="17"/>
          <w:szCs w:val="17"/>
          <w:color w:val="auto"/>
        </w:rPr>
      </w:pPr>
    </w:p>
    <w:p>
      <w:pPr>
        <w:ind w:left="1100" w:right="36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 and our scientific advisors;</w:t>
      </w:r>
    </w:p>
    <w:p>
      <w:pPr>
        <w:spacing w:after="0" w:line="102" w:lineRule="exact"/>
        <w:rPr>
          <w:rFonts w:ascii="Arial" w:cs="Arial" w:eastAsia="Arial" w:hAnsi="Arial"/>
          <w:sz w:val="18"/>
          <w:szCs w:val="18"/>
          <w:color w:val="auto"/>
        </w:rPr>
      </w:pPr>
    </w:p>
    <w:p>
      <w:pPr>
        <w:ind w:left="110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02" w:lineRule="exact"/>
        <w:rPr>
          <w:rFonts w:ascii="Arial" w:cs="Arial" w:eastAsia="Arial" w:hAnsi="Arial"/>
          <w:sz w:val="18"/>
          <w:szCs w:val="18"/>
          <w:color w:val="auto"/>
        </w:rPr>
      </w:pPr>
    </w:p>
    <w:p>
      <w:pPr>
        <w:ind w:left="1100" w:right="94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collaboration with Merck and may depend on collaborations with additional third parties for the development and commercialization of our product candidates;</w:t>
      </w:r>
    </w:p>
    <w:p>
      <w:pPr>
        <w:spacing w:after="0" w:line="102" w:lineRule="exact"/>
        <w:rPr>
          <w:rFonts w:ascii="Arial" w:cs="Arial" w:eastAsia="Arial" w:hAnsi="Arial"/>
          <w:sz w:val="18"/>
          <w:szCs w:val="18"/>
          <w:color w:val="auto"/>
        </w:rPr>
      </w:pPr>
    </w:p>
    <w:p>
      <w:pPr>
        <w:ind w:left="1100" w:right="34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regulatory authorities are lengthy, time-consuming and inherently unpredictable;</w:t>
      </w:r>
    </w:p>
    <w:p>
      <w:pPr>
        <w:spacing w:after="0" w:line="102" w:lineRule="exact"/>
        <w:rPr>
          <w:rFonts w:ascii="Arial" w:cs="Arial" w:eastAsia="Arial" w:hAnsi="Arial"/>
          <w:sz w:val="18"/>
          <w:szCs w:val="18"/>
          <w:color w:val="auto"/>
        </w:rPr>
      </w:pPr>
    </w:p>
    <w:p>
      <w:pPr>
        <w:ind w:left="110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upon our ability to obtain, maintain, defend and enforce intellectual property protection for our products and technologies, and we may not be able to protect our intellectual property rights throughout the world;</w:t>
      </w:r>
    </w:p>
    <w:p>
      <w:pPr>
        <w:spacing w:after="0" w:line="102" w:lineRule="exact"/>
        <w:rPr>
          <w:rFonts w:ascii="Arial" w:cs="Arial" w:eastAsia="Arial" w:hAnsi="Arial"/>
          <w:sz w:val="18"/>
          <w:szCs w:val="18"/>
          <w:color w:val="auto"/>
        </w:rPr>
      </w:pPr>
    </w:p>
    <w:p>
      <w:pPr>
        <w:ind w:left="1100" w:right="20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stockholders, including Merck, and management own a significant percentage of our stock and will be able to exert significant control over matters subject to stockholder approval;</w:t>
      </w:r>
    </w:p>
    <w:p>
      <w:pPr>
        <w:spacing w:after="0" w:line="102" w:lineRule="exact"/>
        <w:rPr>
          <w:rFonts w:ascii="Arial" w:cs="Arial" w:eastAsia="Arial" w:hAnsi="Arial"/>
          <w:sz w:val="18"/>
          <w:szCs w:val="18"/>
          <w:color w:val="auto"/>
        </w:rPr>
      </w:pPr>
    </w:p>
    <w:p>
      <w:pPr>
        <w:ind w:left="1100" w:right="96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Merck has granted a proxy to the chairman of our board of directors to vote Merck’s shares in favor of any action recommended and approved by our board of directors; and</w:t>
      </w:r>
    </w:p>
    <w:p>
      <w:pPr>
        <w:spacing w:after="0" w:line="102" w:lineRule="exact"/>
        <w:rPr>
          <w:rFonts w:ascii="Arial" w:cs="Arial" w:eastAsia="Arial" w:hAnsi="Arial"/>
          <w:sz w:val="18"/>
          <w:szCs w:val="18"/>
          <w:color w:val="auto"/>
        </w:rPr>
      </w:pPr>
    </w:p>
    <w:p>
      <w:pPr>
        <w:ind w:left="1100" w:right="28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and maintain the third-party relationships that are necessary to develop, commercialize and manufacture some or all of our product candidates.</w:t>
      </w:r>
    </w:p>
    <w:p>
      <w:pPr>
        <w:spacing w:after="0" w:line="28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Concurrent Private Placement</w:t>
      </w:r>
    </w:p>
    <w:p>
      <w:pPr>
        <w:spacing w:after="0" w:line="234" w:lineRule="exact"/>
        <w:rPr>
          <w:sz w:val="20"/>
          <w:szCs w:val="20"/>
          <w:color w:val="auto"/>
        </w:rPr>
      </w:pPr>
    </w:p>
    <w:p>
      <w:pPr>
        <w:ind w:left="380" w:right="200" w:firstLine="533"/>
        <w:spacing w:after="0" w:line="246" w:lineRule="auto"/>
        <w:rPr>
          <w:sz w:val="20"/>
          <w:szCs w:val="20"/>
          <w:color w:val="auto"/>
        </w:rPr>
      </w:pPr>
      <w:r>
        <w:rPr>
          <w:rFonts w:ascii="Arial" w:cs="Arial" w:eastAsia="Arial" w:hAnsi="Arial"/>
          <w:sz w:val="18"/>
          <w:szCs w:val="18"/>
          <w:color w:val="auto"/>
        </w:rPr>
        <w:t>Merck, a strategic collaborator and existing stockholder, has agreed to purchase, in a separate private placement concurrent with the completion of this offering at a price per share equal to the public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83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4583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offering price, a number of shares of our common stock that would result in Merck owning approximately 19.9% of our outstanding</w:t>
      </w:r>
    </w:p>
    <w:p>
      <w:pPr>
        <w:ind w:left="380" w:right="100"/>
        <w:spacing w:after="0" w:line="234" w:lineRule="auto"/>
        <w:rPr>
          <w:sz w:val="20"/>
          <w:szCs w:val="20"/>
          <w:color w:val="auto"/>
        </w:rPr>
      </w:pPr>
      <w:r>
        <w:rPr>
          <w:rFonts w:ascii="Arial" w:cs="Arial" w:eastAsia="Arial" w:hAnsi="Arial"/>
          <w:sz w:val="18"/>
          <w:szCs w:val="18"/>
          <w:color w:val="auto"/>
        </w:rPr>
        <w:t>shares of common stock following the completion of this offering. Based upon an assumed initial public offering price of $ per share, which is the midpoint of the range set forth on the cover page of this prospectus, Merck would purchase shares of our</w:t>
      </w:r>
    </w:p>
    <w:p>
      <w:pPr>
        <w:ind w:left="380"/>
        <w:spacing w:after="0" w:line="236" w:lineRule="auto"/>
        <w:rPr>
          <w:sz w:val="20"/>
          <w:szCs w:val="20"/>
          <w:color w:val="auto"/>
        </w:rPr>
      </w:pPr>
      <w:r>
        <w:rPr>
          <w:rFonts w:ascii="Arial" w:cs="Arial" w:eastAsia="Arial" w:hAnsi="Arial"/>
          <w:sz w:val="18"/>
          <w:szCs w:val="18"/>
          <w:color w:val="auto"/>
        </w:rPr>
        <w:t>common stock. The sale of such shares will not be registered under the Securities Act of 1933, as amended, or the Securities Act.</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completion of this offering is not contingent upon the completion of such concurrent private placement.</w:t>
      </w:r>
    </w:p>
    <w:p>
      <w:pPr>
        <w:spacing w:after="0" w:line="29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History and Information</w:t>
      </w:r>
    </w:p>
    <w:p>
      <w:pPr>
        <w:spacing w:after="0" w:line="234" w:lineRule="exact"/>
        <w:rPr>
          <w:sz w:val="20"/>
          <w:szCs w:val="20"/>
          <w:color w:val="auto"/>
        </w:rPr>
      </w:pPr>
    </w:p>
    <w:p>
      <w:pPr>
        <w:ind w:left="380" w:right="100" w:firstLine="533"/>
        <w:spacing w:after="0" w:line="239" w:lineRule="auto"/>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 The information contained in, or that can be accessed through, our website is not part of this prospectus.</w:t>
      </w:r>
    </w:p>
    <w:p>
      <w:pPr>
        <w:spacing w:after="0" w:line="202" w:lineRule="exact"/>
        <w:rPr>
          <w:sz w:val="20"/>
          <w:szCs w:val="20"/>
          <w:color w:val="auto"/>
        </w:rPr>
      </w:pPr>
    </w:p>
    <w:p>
      <w:pPr>
        <w:ind w:left="380" w:right="340" w:firstLine="533"/>
        <w:spacing w:after="0" w:line="246" w:lineRule="auto"/>
        <w:rPr>
          <w:sz w:val="20"/>
          <w:szCs w:val="20"/>
          <w:color w:val="auto"/>
        </w:rPr>
      </w:pPr>
      <w:r>
        <w:rPr>
          <w:rFonts w:ascii="Arial" w:cs="Arial" w:eastAsia="Arial" w:hAnsi="Arial"/>
          <w:sz w:val="18"/>
          <w:szCs w:val="18"/>
          <w:color w:val="auto"/>
        </w:rPr>
        <w:t>NGM and the NGM logo are our trademarks. Each of the other trademarks, trade names or service marks appearing in this prospectus belong to their respective holders.</w:t>
      </w:r>
    </w:p>
    <w:p>
      <w:pPr>
        <w:spacing w:after="0" w:line="28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this exemption and, as a result, will not be subject to the same implementation timing for new or revised accounting standards as for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1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5613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239"/>
        </w:trPr>
        <w:tc>
          <w:tcPr>
            <w:tcW w:w="6000" w:type="dxa"/>
            <w:vAlign w:val="bottom"/>
            <w:gridSpan w:val="2"/>
          </w:tcPr>
          <w:p>
            <w:pPr>
              <w:ind w:left="4800"/>
              <w:spacing w:after="0"/>
              <w:rPr>
                <w:sz w:val="20"/>
                <w:szCs w:val="20"/>
                <w:color w:val="auto"/>
              </w:rPr>
            </w:pPr>
            <w:r>
              <w:rPr>
                <w:rFonts w:ascii="Arial" w:cs="Arial" w:eastAsia="Arial" w:hAnsi="Arial"/>
                <w:sz w:val="18"/>
                <w:szCs w:val="18"/>
                <w:b w:val="1"/>
                <w:bCs w:val="1"/>
                <w:color w:val="auto"/>
              </w:rPr>
              <w:t>The Offering</w:t>
            </w:r>
          </w:p>
        </w:tc>
        <w:tc>
          <w:tcPr>
            <w:tcW w:w="1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6"/>
        </w:trPr>
        <w:tc>
          <w:tcPr>
            <w:tcW w:w="54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52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shares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3"/>
        </w:trPr>
        <w:tc>
          <w:tcPr>
            <w:tcW w:w="5480" w:type="dxa"/>
            <w:vAlign w:val="bottom"/>
          </w:tcPr>
          <w:p>
            <w:pPr>
              <w:spacing w:after="0"/>
              <w:rPr>
                <w:sz w:val="20"/>
                <w:szCs w:val="20"/>
                <w:color w:val="auto"/>
              </w:rPr>
            </w:pPr>
            <w:r>
              <w:rPr>
                <w:rFonts w:ascii="Arial" w:cs="Arial" w:eastAsia="Arial" w:hAnsi="Arial"/>
                <w:sz w:val="18"/>
                <w:szCs w:val="18"/>
                <w:color w:val="auto"/>
              </w:rPr>
              <w:t>Concurrent private placement to Merck</w:t>
            </w:r>
          </w:p>
        </w:tc>
        <w:tc>
          <w:tcPr>
            <w:tcW w:w="5120" w:type="dxa"/>
            <w:vAlign w:val="bottom"/>
            <w:gridSpan w:val="4"/>
          </w:tcPr>
          <w:p>
            <w:pPr>
              <w:ind w:left="60"/>
              <w:spacing w:after="0"/>
              <w:rPr>
                <w:sz w:val="20"/>
                <w:szCs w:val="20"/>
                <w:color w:val="auto"/>
              </w:rPr>
            </w:pPr>
            <w:r>
              <w:rPr>
                <w:rFonts w:ascii="Arial" w:cs="Arial" w:eastAsia="Arial" w:hAnsi="Arial"/>
                <w:sz w:val="18"/>
                <w:szCs w:val="18"/>
                <w:color w:val="auto"/>
                <w:w w:val="99"/>
              </w:rPr>
              <w:t>Merck has agreed to purchase, in a separate private placement</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concurrent with the completion of this offering at a price per</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share equal to the public offering price, a number of shares of</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our common stock that would result in Merck owning</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approximately 19.9% of our outstanding shares of common</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stock following the completion of this offering. Based upon an</w:t>
            </w:r>
          </w:p>
        </w:tc>
      </w:tr>
      <w:tr>
        <w:trPr>
          <w:trHeight w:val="203"/>
        </w:trPr>
        <w:tc>
          <w:tcPr>
            <w:tcW w:w="5480" w:type="dxa"/>
            <w:vAlign w:val="bottom"/>
          </w:tcPr>
          <w:p>
            <w:pPr>
              <w:spacing w:after="0"/>
              <w:rPr>
                <w:sz w:val="17"/>
                <w:szCs w:val="17"/>
                <w:color w:val="auto"/>
              </w:rPr>
            </w:pPr>
          </w:p>
        </w:tc>
        <w:tc>
          <w:tcPr>
            <w:tcW w:w="368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assumed initial public offering price of $</w:t>
            </w:r>
          </w:p>
        </w:tc>
        <w:tc>
          <w:tcPr>
            <w:tcW w:w="1440" w:type="dxa"/>
            <w:vAlign w:val="bottom"/>
          </w:tcPr>
          <w:p>
            <w:pPr>
              <w:ind w:left="160"/>
              <w:spacing w:after="0" w:line="202" w:lineRule="exact"/>
              <w:rPr>
                <w:sz w:val="20"/>
                <w:szCs w:val="20"/>
                <w:color w:val="auto"/>
              </w:rPr>
            </w:pPr>
            <w:r>
              <w:rPr>
                <w:rFonts w:ascii="Arial" w:cs="Arial" w:eastAsia="Arial" w:hAnsi="Arial"/>
                <w:sz w:val="18"/>
                <w:szCs w:val="18"/>
                <w:color w:val="auto"/>
              </w:rPr>
              <w:t>per share,</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w w:val="99"/>
              </w:rPr>
              <w:t>which is the midpoint of the range set forth on the cover page of</w:t>
            </w:r>
          </w:p>
        </w:tc>
      </w:tr>
      <w:tr>
        <w:trPr>
          <w:trHeight w:val="203"/>
        </w:trPr>
        <w:tc>
          <w:tcPr>
            <w:tcW w:w="5480" w:type="dxa"/>
            <w:vAlign w:val="bottom"/>
          </w:tcPr>
          <w:p>
            <w:pPr>
              <w:spacing w:after="0"/>
              <w:rPr>
                <w:sz w:val="17"/>
                <w:szCs w:val="17"/>
                <w:color w:val="auto"/>
              </w:rPr>
            </w:pPr>
          </w:p>
        </w:tc>
        <w:tc>
          <w:tcPr>
            <w:tcW w:w="368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this prospectus, Merck would purchase</w:t>
            </w:r>
          </w:p>
        </w:tc>
        <w:tc>
          <w:tcPr>
            <w:tcW w:w="1440" w:type="dxa"/>
            <w:vAlign w:val="bottom"/>
          </w:tcPr>
          <w:p>
            <w:pPr>
              <w:ind w:left="180"/>
              <w:spacing w:after="0" w:line="202" w:lineRule="exact"/>
              <w:rPr>
                <w:sz w:val="20"/>
                <w:szCs w:val="20"/>
                <w:color w:val="auto"/>
              </w:rPr>
            </w:pPr>
            <w:r>
              <w:rPr>
                <w:rFonts w:ascii="Arial" w:cs="Arial" w:eastAsia="Arial" w:hAnsi="Arial"/>
                <w:sz w:val="18"/>
                <w:szCs w:val="18"/>
                <w:color w:val="auto"/>
              </w:rPr>
              <w:t>shares of our</w:t>
            </w:r>
          </w:p>
        </w:tc>
      </w:tr>
      <w:tr>
        <w:trPr>
          <w:trHeight w:val="217"/>
        </w:trPr>
        <w:tc>
          <w:tcPr>
            <w:tcW w:w="5480" w:type="dxa"/>
            <w:vAlign w:val="bottom"/>
          </w:tcPr>
          <w:p>
            <w:pPr>
              <w:spacing w:after="0"/>
              <w:rPr>
                <w:sz w:val="18"/>
                <w:szCs w:val="18"/>
                <w:color w:val="auto"/>
              </w:rPr>
            </w:pPr>
          </w:p>
        </w:tc>
        <w:tc>
          <w:tcPr>
            <w:tcW w:w="2200" w:type="dxa"/>
            <w:vAlign w:val="bottom"/>
            <w:gridSpan w:val="2"/>
          </w:tcPr>
          <w:p>
            <w:pPr>
              <w:ind w:left="60"/>
              <w:spacing w:after="0"/>
              <w:rPr>
                <w:sz w:val="20"/>
                <w:szCs w:val="20"/>
                <w:color w:val="auto"/>
              </w:rPr>
            </w:pPr>
            <w:r>
              <w:rPr>
                <w:rFonts w:ascii="Arial" w:cs="Arial" w:eastAsia="Arial" w:hAnsi="Arial"/>
                <w:sz w:val="18"/>
                <w:szCs w:val="18"/>
                <w:color w:val="auto"/>
              </w:rPr>
              <w:t>common stock.</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10"/>
        </w:trPr>
        <w:tc>
          <w:tcPr>
            <w:tcW w:w="5480" w:type="dxa"/>
            <w:vAlign w:val="bottom"/>
          </w:tcPr>
          <w:p>
            <w:pPr>
              <w:spacing w:after="0"/>
              <w:rPr>
                <w:sz w:val="20"/>
                <w:szCs w:val="20"/>
                <w:color w:val="auto"/>
              </w:rPr>
            </w:pPr>
            <w:r>
              <w:rPr>
                <w:rFonts w:ascii="Arial" w:cs="Arial" w:eastAsia="Arial" w:hAnsi="Arial"/>
                <w:sz w:val="18"/>
                <w:szCs w:val="18"/>
                <w:color w:val="auto"/>
              </w:rPr>
              <w:t>Common stock to be outstanding after the offering and the</w:t>
            </w:r>
          </w:p>
        </w:tc>
        <w:tc>
          <w:tcPr>
            <w:tcW w:w="52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shares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5480" w:type="dxa"/>
            <w:vAlign w:val="bottom"/>
          </w:tcPr>
          <w:p>
            <w:pPr>
              <w:ind w:left="120"/>
              <w:spacing w:after="0"/>
              <w:rPr>
                <w:sz w:val="20"/>
                <w:szCs w:val="20"/>
                <w:color w:val="auto"/>
              </w:rPr>
            </w:pPr>
            <w:r>
              <w:rPr>
                <w:rFonts w:ascii="Arial" w:cs="Arial" w:eastAsia="Arial" w:hAnsi="Arial"/>
                <w:sz w:val="18"/>
                <w:szCs w:val="18"/>
                <w:color w:val="auto"/>
              </w:rPr>
              <w:t>concurrent private placement to Merck</w:t>
            </w: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8"/>
        </w:trPr>
        <w:tc>
          <w:tcPr>
            <w:tcW w:w="5480" w:type="dxa"/>
            <w:vAlign w:val="bottom"/>
          </w:tcPr>
          <w:p>
            <w:pPr>
              <w:spacing w:after="0"/>
              <w:rPr>
                <w:sz w:val="20"/>
                <w:szCs w:val="20"/>
                <w:color w:val="auto"/>
              </w:rPr>
            </w:pPr>
            <w:r>
              <w:rPr>
                <w:rFonts w:ascii="Arial" w:cs="Arial" w:eastAsia="Arial" w:hAnsi="Arial"/>
                <w:sz w:val="18"/>
                <w:szCs w:val="18"/>
                <w:color w:val="auto"/>
              </w:rPr>
              <w:t>Underwriters’ option to purchase additional shares of common stock</w:t>
            </w:r>
          </w:p>
        </w:tc>
        <w:tc>
          <w:tcPr>
            <w:tcW w:w="52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Arial" w:cs="Arial" w:eastAsia="Arial" w:hAnsi="Arial"/>
                <w:sz w:val="18"/>
                <w:szCs w:val="18"/>
                <w:color w:val="auto"/>
              </w:rPr>
              <w:t>shares</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3"/>
        </w:trPr>
        <w:tc>
          <w:tcPr>
            <w:tcW w:w="5480" w:type="dxa"/>
            <w:vAlign w:val="bottom"/>
          </w:tcPr>
          <w:p>
            <w:pPr>
              <w:spacing w:after="0"/>
              <w:rPr>
                <w:sz w:val="20"/>
                <w:szCs w:val="20"/>
                <w:color w:val="auto"/>
              </w:rPr>
            </w:pPr>
            <w:r>
              <w:rPr>
                <w:rFonts w:ascii="Arial" w:cs="Arial" w:eastAsia="Arial" w:hAnsi="Arial"/>
                <w:sz w:val="18"/>
                <w:szCs w:val="18"/>
                <w:color w:val="auto"/>
              </w:rPr>
              <w:t>Use of proceeds</w:t>
            </w:r>
          </w:p>
        </w:tc>
        <w:tc>
          <w:tcPr>
            <w:tcW w:w="5120" w:type="dxa"/>
            <w:vAlign w:val="bottom"/>
            <w:gridSpan w:val="4"/>
          </w:tcPr>
          <w:p>
            <w:pPr>
              <w:ind w:left="60"/>
              <w:spacing w:after="0"/>
              <w:rPr>
                <w:sz w:val="20"/>
                <w:szCs w:val="20"/>
                <w:color w:val="auto"/>
              </w:rPr>
            </w:pPr>
            <w:r>
              <w:rPr>
                <w:rFonts w:ascii="Arial" w:cs="Arial" w:eastAsia="Arial" w:hAnsi="Arial"/>
                <w:sz w:val="18"/>
                <w:szCs w:val="18"/>
                <w:color w:val="auto"/>
              </w:rPr>
              <w:t>We estimate that our net proceeds from this offering, excluding</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the proceeds from the concurrent private placement to Merck,</w:t>
            </w:r>
          </w:p>
        </w:tc>
      </w:tr>
      <w:tr>
        <w:trPr>
          <w:trHeight w:val="203"/>
        </w:trPr>
        <w:tc>
          <w:tcPr>
            <w:tcW w:w="5480" w:type="dxa"/>
            <w:vAlign w:val="bottom"/>
          </w:tcPr>
          <w:p>
            <w:pPr>
              <w:spacing w:after="0"/>
              <w:rPr>
                <w:sz w:val="17"/>
                <w:szCs w:val="17"/>
                <w:color w:val="auto"/>
              </w:rPr>
            </w:pPr>
          </w:p>
        </w:tc>
        <w:tc>
          <w:tcPr>
            <w:tcW w:w="22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will be approximately $</w:t>
            </w:r>
          </w:p>
        </w:tc>
        <w:tc>
          <w:tcPr>
            <w:tcW w:w="29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million, or approximately</w:t>
            </w:r>
          </w:p>
        </w:tc>
      </w:tr>
      <w:tr>
        <w:trPr>
          <w:trHeight w:val="203"/>
        </w:trPr>
        <w:tc>
          <w:tcPr>
            <w:tcW w:w="5480" w:type="dxa"/>
            <w:vAlign w:val="bottom"/>
          </w:tcPr>
          <w:p>
            <w:pPr>
              <w:spacing w:after="0"/>
              <w:rPr>
                <w:sz w:val="17"/>
                <w:szCs w:val="17"/>
                <w:color w:val="auto"/>
              </w:rPr>
            </w:pPr>
          </w:p>
        </w:tc>
        <w:tc>
          <w:tcPr>
            <w:tcW w:w="52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4600" w:type="dxa"/>
            <w:vAlign w:val="bottom"/>
            <w:gridSpan w:val="3"/>
          </w:tcPr>
          <w:p>
            <w:pPr>
              <w:ind w:left="280"/>
              <w:spacing w:after="0" w:line="202" w:lineRule="exact"/>
              <w:rPr>
                <w:sz w:val="20"/>
                <w:szCs w:val="20"/>
                <w:color w:val="auto"/>
              </w:rPr>
            </w:pPr>
            <w:r>
              <w:rPr>
                <w:rFonts w:ascii="Arial" w:cs="Arial" w:eastAsia="Arial" w:hAnsi="Arial"/>
                <w:sz w:val="18"/>
                <w:szCs w:val="18"/>
                <w:color w:val="auto"/>
                <w:w w:val="99"/>
              </w:rPr>
              <w:t>million if the underwriters exercise in full their option to</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purchase additional shares of our common stock, after</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deducting underwriting discounts and commissions and</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estimated offering expenses payable by us. Additionally, we</w:t>
            </w:r>
          </w:p>
        </w:tc>
      </w:tr>
      <w:tr>
        <w:trPr>
          <w:trHeight w:val="203"/>
        </w:trPr>
        <w:tc>
          <w:tcPr>
            <w:tcW w:w="5480" w:type="dxa"/>
            <w:vAlign w:val="bottom"/>
          </w:tcPr>
          <w:p>
            <w:pPr>
              <w:spacing w:after="0"/>
              <w:rPr>
                <w:sz w:val="17"/>
                <w:szCs w:val="17"/>
                <w:color w:val="auto"/>
              </w:rPr>
            </w:pPr>
          </w:p>
        </w:tc>
        <w:tc>
          <w:tcPr>
            <w:tcW w:w="512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estimate that our net proceeds from the concurrent private</w:t>
            </w:r>
          </w:p>
        </w:tc>
      </w:tr>
      <w:tr>
        <w:trPr>
          <w:trHeight w:val="217"/>
        </w:trPr>
        <w:tc>
          <w:tcPr>
            <w:tcW w:w="5480" w:type="dxa"/>
            <w:vAlign w:val="bottom"/>
          </w:tcPr>
          <w:p>
            <w:pPr>
              <w:spacing w:after="0"/>
              <w:rPr>
                <w:sz w:val="18"/>
                <w:szCs w:val="18"/>
                <w:color w:val="auto"/>
              </w:rPr>
            </w:pPr>
          </w:p>
        </w:tc>
        <w:tc>
          <w:tcPr>
            <w:tcW w:w="3680" w:type="dxa"/>
            <w:vAlign w:val="bottom"/>
            <w:gridSpan w:val="3"/>
          </w:tcPr>
          <w:p>
            <w:pPr>
              <w:ind w:left="60"/>
              <w:spacing w:after="0"/>
              <w:rPr>
                <w:sz w:val="20"/>
                <w:szCs w:val="20"/>
                <w:color w:val="auto"/>
              </w:rPr>
            </w:pPr>
            <w:r>
              <w:rPr>
                <w:rFonts w:ascii="Arial" w:cs="Arial" w:eastAsia="Arial" w:hAnsi="Arial"/>
                <w:sz w:val="18"/>
                <w:szCs w:val="18"/>
                <w:color w:val="auto"/>
              </w:rPr>
              <w:t>placement to Merck will be approximately $</w:t>
            </w:r>
          </w:p>
        </w:tc>
        <w:tc>
          <w:tcPr>
            <w:tcW w:w="1440" w:type="dxa"/>
            <w:vAlign w:val="bottom"/>
          </w:tcPr>
          <w:p>
            <w:pPr>
              <w:ind w:left="460"/>
              <w:spacing w:after="0"/>
              <w:rPr>
                <w:sz w:val="20"/>
                <w:szCs w:val="20"/>
                <w:color w:val="auto"/>
              </w:rPr>
            </w:pPr>
            <w:r>
              <w:rPr>
                <w:rFonts w:ascii="Arial" w:cs="Arial" w:eastAsia="Arial" w:hAnsi="Arial"/>
                <w:sz w:val="18"/>
                <w:szCs w:val="18"/>
                <w:color w:val="auto"/>
              </w:rPr>
              <w:t>million.</w:t>
            </w:r>
          </w:p>
        </w:tc>
      </w:tr>
    </w:tbl>
    <w:p>
      <w:pPr>
        <w:spacing w:after="0" w:line="10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We intend to use the net proceeds from this offering to fund</w:t>
      </w:r>
    </w:p>
    <w:p>
      <w:pPr>
        <w:ind w:left="5920"/>
        <w:spacing w:after="0" w:line="234" w:lineRule="auto"/>
        <w:rPr>
          <w:sz w:val="20"/>
          <w:szCs w:val="20"/>
          <w:color w:val="auto"/>
        </w:rPr>
      </w:pPr>
      <w:r>
        <w:rPr>
          <w:rFonts w:ascii="Arial" w:cs="Arial" w:eastAsia="Arial" w:hAnsi="Arial"/>
          <w:sz w:val="18"/>
          <w:szCs w:val="18"/>
          <w:color w:val="auto"/>
        </w:rPr>
        <w:t>development of the NGM282 program and related product</w:t>
      </w:r>
    </w:p>
    <w:p>
      <w:pPr>
        <w:ind w:left="5920"/>
        <w:spacing w:after="0" w:line="235" w:lineRule="auto"/>
        <w:rPr>
          <w:sz w:val="20"/>
          <w:szCs w:val="20"/>
          <w:color w:val="auto"/>
        </w:rPr>
      </w:pPr>
      <w:r>
        <w:rPr>
          <w:rFonts w:ascii="Arial" w:cs="Arial" w:eastAsia="Arial" w:hAnsi="Arial"/>
          <w:sz w:val="18"/>
          <w:szCs w:val="18"/>
          <w:color w:val="auto"/>
        </w:rPr>
        <w:t>candidates, to fund the development of our other programs,</w:t>
      </w:r>
    </w:p>
    <w:p>
      <w:pPr>
        <w:ind w:left="5920"/>
        <w:spacing w:after="0" w:line="235" w:lineRule="auto"/>
        <w:rPr>
          <w:sz w:val="20"/>
          <w:szCs w:val="20"/>
          <w:color w:val="auto"/>
        </w:rPr>
      </w:pPr>
      <w:r>
        <w:rPr>
          <w:rFonts w:ascii="Arial" w:cs="Arial" w:eastAsia="Arial" w:hAnsi="Arial"/>
          <w:sz w:val="18"/>
          <w:szCs w:val="18"/>
          <w:color w:val="auto"/>
        </w:rPr>
        <w:t>including our early-stage drug discovery programs and</w:t>
      </w:r>
    </w:p>
    <w:p>
      <w:pPr>
        <w:ind w:left="5920"/>
        <w:spacing w:after="0" w:line="235" w:lineRule="auto"/>
        <w:rPr>
          <w:sz w:val="20"/>
          <w:szCs w:val="20"/>
          <w:color w:val="auto"/>
        </w:rPr>
      </w:pPr>
      <w:r>
        <w:rPr>
          <w:rFonts w:ascii="Arial" w:cs="Arial" w:eastAsia="Arial" w:hAnsi="Arial"/>
          <w:sz w:val="18"/>
          <w:szCs w:val="18"/>
          <w:color w:val="auto"/>
        </w:rPr>
        <w:t>pre-commercialization activities, and for working capital and</w:t>
      </w:r>
    </w:p>
    <w:p>
      <w:pPr>
        <w:ind w:left="5920"/>
        <w:spacing w:after="0" w:line="235" w:lineRule="auto"/>
        <w:rPr>
          <w:sz w:val="20"/>
          <w:szCs w:val="20"/>
          <w:color w:val="auto"/>
        </w:rPr>
      </w:pPr>
      <w:r>
        <w:rPr>
          <w:rFonts w:ascii="Arial" w:cs="Arial" w:eastAsia="Arial" w:hAnsi="Arial"/>
          <w:sz w:val="18"/>
          <w:szCs w:val="18"/>
          <w:color w:val="auto"/>
        </w:rPr>
        <w:t>other general operating expenses. See “Use of Proceeds” for</w:t>
      </w:r>
    </w:p>
    <w:p>
      <w:pPr>
        <w:ind w:left="5920"/>
        <w:spacing w:after="0"/>
        <w:rPr>
          <w:sz w:val="20"/>
          <w:szCs w:val="20"/>
          <w:color w:val="auto"/>
        </w:rPr>
      </w:pPr>
      <w:r>
        <w:rPr>
          <w:rFonts w:ascii="Arial" w:cs="Arial" w:eastAsia="Arial" w:hAnsi="Arial"/>
          <w:sz w:val="18"/>
          <w:szCs w:val="18"/>
          <w:color w:val="auto"/>
        </w:rPr>
        <w:t>more detailed information.</w:t>
      </w:r>
    </w:p>
    <w:p>
      <w:pPr>
        <w:spacing w:after="0" w:line="113" w:lineRule="exact"/>
        <w:rPr>
          <w:sz w:val="20"/>
          <w:szCs w:val="20"/>
          <w:color w:val="auto"/>
        </w:rPr>
      </w:pPr>
    </w:p>
    <w:p>
      <w:pPr>
        <w:ind w:left="380"/>
        <w:spacing w:after="0"/>
        <w:tabs>
          <w:tab w:leader="none" w:pos="5900" w:val="left"/>
          <w:tab w:leader="none" w:pos="1036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7"/>
          <w:szCs w:val="17"/>
          <w:color w:val="auto"/>
        </w:rPr>
        <w:t>shares</w:t>
      </w:r>
    </w:p>
    <w:p>
      <w:pPr>
        <w:ind w:left="5920"/>
        <w:spacing w:after="0" w:line="234" w:lineRule="auto"/>
        <w:rPr>
          <w:sz w:val="20"/>
          <w:szCs w:val="20"/>
          <w:color w:val="auto"/>
        </w:rPr>
      </w:pPr>
      <w:r>
        <w:rPr>
          <w:rFonts w:ascii="Arial" w:cs="Arial" w:eastAsia="Arial" w:hAnsi="Arial"/>
          <w:sz w:val="18"/>
          <w:szCs w:val="18"/>
          <w:color w:val="auto"/>
        </w:rPr>
        <w:t>being offered by this prospectus for sale at the initial public</w:t>
      </w:r>
    </w:p>
    <w:p>
      <w:pPr>
        <w:ind w:left="5920"/>
        <w:spacing w:after="0" w:line="235" w:lineRule="auto"/>
        <w:rPr>
          <w:sz w:val="20"/>
          <w:szCs w:val="20"/>
          <w:color w:val="auto"/>
        </w:rPr>
      </w:pPr>
      <w:r>
        <w:rPr>
          <w:rFonts w:ascii="Arial" w:cs="Arial" w:eastAsia="Arial" w:hAnsi="Arial"/>
          <w:sz w:val="18"/>
          <w:szCs w:val="18"/>
          <w:color w:val="auto"/>
        </w:rPr>
        <w:t>offering price to certain of our directors, officers, employees,</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business associates and related persons. The number of shares</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available for sale to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general public will be reduced by the number of directed shares</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purchased by participants in the program. Any directed shares</w:t>
      </w:r>
    </w:p>
    <w:p>
      <w:pPr>
        <w:ind w:left="5920"/>
        <w:spacing w:after="0" w:line="234" w:lineRule="auto"/>
        <w:rPr>
          <w:sz w:val="20"/>
          <w:szCs w:val="20"/>
          <w:color w:val="auto"/>
        </w:rPr>
      </w:pPr>
      <w:r>
        <w:rPr>
          <w:rFonts w:ascii="Arial" w:cs="Arial" w:eastAsia="Arial" w:hAnsi="Arial"/>
          <w:sz w:val="18"/>
          <w:szCs w:val="18"/>
          <w:color w:val="auto"/>
        </w:rPr>
        <w:t>not purchased will be offered by the underwriters to the general</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public on the same basis as all other shares offered.</w:t>
      </w:r>
    </w:p>
    <w:p>
      <w:pPr>
        <w:sectPr>
          <w:pgSz w:w="11900" w:h="16838" w:orient="portrait"/>
          <w:cols w:equalWidth="0" w:num="1">
            <w:col w:w="11240"/>
          </w:cols>
          <w:pgMar w:left="240" w:top="459" w:right="419" w:bottom="1440" w:gutter="0" w:footer="0" w:header="0"/>
        </w:sectPr>
      </w:pP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See “Risk Factors” beginning on page 11 and the other information included in this prospectus for a discussion of factors you should carefully consider before deciding to invest in our common stock.</w:t>
      </w:r>
    </w:p>
    <w:p>
      <w:pPr>
        <w:spacing w:after="0" w:line="107" w:lineRule="exact"/>
        <w:rPr>
          <w:sz w:val="20"/>
          <w:szCs w:val="20"/>
          <w:color w:val="auto"/>
        </w:rPr>
      </w:pPr>
    </w:p>
    <w:p>
      <w:pPr>
        <w:sectPr>
          <w:pgSz w:w="11900" w:h="16838" w:orient="portrait"/>
          <w:cols w:equalWidth="0" w:num="2">
            <w:col w:w="5200" w:space="720"/>
            <w:col w:w="5320"/>
          </w:cols>
          <w:pgMar w:left="240" w:top="459" w:right="41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Proposed 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“NGM”</w:t>
      </w:r>
    </w:p>
    <w:p>
      <w:pPr>
        <w:spacing w:after="0" w:line="211" w:lineRule="exact"/>
        <w:rPr>
          <w:sz w:val="20"/>
          <w:szCs w:val="20"/>
          <w:color w:val="auto"/>
        </w:rPr>
      </w:pPr>
    </w:p>
    <w:p>
      <w:pPr>
        <w:sectPr>
          <w:pgSz w:w="11900" w:h="16838" w:orient="portrait"/>
          <w:cols w:equalWidth="0" w:num="2">
            <w:col w:w="5200" w:space="720"/>
            <w:col w:w="5320"/>
          </w:cols>
          <w:pgMar w:left="240" w:top="459" w:right="419" w:bottom="1440" w:gutter="0" w:footer="0" w:header="0"/>
          <w:type w:val="continuous"/>
        </w:sectPr>
      </w:pPr>
    </w:p>
    <w:p>
      <w:pPr>
        <w:spacing w:after="0" w:line="25" w:lineRule="exact"/>
        <w:rPr>
          <w:sz w:val="20"/>
          <w:szCs w:val="20"/>
          <w:color w:val="auto"/>
        </w:rPr>
      </w:pPr>
    </w:p>
    <w:p>
      <w:pPr>
        <w:ind w:left="380" w:right="640" w:firstLine="533"/>
        <w:spacing w:after="0"/>
        <w:rPr>
          <w:sz w:val="20"/>
          <w:szCs w:val="20"/>
          <w:color w:val="auto"/>
        </w:rPr>
      </w:pPr>
      <w:r>
        <w:rPr>
          <w:rFonts w:ascii="Arial" w:cs="Arial" w:eastAsia="Arial" w:hAnsi="Arial"/>
          <w:sz w:val="18"/>
          <w:szCs w:val="18"/>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108" w:lineRule="exact"/>
        <w:rPr>
          <w:sz w:val="20"/>
          <w:szCs w:val="20"/>
          <w:color w:val="auto"/>
        </w:rPr>
      </w:pPr>
    </w:p>
    <w:p>
      <w:pPr>
        <w:ind w:left="1100" w:right="48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2" w:lineRule="exact"/>
        <w:rPr>
          <w:rFonts w:ascii="Arial" w:cs="Arial" w:eastAsia="Arial" w:hAnsi="Arial"/>
          <w:sz w:val="18"/>
          <w:szCs w:val="18"/>
          <w:color w:val="auto"/>
        </w:rPr>
      </w:pPr>
    </w:p>
    <w:p>
      <w:pPr>
        <w:ind w:left="1100" w:right="60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2" w:lineRule="exact"/>
        <w:rPr>
          <w:rFonts w:ascii="Arial" w:cs="Arial" w:eastAsia="Arial" w:hAnsi="Arial"/>
          <w:sz w:val="18"/>
          <w:szCs w:val="18"/>
          <w:color w:val="auto"/>
        </w:rPr>
      </w:pPr>
    </w:p>
    <w:p>
      <w:pPr>
        <w:ind w:left="1100" w:right="240" w:hanging="187"/>
        <w:spacing w:after="0" w:line="238" w:lineRule="auto"/>
        <w:tabs>
          <w:tab w:leader="none" w:pos="175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our 2018 Equity Incentive Plan, or the 2018 Plan, as of June 30, 2018), reserved for future issuance under our amended and restated 2018 Plan, or the Restated 2018 Plan, which will become effective immediately prior to the completion of this offering, as well as any automatic increase in the number of shares of common stock reserved for future issuance under this benefit plan;</w:t>
      </w:r>
    </w:p>
    <w:p>
      <w:pPr>
        <w:spacing w:after="0" w:line="108" w:lineRule="exact"/>
        <w:rPr>
          <w:rFonts w:ascii="Arial" w:cs="Arial" w:eastAsia="Arial" w:hAnsi="Arial"/>
          <w:sz w:val="18"/>
          <w:szCs w:val="18"/>
          <w:color w:val="auto"/>
        </w:rPr>
      </w:pPr>
    </w:p>
    <w:p>
      <w:pPr>
        <w:ind w:left="1100" w:right="300" w:hanging="187"/>
        <w:spacing w:after="0"/>
        <w:tabs>
          <w:tab w:leader="none" w:pos="175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2018 Employee Stock Purchase Plan, or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1100" w:right="34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Except as otherwise noted, we have presented the information in this prospectus based on the following assumptions:</w:t>
      </w:r>
    </w:p>
    <w:p>
      <w:pPr>
        <w:spacing w:after="0" w:line="117" w:lineRule="exact"/>
        <w:rPr>
          <w:sz w:val="20"/>
          <w:szCs w:val="20"/>
          <w:color w:val="auto"/>
        </w:rPr>
      </w:pPr>
    </w:p>
    <w:p>
      <w:pPr>
        <w:ind w:left="1100" w:right="26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in accordance with our existing amended and restated certificate of incorporation, of all shares of convertible preferred stock outstanding as of June 30, 2018 into 94,534,932 shares of our common stock, which will occur immediately prior to the completion of this offering;</w:t>
      </w:r>
    </w:p>
    <w:p>
      <w:pPr>
        <w:spacing w:after="0" w:line="108" w:lineRule="exact"/>
        <w:rPr>
          <w:rFonts w:ascii="Arial" w:cs="Arial" w:eastAsia="Arial" w:hAnsi="Arial"/>
          <w:sz w:val="18"/>
          <w:szCs w:val="18"/>
          <w:color w:val="auto"/>
        </w:rPr>
      </w:pPr>
    </w:p>
    <w:p>
      <w:pPr>
        <w:ind w:left="1100" w:right="34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an outstanding warrant exercisable for shares of our Series A convertible preferred stock into a warrant exercisable for 39,274 shares of our common stock, which will occur immediately prior to the completion of this offering;</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380" w:type="dxa"/>
            <w:vAlign w:val="bottom"/>
          </w:tcPr>
          <w:p>
            <w:pPr>
              <w:jc w:val="right"/>
              <w:ind w:right="230"/>
              <w:spacing w:after="0"/>
              <w:rPr>
                <w:sz w:val="20"/>
                <w:szCs w:val="20"/>
                <w:color w:val="auto"/>
              </w:rPr>
            </w:pPr>
            <w:r>
              <w:rPr>
                <w:rFonts w:ascii="Arial" w:cs="Arial" w:eastAsia="Arial" w:hAnsi="Arial"/>
                <w:sz w:val="18"/>
                <w:szCs w:val="18"/>
                <w:color w:val="auto"/>
              </w:rPr>
              <w:t>•  no exercise by the underwriters of their option to purchase up to an additional</w:t>
            </w:r>
          </w:p>
        </w:tc>
        <w:tc>
          <w:tcPr>
            <w:tcW w:w="3660" w:type="dxa"/>
            <w:vAlign w:val="bottom"/>
          </w:tcPr>
          <w:p>
            <w:pPr>
              <w:ind w:left="320"/>
              <w:spacing w:after="0"/>
              <w:rPr>
                <w:sz w:val="20"/>
                <w:szCs w:val="20"/>
                <w:color w:val="auto"/>
              </w:rPr>
            </w:pPr>
            <w:r>
              <w:rPr>
                <w:rFonts w:ascii="Arial" w:cs="Arial" w:eastAsia="Arial" w:hAnsi="Arial"/>
                <w:sz w:val="18"/>
                <w:szCs w:val="18"/>
                <w:color w:val="auto"/>
              </w:rPr>
              <w:t>shares of our common stock in the</w:t>
            </w:r>
          </w:p>
        </w:tc>
      </w:tr>
      <w:tr>
        <w:trPr>
          <w:trHeight w:val="217"/>
        </w:trPr>
        <w:tc>
          <w:tcPr>
            <w:tcW w:w="7380" w:type="dxa"/>
            <w:vAlign w:val="bottom"/>
          </w:tcPr>
          <w:p>
            <w:pPr>
              <w:jc w:val="right"/>
              <w:ind w:right="5750"/>
              <w:spacing w:after="0"/>
              <w:rPr>
                <w:sz w:val="20"/>
                <w:szCs w:val="20"/>
                <w:color w:val="auto"/>
              </w:rPr>
            </w:pPr>
            <w:r>
              <w:rPr>
                <w:rFonts w:ascii="Arial" w:cs="Arial" w:eastAsia="Arial" w:hAnsi="Arial"/>
                <w:sz w:val="18"/>
                <w:szCs w:val="18"/>
                <w:color w:val="auto"/>
              </w:rPr>
              <w:t>offering;</w:t>
            </w:r>
          </w:p>
        </w:tc>
        <w:tc>
          <w:tcPr>
            <w:tcW w:w="3660" w:type="dxa"/>
            <w:vAlign w:val="bottom"/>
          </w:tcPr>
          <w:p>
            <w:pPr>
              <w:spacing w:after="0"/>
              <w:rPr>
                <w:sz w:val="18"/>
                <w:szCs w:val="18"/>
                <w:color w:val="auto"/>
              </w:rPr>
            </w:pPr>
          </w:p>
        </w:tc>
      </w:tr>
      <w:tr>
        <w:trPr>
          <w:trHeight w:val="226"/>
        </w:trPr>
        <w:tc>
          <w:tcPr>
            <w:tcW w:w="73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spacing w:after="0"/>
              <w:rPr>
                <w:sz w:val="19"/>
                <w:szCs w:val="19"/>
                <w:color w:val="auto"/>
              </w:rPr>
            </w:pPr>
          </w:p>
        </w:tc>
      </w:tr>
      <w:tr>
        <w:trPr>
          <w:trHeight w:val="604"/>
        </w:trPr>
        <w:tc>
          <w:tcPr>
            <w:tcW w:w="7380" w:type="dxa"/>
            <w:vAlign w:val="bottom"/>
          </w:tcPr>
          <w:p>
            <w:pPr>
              <w:jc w:val="right"/>
              <w:ind w:right="1730"/>
              <w:spacing w:after="0"/>
              <w:rPr>
                <w:sz w:val="20"/>
                <w:szCs w:val="20"/>
                <w:color w:val="auto"/>
              </w:rPr>
            </w:pPr>
            <w:r>
              <w:rPr>
                <w:rFonts w:ascii="Arial" w:cs="Arial" w:eastAsia="Arial" w:hAnsi="Arial"/>
                <w:sz w:val="18"/>
                <w:szCs w:val="18"/>
                <w:color w:val="auto"/>
              </w:rPr>
              <w:t>7</w:t>
            </w:r>
          </w:p>
        </w:tc>
        <w:tc>
          <w:tcPr>
            <w:tcW w:w="3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878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8788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hanging="187"/>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and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with the Secretary of State of the State of Delaware and the adoption of our amended and restated bylaws, each of which will occur upon the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78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8788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4" w:lineRule="exact"/>
        <w:rPr>
          <w:sz w:val="20"/>
          <w:szCs w:val="20"/>
          <w:color w:val="auto"/>
        </w:rPr>
      </w:pPr>
    </w:p>
    <w:p>
      <w:pPr>
        <w:jc w:val="both"/>
        <w:ind w:left="380" w:right="280" w:firstLine="533"/>
        <w:spacing w:after="0" w:line="239" w:lineRule="auto"/>
        <w:rPr>
          <w:sz w:val="20"/>
          <w:szCs w:val="20"/>
          <w:color w:val="auto"/>
        </w:rPr>
      </w:pPr>
      <w:r>
        <w:rPr>
          <w:rFonts w:ascii="Arial" w:cs="Arial" w:eastAsia="Arial" w:hAnsi="Arial"/>
          <w:sz w:val="18"/>
          <w:szCs w:val="18"/>
          <w:color w:val="auto"/>
        </w:rPr>
        <w:t>The following tables summarize our financial data and should be read together with the sections titled “Selected Consolidated Financial Data” and “Management’s Discussion and Analysis of Financial Condition and Results of Operations” and our consolidated financial statements and related notes and condensed consolidated financial statements and related notes included elsewhere in this prospectus.</w:t>
      </w:r>
    </w:p>
    <w:p>
      <w:pPr>
        <w:spacing w:after="0" w:line="202" w:lineRule="exact"/>
        <w:rPr>
          <w:sz w:val="20"/>
          <w:szCs w:val="20"/>
          <w:color w:val="auto"/>
        </w:rPr>
      </w:pPr>
    </w:p>
    <w:p>
      <w:pPr>
        <w:ind w:left="380" w:right="320" w:firstLine="533"/>
        <w:spacing w:after="0" w:line="236" w:lineRule="auto"/>
        <w:rPr>
          <w:sz w:val="20"/>
          <w:szCs w:val="20"/>
          <w:color w:val="auto"/>
        </w:rPr>
      </w:pPr>
      <w:r>
        <w:rPr>
          <w:rFonts w:ascii="Arial" w:cs="Arial" w:eastAsia="Arial" w:hAnsi="Arial"/>
          <w:sz w:val="18"/>
          <w:szCs w:val="18"/>
          <w:color w:val="auto"/>
        </w:rPr>
        <w:t>We have derived the summary consolidated statement of operations data for the years ended December 31, 2016 and 2017 from our audited consolidated financial statements included elsewhere in this prospectus. We have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Our historical results are not necessarily indicative of the results that should be expected in the future, and our unaudited interim results are not necessarily indicative of the results that should be expected for the full year or any other period.</w:t>
      </w:r>
    </w:p>
    <w:p>
      <w:pPr>
        <w:spacing w:after="0" w:line="22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7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6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26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60" w:type="dxa"/>
            <w:vAlign w:val="bottom"/>
            <w:gridSpan w:val="12"/>
          </w:tcPr>
          <w:p>
            <w:pPr>
              <w:ind w:left="7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Related party collaboration revenue</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81,435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77,141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37,918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40,731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Other collaboration revenue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4,154</w:t>
            </w:r>
          </w:p>
        </w:tc>
        <w:tc>
          <w:tcPr>
            <w:tcW w:w="12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collaboration revenue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85,589</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77,141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37,918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40,731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82,105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79,736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11,845</w:t>
            </w:r>
          </w:p>
        </w:tc>
        <w:tc>
          <w:tcPr>
            <w:tcW w:w="12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14,830</w:t>
            </w: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7,643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93,950</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94,566</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48,288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49,632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(8,361)</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(17,425)</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(10,370)</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1,806</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 before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(6,422)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(15,219)</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(7,141)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(1,060)</w:t>
            </w:r>
          </w:p>
        </w:tc>
        <w:tc>
          <w:tcPr>
            <w:tcW w:w="12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(6,922)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(9,476)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(7,141)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(0.63)</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(0.80)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(0.58)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shares used to compute net loss per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common share, basic and diluted(1)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97"/>
              </w:rPr>
              <w:t>11,064,520</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11,923,534</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w w:val="97"/>
              </w:rPr>
              <w:t>11,774,231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12,326,850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vMerge w:val="restart"/>
          </w:tcPr>
          <w:p>
            <w:pPr>
              <w:ind w:left="20"/>
              <w:spacing w:after="0"/>
              <w:rPr>
                <w:sz w:val="20"/>
                <w:szCs w:val="20"/>
                <w:color w:val="auto"/>
              </w:rPr>
            </w:pPr>
            <w:r>
              <w:rPr>
                <w:rFonts w:ascii="Arial" w:cs="Arial" w:eastAsia="Arial" w:hAnsi="Arial"/>
                <w:sz w:val="18"/>
                <w:szCs w:val="18"/>
                <w:color w:val="auto"/>
              </w:rPr>
              <w:t>Pro forma net loss per common share, basic and diluted</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tcPr>
          <w:p>
            <w:pPr>
              <w:ind w:left="200"/>
              <w:spacing w:after="0" w:line="203" w:lineRule="exact"/>
              <w:rPr>
                <w:sz w:val="20"/>
                <w:szCs w:val="20"/>
                <w:color w:val="auto"/>
              </w:rPr>
            </w:pPr>
            <w:r>
              <w:rPr>
                <w:rFonts w:ascii="Arial" w:cs="Arial" w:eastAsia="Arial" w:hAnsi="Arial"/>
                <w:sz w:val="18"/>
                <w:szCs w:val="18"/>
                <w:color w:val="auto"/>
              </w:rPr>
              <w:t>(unaudited)(1)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(0.13)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shares used to compute pro forma net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common share, basic and diluted (unaudited)(1)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9"/>
              </w:rPr>
              <w:t>106,458,466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9"/>
              </w:rPr>
              <w:t>106,861,782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581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15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right="100" w:hanging="53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As of June 30, 2018 (unaudited)</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6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right"/>
              <w:ind w:right="57"/>
              <w:spacing w:after="0" w:line="143"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r>
      <w:tr>
        <w:trPr>
          <w:trHeight w:val="175"/>
        </w:trPr>
        <w:tc>
          <w:tcPr>
            <w:tcW w:w="636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5"/>
                <w:szCs w:val="15"/>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Pro Forma(1)</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Adjusted(2)</w:t>
            </w:r>
          </w:p>
        </w:tc>
      </w:tr>
      <w:tr>
        <w:trPr>
          <w:trHeight w:val="183"/>
        </w:trPr>
        <w:tc>
          <w:tcPr>
            <w:tcW w:w="636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$ 189,227</w:t>
            </w:r>
          </w:p>
        </w:tc>
        <w:tc>
          <w:tcPr>
            <w:tcW w:w="22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  189,227</w:t>
            </w:r>
          </w:p>
        </w:tc>
        <w:tc>
          <w:tcPr>
            <w:tcW w:w="1020" w:type="dxa"/>
            <w:vAlign w:val="bottom"/>
          </w:tcPr>
          <w:p>
            <w:pPr>
              <w:jc w:val="right"/>
              <w:ind w:right="837"/>
              <w:spacing w:after="0" w:line="202"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173,395</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173,395</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237,563</w:t>
            </w:r>
          </w:p>
        </w:tc>
        <w:tc>
          <w:tcPr>
            <w:tcW w:w="224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237,563</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liabilities</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66,138</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66,138</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w:t>
            </w:r>
          </w:p>
        </w:tc>
        <w:tc>
          <w:tcPr>
            <w:tcW w:w="6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Convertible preferred stock</w:t>
            </w:r>
          </w:p>
        </w:tc>
        <w:tc>
          <w:tcPr>
            <w:tcW w:w="9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294,874</w:t>
            </w:r>
          </w:p>
        </w:tc>
        <w:tc>
          <w:tcPr>
            <w:tcW w:w="6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(153,841)</w:t>
            </w:r>
          </w:p>
        </w:tc>
        <w:tc>
          <w:tcPr>
            <w:tcW w:w="224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(153,841)</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equity (deficit)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(123,449)</w:t>
            </w:r>
          </w:p>
        </w:tc>
        <w:tc>
          <w:tcPr>
            <w:tcW w:w="224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171,546</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920" w:right="60" w:hanging="534"/>
        <w:spacing w:after="0" w:line="234" w:lineRule="auto"/>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column reflects the automatic conversion of all outstanding shares of our convertible preferred stock into shares of our common stock immediately prior to the completion of this offering and the reclassification to additional paid-in capital of our Series A convertible preferred stock warrant liability in connection with the conversion of our outstanding Series A convertible preferred stock warrant into a common stock warrant upon the completion of this offering.</w:t>
      </w:r>
    </w:p>
    <w:tbl>
      <w:tblPr>
        <w:tblLayout w:type="fixed"/>
        <w:tblInd w:w="380" w:type="dxa"/>
        <w:tblCellMar>
          <w:top w:w="0" w:type="dxa"/>
          <w:left w:w="0" w:type="dxa"/>
          <w:bottom w:w="0" w:type="dxa"/>
          <w:right w:w="0" w:type="dxa"/>
        </w:tblCellMar>
      </w:tblPr>
      <w:tr>
        <w:trPr>
          <w:trHeight w:val="206"/>
        </w:trPr>
        <w:tc>
          <w:tcPr>
            <w:tcW w:w="380" w:type="dxa"/>
            <w:vAlign w:val="bottom"/>
          </w:tcPr>
          <w:p>
            <w:pPr>
              <w:jc w:val="right"/>
              <w:ind w:right="70"/>
              <w:spacing w:after="0" w:line="206" w:lineRule="exact"/>
              <w:rPr>
                <w:sz w:val="20"/>
                <w:szCs w:val="20"/>
                <w:color w:val="auto"/>
              </w:rPr>
            </w:pPr>
            <w:r>
              <w:rPr>
                <w:rFonts w:ascii="Arial" w:cs="Arial" w:eastAsia="Arial" w:hAnsi="Arial"/>
                <w:sz w:val="18"/>
                <w:szCs w:val="18"/>
                <w:color w:val="auto"/>
                <w:w w:val="90"/>
              </w:rPr>
              <w:t>(2)</w:t>
            </w:r>
          </w:p>
        </w:tc>
        <w:tc>
          <w:tcPr>
            <w:tcW w:w="8980" w:type="dxa"/>
            <w:vAlign w:val="bottom"/>
            <w:gridSpan w:val="2"/>
          </w:tcPr>
          <w:p>
            <w:pPr>
              <w:ind w:left="160"/>
              <w:spacing w:after="0" w:line="206" w:lineRule="exact"/>
              <w:rPr>
                <w:sz w:val="20"/>
                <w:szCs w:val="20"/>
                <w:color w:val="auto"/>
              </w:rPr>
            </w:pPr>
            <w:r>
              <w:rPr>
                <w:rFonts w:ascii="Arial" w:cs="Arial" w:eastAsia="Arial" w:hAnsi="Arial"/>
                <w:sz w:val="18"/>
                <w:szCs w:val="18"/>
                <w:color w:val="auto"/>
              </w:rPr>
              <w:t>The pro forma as adjusted column further reflects the receipt of the estimated net proceeds from the sale of</w:t>
            </w:r>
          </w:p>
        </w:tc>
        <w:tc>
          <w:tcPr>
            <w:tcW w:w="1040" w:type="dxa"/>
            <w:vAlign w:val="bottom"/>
          </w:tcPr>
          <w:p>
            <w:pPr>
              <w:ind w:left="300"/>
              <w:spacing w:after="0" w:line="206" w:lineRule="exact"/>
              <w:rPr>
                <w:sz w:val="20"/>
                <w:szCs w:val="20"/>
                <w:color w:val="auto"/>
              </w:rPr>
            </w:pPr>
            <w:r>
              <w:rPr>
                <w:rFonts w:ascii="Arial" w:cs="Arial" w:eastAsia="Arial" w:hAnsi="Arial"/>
                <w:sz w:val="18"/>
                <w:szCs w:val="18"/>
                <w:color w:val="auto"/>
                <w:w w:val="97"/>
              </w:rPr>
              <w:t>shares of</w:t>
            </w:r>
          </w:p>
        </w:tc>
      </w:tr>
      <w:tr>
        <w:trPr>
          <w:trHeight w:val="203"/>
        </w:trPr>
        <w:tc>
          <w:tcPr>
            <w:tcW w:w="380" w:type="dxa"/>
            <w:vAlign w:val="bottom"/>
          </w:tcPr>
          <w:p>
            <w:pPr>
              <w:spacing w:after="0"/>
              <w:rPr>
                <w:sz w:val="17"/>
                <w:szCs w:val="17"/>
                <w:color w:val="auto"/>
              </w:rPr>
            </w:pPr>
          </w:p>
        </w:tc>
        <w:tc>
          <w:tcPr>
            <w:tcW w:w="100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common stock in this offering and the concurrent private placement to Merck at an assumed initial public offering price of</w:t>
            </w:r>
          </w:p>
        </w:tc>
      </w:tr>
      <w:tr>
        <w:trPr>
          <w:trHeight w:val="203"/>
        </w:trPr>
        <w:tc>
          <w:tcPr>
            <w:tcW w:w="380" w:type="dxa"/>
            <w:vAlign w:val="bottom"/>
          </w:tcPr>
          <w:p>
            <w:pPr>
              <w:spacing w:after="0"/>
              <w:rPr>
                <w:sz w:val="17"/>
                <w:szCs w:val="17"/>
                <w:color w:val="auto"/>
              </w:rPr>
            </w:pPr>
          </w:p>
        </w:tc>
        <w:tc>
          <w:tcPr>
            <w:tcW w:w="5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94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 prospectus, and after deducting</w:t>
            </w:r>
          </w:p>
        </w:tc>
      </w:tr>
      <w:tr>
        <w:trPr>
          <w:trHeight w:val="217"/>
        </w:trPr>
        <w:tc>
          <w:tcPr>
            <w:tcW w:w="380" w:type="dxa"/>
            <w:vAlign w:val="bottom"/>
          </w:tcPr>
          <w:p>
            <w:pPr>
              <w:spacing w:after="0"/>
              <w:rPr>
                <w:sz w:val="18"/>
                <w:szCs w:val="18"/>
                <w:color w:val="auto"/>
              </w:rPr>
            </w:pPr>
          </w:p>
        </w:tc>
        <w:tc>
          <w:tcPr>
            <w:tcW w:w="8980" w:type="dxa"/>
            <w:vAlign w:val="bottom"/>
            <w:gridSpan w:val="2"/>
          </w:tcPr>
          <w:p>
            <w:pPr>
              <w:ind w:left="16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1040" w:type="dxa"/>
            <w:vAlign w:val="bottom"/>
          </w:tcPr>
          <w:p>
            <w:pPr>
              <w:spacing w:after="0"/>
              <w:rPr>
                <w:sz w:val="18"/>
                <w:szCs w:val="18"/>
                <w:color w:val="auto"/>
              </w:rPr>
            </w:pPr>
          </w:p>
        </w:tc>
      </w:tr>
    </w:tbl>
    <w:p>
      <w:pPr>
        <w:spacing w:after="0" w:line="94" w:lineRule="exact"/>
        <w:rPr>
          <w:sz w:val="20"/>
          <w:szCs w:val="20"/>
          <w:color w:val="auto"/>
        </w:rPr>
      </w:pPr>
    </w:p>
    <w:p>
      <w:pPr>
        <w:jc w:val="both"/>
        <w:ind w:left="920" w:right="280"/>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the amount of cash, cash equivalents and short-term marketable securities, working capital, total assets and total stockholders’</w:t>
      </w:r>
    </w:p>
    <w:p>
      <w:pPr>
        <w:spacing w:after="0" w:line="2" w:lineRule="exact"/>
        <w:rPr>
          <w:sz w:val="20"/>
          <w:szCs w:val="20"/>
          <w:color w:val="auto"/>
        </w:rPr>
      </w:pPr>
    </w:p>
    <w:p>
      <w:pPr>
        <w:ind w:left="920" w:right="120"/>
        <w:spacing w:after="0" w:line="234" w:lineRule="auto"/>
        <w:rPr>
          <w:sz w:val="20"/>
          <w:szCs w:val="20"/>
          <w:color w:val="auto"/>
        </w:rPr>
      </w:pPr>
      <w:r>
        <w:rPr>
          <w:rFonts w:ascii="Arial" w:cs="Arial" w:eastAsia="Arial" w:hAnsi="Arial"/>
          <w:sz w:val="18"/>
          <w:szCs w:val="18"/>
          <w:color w:val="auto"/>
        </w:rPr>
        <w:t>equity (deficit) by approximately $ million, assuming the number of shares offered by us, as set forth on the cover page of this prospectus, along with the number of shares to be sold to Merck in the concurrent private placement, remain the same and after deducting underwriting discounts and commissions and estimated offering expenses payable by us. Similarly, each increase (decrease) of 1,000,000 shares in the number of shares of our common stock offered by us would increase (decrease) the amount of cash, cash equivalents and short-term marketable securities, working capital, total assets and total</w:t>
      </w:r>
    </w:p>
    <w:p>
      <w:pPr>
        <w:spacing w:after="0" w:line="4" w:lineRule="exact"/>
        <w:rPr>
          <w:sz w:val="20"/>
          <w:szCs w:val="20"/>
          <w:color w:val="auto"/>
        </w:rPr>
      </w:pPr>
    </w:p>
    <w:p>
      <w:pPr>
        <w:ind w:left="920" w:right="40"/>
        <w:spacing w:after="0" w:line="239" w:lineRule="auto"/>
        <w:rPr>
          <w:sz w:val="20"/>
          <w:szCs w:val="20"/>
          <w:color w:val="auto"/>
        </w:rPr>
      </w:pPr>
      <w:r>
        <w:rPr>
          <w:rFonts w:ascii="Arial" w:cs="Arial" w:eastAsia="Arial" w:hAnsi="Arial"/>
          <w:sz w:val="18"/>
          <w:szCs w:val="18"/>
          <w:color w:val="auto"/>
        </w:rPr>
        <w:t>stockholders’ equity by approximately $ million, assuming that the assumed initial public offering price remains the same, after deducting underwriting discounts and commissions and estimated offering expenses payable by us. The pro forma as adjusted information discussed above is illustrative only and will be adjusted based on the actual initial public offering price and the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i w:val="1"/>
          <w:iCs w:val="1"/>
          <w:color w:val="auto"/>
        </w:rPr>
        <w:t>Investment in our common stock involves a high degree of risk and uncertainty. You should carefully consider each of the risks and uncertainties described below before you decide to buy our common stock. You should also refer to the other information in this prospectus, including our consolidated financial statements and related notes. If any of the following risks and uncertainties materialize, our business, financial condition, liquidity and results of operations could be materially and adversely affected. This could cause the trading price of our common stock to decline, and you could lose all or part of your investment.</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December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period since commencing operations in early 2008. Our net loss was $6.9 million, $14.2 million and $7.1 million for the years ended December 31, 2016 and 2017 and the six months ended June 30, 2018, respectively. As of June 30, 2018, we had an accumulated deficit of $153.8 million.</w:t>
      </w:r>
    </w:p>
    <w:p>
      <w:pPr>
        <w:spacing w:after="0" w:line="20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preclinical testing and clinical trial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During the past two years, substantially all of our revenue was from our collaboration partner, Merck. We will require substantial additional capital to achieve our development and commercialization goals for NGM282, for any Merck licensed programs that we opt to co-develop and for any programs that Merck does not opt to develop and that we choose to develop. Under the Merck collaboration, Merck provides us with reimbursement for research and development activities of at least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Merck collaboration is insufficient, we could require significant additional capital in order to proceed with development and commercialization of our product candidates, or we may require additional partnering in order to help fund such development and commercialization. The research and early development program has an initial term of five years, through March 17, 2020, and Merck has the right to extend this period through March 17, 2022 and thereafter to extend it again through March 17, 2024. If adequate funds or partners are not available to us on a timely basis, on favorable terms or at all, we may be required to delay, limit, reduce or terminate our research and development efforts or other operations. See “Business—Our Collaboration with Merck.”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and future partners’ ability to:</w:t>
      </w:r>
    </w:p>
    <w:p>
      <w:pPr>
        <w:spacing w:after="0" w:line="114" w:lineRule="exact"/>
        <w:rPr>
          <w:sz w:val="20"/>
          <w:szCs w:val="20"/>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117"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2" w:lineRule="exact"/>
        <w:rPr>
          <w:rFonts w:ascii="Arial" w:cs="Arial" w:eastAsia="Arial" w:hAnsi="Arial"/>
          <w:sz w:val="18"/>
          <w:szCs w:val="18"/>
          <w:color w:val="auto"/>
        </w:rPr>
      </w:pPr>
    </w:p>
    <w:p>
      <w:pPr>
        <w:ind w:left="960" w:right="980" w:hanging="216"/>
        <w:spacing w:after="0" w:line="24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12"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5"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become profitable or do not sustain profitability on a continuing basis, then we may be unable to continue our operations at planned levels and be forced to reduce our operations.</w:t>
      </w:r>
    </w:p>
    <w:p>
      <w:pPr>
        <w:spacing w:after="0" w:line="28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NGM282, advance in clinical development. We believe that the net proceeds from this offering and the concurrent private placement to Merck, together with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112" w:lineRule="exact"/>
        <w:rPr>
          <w:sz w:val="20"/>
          <w:szCs w:val="20"/>
          <w:color w:val="auto"/>
        </w:rPr>
      </w:pPr>
    </w:p>
    <w:p>
      <w:pPr>
        <w:ind w:left="960" w:right="16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and clinical studies for our product candidates and future product candidates we may develop;</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a proof-of-concept study in humans;</w:t>
      </w:r>
    </w:p>
    <w:p>
      <w:pPr>
        <w:spacing w:after="0" w:line="117" w:lineRule="exact"/>
        <w:rPr>
          <w:rFonts w:ascii="Arial" w:cs="Arial" w:eastAsia="Arial" w:hAnsi="Arial"/>
          <w:sz w:val="18"/>
          <w:szCs w:val="18"/>
          <w:color w:val="auto"/>
        </w:rPr>
      </w:pPr>
    </w:p>
    <w:p>
      <w:pPr>
        <w:ind w:left="960" w:right="44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in the collaboration agreement) or terminates a program that is licensed;</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exercises either or both of its options to extend the research phase of its collaboration with us, each of which would trigger an extension payment to us;</w:t>
      </w:r>
    </w:p>
    <w:p>
      <w:pPr>
        <w:spacing w:after="0" w:line="102" w:lineRule="exact"/>
        <w:rPr>
          <w:rFonts w:ascii="Arial" w:cs="Arial" w:eastAsia="Arial" w:hAnsi="Arial"/>
          <w:sz w:val="18"/>
          <w:szCs w:val="18"/>
          <w:color w:val="auto"/>
        </w:rPr>
      </w:pPr>
    </w:p>
    <w:p>
      <w:pPr>
        <w:ind w:left="960" w:right="32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change their requirements on studies that had previously been agreed to;</w:t>
      </w:r>
    </w:p>
    <w:p>
      <w:pPr>
        <w:spacing w:after="0" w:line="108" w:lineRule="exact"/>
        <w:rPr>
          <w:rFonts w:ascii="Arial" w:cs="Arial" w:eastAsia="Arial" w:hAnsi="Arial"/>
          <w:sz w:val="18"/>
          <w:szCs w:val="18"/>
          <w:color w:val="auto"/>
        </w:rPr>
      </w:pPr>
    </w:p>
    <w:p>
      <w:pPr>
        <w:jc w:val="both"/>
        <w:ind w:left="960" w:right="10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defense and enforcement of any patents or other intellectual property rights;</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Unless and until we can generate a sufficient amount of revenue from our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future product candidates. If we do not raise additional capital, we may not be able to expand our operations or otherwise capitalize on our business opportunities, our business and financial condition will be negatively impacted and we may need to:</w:t>
      </w:r>
    </w:p>
    <w:p>
      <w:pPr>
        <w:spacing w:after="0" w:line="108" w:lineRule="exact"/>
        <w:rPr>
          <w:sz w:val="20"/>
          <w:szCs w:val="20"/>
          <w:color w:val="auto"/>
        </w:rPr>
      </w:pPr>
    </w:p>
    <w:p>
      <w:pPr>
        <w:ind w:left="960" w:right="30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02" w:lineRule="exact"/>
        <w:rPr>
          <w:rFonts w:ascii="Arial" w:cs="Arial" w:eastAsia="Arial" w:hAnsi="Arial"/>
          <w:sz w:val="18"/>
          <w:szCs w:val="18"/>
          <w:color w:val="auto"/>
        </w:rPr>
      </w:pPr>
    </w:p>
    <w:p>
      <w:pPr>
        <w:ind w:left="960" w:right="30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02"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product candidates that we otherwise would seek to develop or commercialize ourselves.</w:t>
      </w:r>
    </w:p>
    <w:p>
      <w:pPr>
        <w:spacing w:after="0" w:line="197"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288" w:lineRule="exact"/>
        <w:rPr>
          <w:sz w:val="20"/>
          <w:szCs w:val="20"/>
          <w:color w:val="auto"/>
        </w:rPr>
      </w:pPr>
    </w:p>
    <w:p>
      <w:pPr>
        <w:ind w:left="200" w:right="36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or NOL, carryforwards to offset taxable income from revenue generated from operations including corporate collaborations. However, our ability to use NOL carryforwards could be limited.</w:t>
      </w:r>
    </w:p>
    <w:p>
      <w:pPr>
        <w:spacing w:after="0" w:line="8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this offering and subsequent shifts in our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61" w:lineRule="auto"/>
        <w:rPr>
          <w:sz w:val="20"/>
          <w:szCs w:val="20"/>
          <w:color w:val="auto"/>
        </w:rPr>
      </w:pPr>
      <w:r>
        <w:rPr>
          <w:rFonts w:ascii="Arial" w:cs="Arial" w:eastAsia="Arial" w:hAnsi="Arial"/>
          <w:sz w:val="17"/>
          <w:szCs w:val="17"/>
          <w:color w:val="auto"/>
        </w:rPr>
        <w:t>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right="100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68" w:lineRule="exact"/>
        <w:rPr>
          <w:sz w:val="20"/>
          <w:szCs w:val="20"/>
          <w:color w:val="auto"/>
        </w:rPr>
      </w:pPr>
    </w:p>
    <w:p>
      <w:pPr>
        <w:jc w:val="both"/>
        <w:ind w:left="200" w:right="220" w:firstLine="551"/>
        <w:spacing w:after="0" w:line="261" w:lineRule="auto"/>
        <w:rPr>
          <w:sz w:val="20"/>
          <w:szCs w:val="20"/>
          <w:color w:val="auto"/>
        </w:rPr>
      </w:pPr>
      <w:r>
        <w:rPr>
          <w:rFonts w:ascii="Arial" w:cs="Arial" w:eastAsia="Arial" w:hAnsi="Arial"/>
          <w:sz w:val="17"/>
          <w:szCs w:val="17"/>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We or our collaborator, if any, may delay, suspend or terminate clinical trials at any time for reasons including:</w:t>
      </w:r>
    </w:p>
    <w:p>
      <w:pPr>
        <w:spacing w:after="0" w:line="92" w:lineRule="exact"/>
        <w:rPr>
          <w:sz w:val="20"/>
          <w:szCs w:val="20"/>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960" w:right="32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or poorly executed testing or changes in required endpoints by the FDA or comparable foreign authorities;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FDA inspection and review of a clinical trial site or records of any clinical or preclinical investigation;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1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2"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We have no experience in conducting the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83" w:lineRule="exact"/>
        <w:rPr>
          <w:sz w:val="20"/>
          <w:szCs w:val="20"/>
          <w:color w:val="auto"/>
        </w:rPr>
      </w:pPr>
    </w:p>
    <w:p>
      <w:pPr>
        <w:ind w:left="200" w:firstLine="551"/>
        <w:spacing w:after="0" w:line="253" w:lineRule="auto"/>
        <w:rPr>
          <w:sz w:val="20"/>
          <w:szCs w:val="20"/>
          <w:color w:val="auto"/>
        </w:rPr>
      </w:pPr>
      <w:r>
        <w:rPr>
          <w:rFonts w:ascii="Arial" w:cs="Arial" w:eastAsia="Arial" w:hAnsi="Arial"/>
          <w:sz w:val="17"/>
          <w:szCs w:val="17"/>
          <w:color w:val="auto"/>
        </w:rPr>
        <w:t>Before obtaining marketing approval from regulatory authorities for the sale of future product candidates, we or our partners must conduct extensive preclinical studies and clinical trials to demonstrate the safety and efficacy of the product candidates in humans. Preclinical studies and clinical trials are expensive, will take several years to complete and may not yield results that support further clinical development or product approvals. A failure of one or more clinical trials can occur at any stage of testing.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92"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NGM282, in Phase 1 clinical trials for NGM313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acceptable to the FDA in our trials. The need for chronic administration also increases the risk that our clinical drug development programs may not uncover all possible adverse events that patients who take our products may eventually experience. The number of patients exposed to our product treatments and the average exposure time in the clinical development programs may be inadequate to detect rare adverse events or chance findings that may only be detected once our products are administered to more patients and for greater periods of time.</w:t>
      </w:r>
    </w:p>
    <w:p>
      <w:pPr>
        <w:spacing w:after="0" w:line="203"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If we are unable to successfully discover, develop or enable our partners to develop drugs that are effective and safe in humans, we will not have a viable business.</w:t>
      </w:r>
    </w:p>
    <w:p>
      <w:pPr>
        <w:spacing w:after="0" w:line="283" w:lineRule="exact"/>
        <w:rPr>
          <w:sz w:val="20"/>
          <w:szCs w:val="20"/>
          <w:color w:val="auto"/>
        </w:rPr>
      </w:pPr>
    </w:p>
    <w:p>
      <w:pPr>
        <w:jc w:val="both"/>
        <w:ind w:left="200" w:right="160"/>
        <w:spacing w:after="0" w:line="253" w:lineRule="auto"/>
        <w:rPr>
          <w:sz w:val="20"/>
          <w:szCs w:val="20"/>
          <w:color w:val="auto"/>
        </w:rPr>
      </w:pPr>
      <w:r>
        <w:rPr>
          <w:rFonts w:ascii="Arial" w:cs="Arial" w:eastAsia="Arial" w:hAnsi="Arial"/>
          <w:sz w:val="18"/>
          <w:szCs w:val="18"/>
          <w:b w:val="1"/>
          <w:bCs w:val="1"/>
          <w:i w:val="1"/>
          <w:iCs w:val="1"/>
          <w:color w:val="auto"/>
        </w:rPr>
        <w:t>The Phase 2 clinical trial of NGM282 that has produced NASH histology data and the Phase 1b clinical trial of NGM313 that has produced liver fat data are ongoing, and the clinical data produced to date is preliminary and has not been subjected to quality control procedures.</w:t>
      </w:r>
    </w:p>
    <w:p>
      <w:pPr>
        <w:spacing w:after="0" w:line="8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have an ongoing, Phase 2 clinical trial of NGM282 in NASH and an ongoing Phase 1b clinical trial of NGM313 in obese insulin resistant subjects with fatty liver. Until the final cohort of the NGM282 Phase 2 clinical trial is completed and the analysis of pending NGM313 patient assessments and samples are completed, we are unable to perform typical quality control procedures on the data produced in these trials to ensure its accuracy. While we believe the data available to date is accurate, until such time as the final quality control procedures are performed it should be regarded as preliminary. Differences between preliminary data and final data may lead us to make different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operational decisions regarding or incur additional expenses for the development of these product candidates than we otherwise would if final data was available. Additionally, our business and prospects depend on development of these programs, and if final data is less promising than the preliminary data suggests, our business and prospects could be adversely affected.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26" w:lineRule="exact"/>
        <w:rPr>
          <w:sz w:val="20"/>
          <w:szCs w:val="20"/>
          <w:color w:val="auto"/>
        </w:rPr>
      </w:pPr>
    </w:p>
    <w:p>
      <w:pPr>
        <w:ind w:left="200" w:firstLine="551"/>
        <w:spacing w:after="0" w:line="250" w:lineRule="auto"/>
        <w:rPr>
          <w:sz w:val="20"/>
          <w:szCs w:val="20"/>
          <w:color w:val="auto"/>
        </w:rPr>
      </w:pPr>
      <w:r>
        <w:rPr>
          <w:rFonts w:ascii="Arial" w:cs="Arial" w:eastAsia="Arial" w:hAnsi="Arial"/>
          <w:sz w:val="17"/>
          <w:szCs w:val="17"/>
          <w:color w:val="auto"/>
        </w:rPr>
        <w:t>Success in preclinical studies and earlier-stage clinical trials does not ensure that later clinical trials will generate the same results or otherwise provide adequate data to demonstrate the effectiveness and safety of our product candidates. Frequently, product candidates that have shown promising results in early clinical trials have subsequently suffered significant setbacks in later clinical trials. To date, some of our clinical trials have involved small patient populations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is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88"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6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Conducting clinical studies for any of our drug candidates for approval in the United States requires filing an IND application and reaching agreement with the FDA on clinical protocols, finding appropriate clinical sites and clinical investigators, securing approvals for such studies from the institutional review board at each such site, manufacturing clinical quantities of drug candidates and supplying drug product to clinical sites. Currently, we have multiple active INDs with the FDA in the United States, including for NGM282 for NASH and PBC and NGM313 for NASH, an active Clinical Trials Notification, or CTN, in Australia for NGM120 and an active Clinical Trial Authorisation in the United Kingdom from the Medicines and Healthcare Products Regulatory Agency for NGM217 for diabetes.</w:t>
      </w:r>
    </w:p>
    <w:p>
      <w:pPr>
        <w:spacing w:after="0" w:line="205" w:lineRule="exact"/>
        <w:rPr>
          <w:sz w:val="20"/>
          <w:szCs w:val="20"/>
          <w:color w:val="auto"/>
        </w:rPr>
      </w:pPr>
    </w:p>
    <w:p>
      <w:pPr>
        <w:ind w:left="200" w:right="260" w:firstLine="551"/>
        <w:spacing w:after="0" w:line="237"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our business, results of operations and prospects. Events that may result in a delay or unsuccessful completion of clinical development include:</w:t>
      </w:r>
    </w:p>
    <w:p>
      <w:pPr>
        <w:spacing w:after="0" w:line="102" w:lineRule="exact"/>
        <w:rPr>
          <w:sz w:val="20"/>
          <w:szCs w:val="20"/>
          <w:color w:val="auto"/>
        </w:rPr>
      </w:pPr>
    </w:p>
    <w:p>
      <w:pPr>
        <w:ind w:left="96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and clinical trial sites;</w:t>
      </w:r>
    </w:p>
    <w:p>
      <w:pPr>
        <w:spacing w:after="0" w:line="102" w:lineRule="exact"/>
        <w:rPr>
          <w:rFonts w:ascii="Arial" w:cs="Arial" w:eastAsia="Arial" w:hAnsi="Arial"/>
          <w:sz w:val="18"/>
          <w:szCs w:val="18"/>
          <w:color w:val="auto"/>
        </w:rPr>
      </w:pPr>
    </w:p>
    <w:p>
      <w:pPr>
        <w:ind w:left="960" w:right="56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to the clinical sites;</w:t>
      </w:r>
    </w:p>
    <w:p>
      <w:pPr>
        <w:spacing w:after="0" w:line="117"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therapeutic candidate;</w:t>
      </w:r>
    </w:p>
    <w:p>
      <w:pPr>
        <w:spacing w:after="0" w:line="117"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12" w:lineRule="exact"/>
        <w:rPr>
          <w:sz w:val="20"/>
          <w:szCs w:val="20"/>
          <w:color w:val="auto"/>
        </w:rPr>
      </w:pPr>
    </w:p>
    <w:p>
      <w:pPr>
        <w:ind w:left="200" w:right="80" w:firstLine="551"/>
        <w:spacing w:after="0" w:line="275" w:lineRule="auto"/>
        <w:rPr>
          <w:sz w:val="20"/>
          <w:szCs w:val="20"/>
          <w:color w:val="auto"/>
        </w:rPr>
      </w:pPr>
      <w:r>
        <w:rPr>
          <w:rFonts w:ascii="Arial" w:cs="Arial" w:eastAsia="Arial" w:hAnsi="Arial"/>
          <w:sz w:val="17"/>
          <w:szCs w:val="17"/>
          <w:color w:val="auto"/>
        </w:rPr>
        <w:t>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17" w:lineRule="exact"/>
        <w:rPr>
          <w:rFonts w:ascii="Arial" w:cs="Arial" w:eastAsia="Arial" w:hAnsi="Arial"/>
          <w:sz w:val="18"/>
          <w:szCs w:val="18"/>
          <w:color w:val="auto"/>
        </w:rPr>
      </w:pPr>
    </w:p>
    <w:p>
      <w:pPr>
        <w:jc w:val="both"/>
        <w:ind w:left="960" w:right="280" w:hanging="216"/>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In particular, there is significant competition for recruiting NASH patients in clinical trials, and we or our partners may be unable to enroll the patients we need to complete clinical trials on a timely basis, or at all.</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potential product candidates.</w:t>
      </w:r>
    </w:p>
    <w:p>
      <w:pPr>
        <w:spacing w:after="0" w:line="126"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Our research efforts may initially show promise in discovering potential new protein and antibody therapeutics, yet fail to yield product candidates for clinical development for a number of reasons, including:</w:t>
      </w:r>
    </w:p>
    <w:p>
      <w:pPr>
        <w:spacing w:after="0" w:line="108" w:lineRule="exact"/>
        <w:rPr>
          <w:sz w:val="20"/>
          <w:szCs w:val="20"/>
          <w:color w:val="auto"/>
        </w:rPr>
      </w:pPr>
    </w:p>
    <w:p>
      <w:pPr>
        <w:ind w:left="960" w:right="16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tend to identify and select from our drug discovery efforts novel, untested proteins in the particular disease indication we are pursuing, which we may fail to validate after further research work;</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117"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117" w:lineRule="exact"/>
        <w:rPr>
          <w:rFonts w:ascii="Arial" w:cs="Arial" w:eastAsia="Arial" w:hAnsi="Arial"/>
          <w:sz w:val="18"/>
          <w:szCs w:val="18"/>
          <w:color w:val="auto"/>
        </w:rPr>
      </w:pPr>
    </w:p>
    <w:p>
      <w:pPr>
        <w:ind w:left="960" w:right="7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may change their development profiles or plans for potential product candidates or abandon a therapeutic area or the development of a partnered product.</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88"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products.</w:t>
      </w:r>
    </w:p>
    <w:p>
      <w:pPr>
        <w:spacing w:after="0" w:line="68"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To date, our product candidates have been manufactured by third-party manufacturers solely for preclinical studies and clinical trials. These manufacturers may not be able to scale production to the larger quantities required for large clinical trials and to commercialize our product candidates. We have entered into a Development and Manufacturing Services Agreement with Lonza Ltd. for the production of Phase 3 and commercial supplies of NGM282. The process of manufacturing our products is complex, highly regulated and subject to several risks, including:</w:t>
      </w:r>
    </w:p>
    <w:p>
      <w:pPr>
        <w:spacing w:after="0" w:line="108" w:lineRule="exact"/>
        <w:rPr>
          <w:sz w:val="20"/>
          <w:szCs w:val="20"/>
          <w:color w:val="auto"/>
        </w:rPr>
      </w:pPr>
    </w:p>
    <w:p>
      <w:pPr>
        <w:ind w:left="960" w:right="40" w:hanging="216"/>
        <w:spacing w:after="0" w:line="23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110"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third-party manufacturer may fail to qualify upon an audit by Merck under our collaboration agreement;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2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108" w:lineRule="exact"/>
        <w:rPr>
          <w:rFonts w:ascii="Arial" w:cs="Arial" w:eastAsia="Arial" w:hAnsi="Arial"/>
          <w:sz w:val="18"/>
          <w:szCs w:val="18"/>
          <w:color w:val="auto"/>
        </w:rPr>
      </w:pPr>
    </w:p>
    <w:p>
      <w:pPr>
        <w:ind w:left="960" w:right="260" w:hanging="216"/>
        <w:spacing w:after="0" w:line="23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Certain raw materials necessary for the manufacture of our product candidates under our current manufacturing process, such as reagents that support cell growth, are available only from a single supplier and have been purchased without a long-term supply agreement. For example, we have a non-exclusive license from Lonza Sales AG to use its glutamine synthetase gene expression system, available only from Lonza Sales AG, to manufacture and commercialize our proprietary products, including our product candidates that are currently subject to our collaboration with Merck. See the section titled “Business—Intellectual Property—Licensing Arrangements” for more information regarding this agreement. We do not have agreements in place that guarantee our supply or the price of these raw materials.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7"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5"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89"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The following serious adverse events were reported in our Phase 1 and five Phase 2 clinical trials of NGM282: moderate dizziness, community acquired pneumonia, iron deficiency anemia, fractured finger, pneumonitis/alveolitis, acute pancreatitis, pneumonia, pleurisy, non-myocardial infarction cardiac arrest, chest tightness, vertigo, headache, accelerated hypertension, bowel obstruction, bilirubin increase, cholangitis, progression of PSC and intervertebral discitis. Preliminary reporting from our completed Phase 1 and ongoing Phase 1b clinical trials of NGM313 showed that there were no reported serious adverse events except for a single incident of cholecystitis and rectal bleeding due to</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hemorrhoids, both of which were deemed by the investigators to be unrelated to treatment with NGM313.</w:t>
      </w:r>
    </w:p>
    <w:p>
      <w:pPr>
        <w:spacing w:after="0" w:line="21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One subject in the NGM282 Phase 2a clinical trial in type 2 diabetes developed antibodies against NGM282 that appear to cross-react with FGF19. This patient did not demonstrate any biochemical or clinical safety concerns while in the study, and we have not identified any safety concerns while monitoring the subject following the study. Six of the 36 subjects in the NGM282 Phase 2 extension clinical trial in PBC were confirmed to have antibodies against NGM282. These subjects have not demonstrated any biochemical or clinical safety signals that were different from observations in subjects that did not generate antibodies against NGM282. However, future results of our trials could reveal a high and unacceptable severity and prevalence of side effects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29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NGM282, is a modified version of a human hormone that has been associated with liver cancer in rodent testing.</w:t>
      </w:r>
    </w:p>
    <w:p>
      <w:pPr>
        <w:spacing w:after="0" w:line="68"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NGM282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NGM282 in the livers of non-human primates and mice based on concerns relating to the observation that human FGF19 can induce hepatocellular proliferation in rodents. We withdrew this IND in January 2015, as we determined that we would not further study NGM282 in type 2 diabetes after we analyzed the results of the Phase 2a clinical trial of NGM282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NGM282 to induce hepatocellular proliferation. We have received feedback from the FDA Carcinogenicity Assessment Committee, or CAC, that our preclinical data through six-month chronic toxicology studies in mice and monkeys support a single species, two-year carcinogenicity assessment in rats. The human hormone and the mouse ortholog for FGF19 share a sequence identity of approximately 50%, which means that the results of these studies of NGM282 in rats are not necessarily predictive of the potential risk of carcinogenicity in humans. To our knowledge, neither FGF19 nor any variant thereof other than NGM282 has ever been tested in humans. We believe we have identified a modified version of FGF19 that does not exhibit the cancer causing effects of native FGF19 in rodents. We believe that NGM282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NGM282.</w:t>
      </w:r>
    </w:p>
    <w:p>
      <w:pPr>
        <w:spacing w:after="0" w:line="300"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8"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29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8" w:lineRule="exact"/>
        <w:rPr>
          <w:sz w:val="20"/>
          <w:szCs w:val="20"/>
          <w:color w:val="auto"/>
        </w:rPr>
      </w:pPr>
    </w:p>
    <w:p>
      <w:pPr>
        <w:ind w:left="200" w:right="400" w:firstLine="551"/>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may also be incorrect and could cause us to miss valuable opportunities.</w:t>
      </w:r>
    </w:p>
    <w:p>
      <w:pPr>
        <w:spacing w:after="0" w:line="205" w:lineRule="exact"/>
        <w:rPr>
          <w:sz w:val="20"/>
          <w:szCs w:val="20"/>
          <w:color w:val="auto"/>
        </w:rPr>
      </w:pPr>
    </w:p>
    <w:p>
      <w:pPr>
        <w:ind w:left="200" w:right="20" w:firstLine="551"/>
        <w:spacing w:after="0" w:line="252" w:lineRule="auto"/>
        <w:rPr>
          <w:sz w:val="20"/>
          <w:szCs w:val="20"/>
          <w:color w:val="auto"/>
        </w:rPr>
      </w:pPr>
      <w:r>
        <w:rPr>
          <w:rFonts w:ascii="Arial" w:cs="Arial" w:eastAsia="Arial" w:hAnsi="Arial"/>
          <w:sz w:val="17"/>
          <w:szCs w:val="17"/>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81" w:lineRule="exact"/>
        <w:rPr>
          <w:sz w:val="20"/>
          <w:szCs w:val="20"/>
          <w:color w:val="auto"/>
        </w:rPr>
      </w:pPr>
    </w:p>
    <w:p>
      <w:pPr>
        <w:ind w:left="200" w:right="20"/>
        <w:spacing w:after="0" w:line="244"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 The departure of Dr. Chen within the next several years would permit Merck to shift the focus under our collaboration agreement to concentrate on the development of later-stage product candidates.</w:t>
      </w:r>
    </w:p>
    <w:p>
      <w:pPr>
        <w:spacing w:after="0" w:line="91"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agreements with all of our executive officers. Our employment agreements with our executive officers are terminable by them without notice and some provide for severance and change in control benefits. See the section titled “Executive and Director Compensation— Other Elements of Compensation—Agreements with our Named Executive Officers” and “Executive and Director Compensation—Other Elements of Compensation—Potential Payments Upon Termination or Change of Control” for further discussion. The loss of any one of our executive officers or key scientific consultants,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 During the initial term of the Merck collaboration, the departure of Dr. Chen as our employee or director of our research (other than on account of his employment by Merck) would give Merck the right to shift the focus of its research and development funding to concentrate on the development of later-stage product candidates, but Merck would not have the right to terminate or otherwise alter the conduct of the collaboration.</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93" w:lineRule="exact"/>
        <w:rPr>
          <w:sz w:val="20"/>
          <w:szCs w:val="20"/>
          <w:color w:val="auto"/>
        </w:rPr>
      </w:pPr>
    </w:p>
    <w:p>
      <w:pPr>
        <w:ind w:left="200" w:right="66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6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Since executing the Merck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88"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8" w:lineRule="exact"/>
        <w:rPr>
          <w:sz w:val="20"/>
          <w:szCs w:val="20"/>
          <w:color w:val="auto"/>
        </w:rPr>
      </w:pPr>
    </w:p>
    <w:p>
      <w:pPr>
        <w:ind w:left="200" w:right="40" w:firstLine="551"/>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Intercept, Madrigal, MannKind, MediciNova, Metacrine, Nalpropion, Terns, Viking, Vivus and Zafgen, are pursuing the development or marketing of pharmaceuticals that target the same diseases that are targeted by our most advanced product candidates. It is probable that the number of companies seeking to develop products and therapies for the treatment of cardio-metabolic disorders,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studies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5" w:lineRule="exact"/>
        <w:rPr>
          <w:sz w:val="20"/>
          <w:szCs w:val="20"/>
          <w:color w:val="auto"/>
        </w:rPr>
      </w:pPr>
    </w:p>
    <w:p>
      <w:pPr>
        <w:ind w:left="200" w:right="380" w:firstLine="551"/>
        <w:spacing w:after="0" w:line="238"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2"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an FXR agonist, from Intercept; MGL-3196, a beta-thyroid hormone receptor agonist from Madrigal; elobixibat, an IBAT-inhibitor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r>
        <w:rPr>
          <w:rFonts w:ascii="Arial" w:cs="Arial" w:eastAsia="Arial" w:hAnsi="Arial"/>
          <w:sz w:val="18"/>
          <w:szCs w:val="18"/>
          <w:color w:val="auto"/>
        </w:rPr>
        <w:t xml:space="preserve"> (bupropion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7"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been advanced further in clinical development than our product candidates and could receive approval before our product candidates are approved, if they are approved at all.</w:t>
      </w:r>
    </w:p>
    <w:p>
      <w:pPr>
        <w:spacing w:after="0" w:line="2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our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108" w:lineRule="exact"/>
        <w:rPr>
          <w:sz w:val="20"/>
          <w:szCs w:val="20"/>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12"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289" w:lineRule="exact"/>
        <w:rPr>
          <w:sz w:val="20"/>
          <w:szCs w:val="20"/>
          <w:color w:val="auto"/>
        </w:rPr>
      </w:pPr>
    </w:p>
    <w:p>
      <w:pPr>
        <w:jc w:val="both"/>
        <w:ind w:left="200" w:right="460"/>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83"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7"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2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or collectively, the Affordable Care Act, was enacted, which includes measures that have significantly changed the way health care is financed by both governmental and private insurers.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w:t>
      </w:r>
    </w:p>
    <w:p>
      <w:pPr>
        <w:spacing w:after="0" w:line="206"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Each of these measures was rejected by the full Senate. Congress will likely consider other legislation to replace elements of the Affordable Care Act. We continue to evaluate the effect that the Affordable Care Act and its possible repeal and replacement has on our business.</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88"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centers are located outside of the United States. Furthermore, if we or our collaborator succeeds in developing any products, we intend to market them in the European Union and other jurisdictions in addition to the United States. If approved, we or our collaborator may hire sales representatives and conduct physician and patient association outreach activities outside of the United States. Doing business internationally involves a number of risks, including but not limited to:</w:t>
      </w:r>
    </w:p>
    <w:p>
      <w:pPr>
        <w:spacing w:after="0" w:line="108" w:lineRule="exact"/>
        <w:rPr>
          <w:sz w:val="20"/>
          <w:szCs w:val="20"/>
          <w:color w:val="auto"/>
        </w:rPr>
      </w:pPr>
    </w:p>
    <w:p>
      <w:pPr>
        <w:ind w:left="960" w:right="38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02"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jc w:val="both"/>
        <w:ind w:left="960" w:right="100" w:hanging="2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240" w:top="459"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08" w:lineRule="exact"/>
        <w:rPr>
          <w:sz w:val="20"/>
          <w:szCs w:val="20"/>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293" w:lineRule="exact"/>
        <w:rPr>
          <w:sz w:val="20"/>
          <w:szCs w:val="20"/>
          <w:color w:val="auto"/>
        </w:rPr>
      </w:pPr>
    </w:p>
    <w:p>
      <w:pPr>
        <w:ind w:left="200" w:right="840"/>
        <w:spacing w:after="0" w:line="275"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6" w:lineRule="exact"/>
        <w:rPr>
          <w:sz w:val="20"/>
          <w:szCs w:val="20"/>
          <w:color w:val="auto"/>
        </w:rPr>
      </w:pPr>
    </w:p>
    <w:p>
      <w:pPr>
        <w:ind w:left="200" w:right="440" w:firstLine="551"/>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our collaborator obtains marketing approval. Restrictions under applicable federal and state healthcare laws and regulations, include the following:</w:t>
      </w:r>
    </w:p>
    <w:p>
      <w:pPr>
        <w:spacing w:after="0" w:line="111" w:lineRule="exact"/>
        <w:rPr>
          <w:sz w:val="20"/>
          <w:szCs w:val="20"/>
          <w:color w:val="auto"/>
        </w:rPr>
      </w:pPr>
    </w:p>
    <w:p>
      <w:pPr>
        <w:ind w:left="960" w:right="20" w:hanging="216"/>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rPr>
          <w:sz w:val="20"/>
          <w:szCs w:val="20"/>
          <w:color w:val="auto"/>
        </w:rPr>
      </w:pPr>
      <w:r>
        <w:rPr>
          <w:rFonts w:ascii="Arial" w:cs="Arial" w:eastAsia="Arial" w:hAnsi="Arial"/>
          <w:sz w:val="18"/>
          <w:szCs w:val="18"/>
          <w:color w:val="auto"/>
        </w:rPr>
        <w:t>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90" w:lineRule="exact"/>
        <w:rPr>
          <w:sz w:val="20"/>
          <w:szCs w:val="20"/>
          <w:color w:val="auto"/>
        </w:rPr>
      </w:pPr>
    </w:p>
    <w:p>
      <w:pPr>
        <w:ind w:left="960" w:right="40" w:hanging="216"/>
        <w:spacing w:after="0" w:line="24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04" w:lineRule="exact"/>
        <w:rPr>
          <w:rFonts w:ascii="Arial" w:cs="Arial" w:eastAsia="Arial" w:hAnsi="Arial"/>
          <w:sz w:val="18"/>
          <w:szCs w:val="18"/>
          <w:color w:val="auto"/>
        </w:rPr>
      </w:pPr>
    </w:p>
    <w:p>
      <w:pPr>
        <w:ind w:left="960" w:right="100" w:hanging="216"/>
        <w:spacing w:after="0" w:line="23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07" w:lineRule="exact"/>
        <w:rPr>
          <w:rFonts w:ascii="Arial" w:cs="Arial" w:eastAsia="Arial" w:hAnsi="Arial"/>
          <w:sz w:val="18"/>
          <w:szCs w:val="18"/>
          <w:color w:val="auto"/>
        </w:rPr>
      </w:pPr>
    </w:p>
    <w:p>
      <w:pPr>
        <w:ind w:left="960" w:hanging="216"/>
        <w:spacing w:after="0" w:line="238"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8" w:lineRule="exact"/>
        <w:rPr>
          <w:rFonts w:ascii="Arial" w:cs="Arial" w:eastAsia="Arial" w:hAnsi="Arial"/>
          <w:sz w:val="18"/>
          <w:szCs w:val="18"/>
          <w:color w:val="auto"/>
        </w:rPr>
      </w:pPr>
    </w:p>
    <w:p>
      <w:pPr>
        <w:ind w:left="960" w:right="120" w:hanging="216"/>
        <w:spacing w:after="0" w:line="23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108" w:lineRule="exact"/>
        <w:rPr>
          <w:rFonts w:ascii="Arial" w:cs="Arial" w:eastAsia="Arial" w:hAnsi="Arial"/>
          <w:sz w:val="18"/>
          <w:szCs w:val="18"/>
          <w:color w:val="auto"/>
        </w:rPr>
      </w:pPr>
    </w:p>
    <w:p>
      <w:pPr>
        <w:ind w:left="960" w:right="40" w:hanging="216"/>
        <w:spacing w:after="0" w:line="23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88"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Our facility has been subject to electrical blackouts as a result of a shortage of available electrical power. Future blackouts could disrupt the operations of our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that is the sole supplier of clinical drug substance of NGM313, NGM386, NGM395, NGM120, NGM217 and NGM621 is located in a region that has experienced recent political unrest.</w:t>
      </w:r>
    </w:p>
    <w:p>
      <w:pPr>
        <w:spacing w:after="0" w:line="289" w:lineRule="exact"/>
        <w:rPr>
          <w:sz w:val="20"/>
          <w:szCs w:val="20"/>
          <w:color w:val="auto"/>
        </w:rPr>
      </w:pPr>
    </w:p>
    <w:p>
      <w:pPr>
        <w:ind w:left="200" w:right="560"/>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Despite the implementation of security measures, our internal computer systems and those of our current and future CROs and other contractors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In 2017, a security breach of the internal computer systems of our collaborator, Merck, caused material damage to their operations, but did not affect our internal operations.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hindered or delayed.</w:t>
      </w:r>
    </w:p>
    <w:p>
      <w:pPr>
        <w:spacing w:after="0" w:line="291"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Certain of the sites for our ongoing clinical trials are located in the European Union and, if any of our product candidates are approved, we may seek to commercialize those products in the European Union. The collection and use of personal health data in the European Union is governed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ind w:left="200" w:right="60"/>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on collaborations with additional third parties for the development and commercialization of our product candidates in the future. If those collaborations are not successful, we may not be able to capitalize on the market potential of these product candidates.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NGM386, NGM395, NGM217, NGM120 and NGM621 but excluding NGM282. The collaboration involves a complex allocation of rights, provides for substantial research and development support, provides for additional payments upon Merck’s election to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of providing sales representatives to co-detail the product candidates that Merck elects to advance in the United States. See “Business—Our Collaboration with Merck.” We cannot predict the success of the collaboration.</w:t>
      </w:r>
    </w:p>
    <w:p>
      <w:pPr>
        <w:spacing w:after="0" w:line="20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NGM282.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960" w:hanging="216"/>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110" w:lineRule="exact"/>
        <w:rPr>
          <w:rFonts w:ascii="Arial" w:cs="Arial" w:eastAsia="Arial" w:hAnsi="Arial"/>
          <w:sz w:val="18"/>
          <w:szCs w:val="18"/>
          <w:color w:val="auto"/>
        </w:rPr>
      </w:pPr>
    </w:p>
    <w:p>
      <w:pPr>
        <w:ind w:left="960" w:right="100" w:hanging="216"/>
        <w:spacing w:after="0" w:line="239"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Merck might opt not to exercise its option to acquire a license to a product candidate that has generated proof-of-concept data.</w:t>
      </w:r>
    </w:p>
    <w:p>
      <w:pPr>
        <w:spacing w:after="0" w:line="107" w:lineRule="exact"/>
        <w:rPr>
          <w:rFonts w:ascii="Arial" w:cs="Arial" w:eastAsia="Arial" w:hAnsi="Arial"/>
          <w:sz w:val="18"/>
          <w:szCs w:val="18"/>
          <w:color w:val="auto"/>
        </w:rPr>
      </w:pPr>
    </w:p>
    <w:p>
      <w:pPr>
        <w:ind w:left="960" w:hanging="216"/>
        <w:spacing w:after="0" w:line="23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GDF15 program and any program for which we have not exercised our cost and profit sharing option upon prior written notice or terminate any program for which we have exercised our cost and profit sharing option upon prior written notice, without triggering a termination of the remainder of the collaboration arrangement.</w:t>
      </w:r>
    </w:p>
    <w:p>
      <w:pPr>
        <w:spacing w:after="0" w:line="110" w:lineRule="exact"/>
        <w:rPr>
          <w:rFonts w:ascii="Arial" w:cs="Arial" w:eastAsia="Arial" w:hAnsi="Arial"/>
          <w:sz w:val="18"/>
          <w:szCs w:val="18"/>
          <w:color w:val="auto"/>
        </w:rPr>
      </w:pPr>
    </w:p>
    <w:p>
      <w:pPr>
        <w:ind w:left="960" w:right="40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108" w:lineRule="exact"/>
        <w:rPr>
          <w:rFonts w:ascii="Arial" w:cs="Arial" w:eastAsia="Arial" w:hAnsi="Arial"/>
          <w:sz w:val="18"/>
          <w:szCs w:val="18"/>
          <w:color w:val="auto"/>
        </w:rPr>
      </w:pPr>
    </w:p>
    <w:p>
      <w:pPr>
        <w:ind w:left="960" w:right="58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02" w:lineRule="exact"/>
        <w:rPr>
          <w:rFonts w:ascii="Arial" w:cs="Arial" w:eastAsia="Arial" w:hAnsi="Arial"/>
          <w:sz w:val="18"/>
          <w:szCs w:val="18"/>
          <w:color w:val="auto"/>
        </w:rPr>
      </w:pPr>
    </w:p>
    <w:p>
      <w:pPr>
        <w:ind w:left="960" w:right="20" w:hanging="216"/>
        <w:spacing w:after="0" w:line="238"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our collaboration arrangement with respect to certain licensed programs and, although we may have the right to assume the maintenance and defense of our intellectual property rights if Merck does not, our ability to do so may be compromised by Merck’s actions.</w:t>
      </w:r>
    </w:p>
    <w:p>
      <w:pPr>
        <w:spacing w:after="0" w:line="108" w:lineRule="exact"/>
        <w:rPr>
          <w:rFonts w:ascii="Arial" w:cs="Arial" w:eastAsia="Arial" w:hAnsi="Arial"/>
          <w:sz w:val="18"/>
          <w:szCs w:val="18"/>
          <w:color w:val="auto"/>
        </w:rPr>
      </w:pPr>
    </w:p>
    <w:p>
      <w:pPr>
        <w:ind w:left="960" w:right="120" w:hanging="216"/>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108"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02"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02" w:lineRule="exact"/>
        <w:rPr>
          <w:rFonts w:ascii="Arial" w:cs="Arial" w:eastAsia="Arial" w:hAnsi="Arial"/>
          <w:sz w:val="18"/>
          <w:szCs w:val="18"/>
          <w:color w:val="auto"/>
        </w:rPr>
      </w:pPr>
    </w:p>
    <w:p>
      <w:pPr>
        <w:ind w:left="960" w:right="660" w:hanging="216"/>
        <w:spacing w:after="0" w:line="246"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46" w:lineRule="auto"/>
        <w:rPr>
          <w:sz w:val="20"/>
          <w:szCs w:val="20"/>
          <w:color w:val="auto"/>
        </w:rPr>
      </w:pPr>
      <w:r>
        <w:rPr>
          <w:rFonts w:ascii="Arial" w:cs="Arial" w:eastAsia="Arial" w:hAnsi="Arial"/>
          <w:sz w:val="18"/>
          <w:szCs w:val="18"/>
          <w:color w:val="auto"/>
        </w:rPr>
        <w:t>to be involved in a business combination, the continued pursuit and emphasis on our product development or commercialization program under such collaboration could be delayed, diminished or terminated.</w:t>
      </w:r>
    </w:p>
    <w:p>
      <w:pPr>
        <w:spacing w:after="0" w:line="283"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terminate or choose not to renew its agreement with us or shift the focus of its research and development funding, any of which would materially and adversely affect our business.</w:t>
      </w:r>
    </w:p>
    <w:p>
      <w:pPr>
        <w:spacing w:after="0" w:line="8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Under our collaboration agreement with Merck, Merck has the right to terminate all or part of the agreement at certain times and under certain circumstances. Merck may terminate the research and early development program effective March 17, 2020 by providing notice to us on or prior to March 17, 2019. Merck may terminate its annual funding of the research program prior to March 17, 2020 if we are acquired by a third party or if we are in material uncured breach of our obligations under the research and early development program. During the initial term of the Merck collaboration, the departure of Dr. Chen as our employee or director of our research (other than on account of his employment by Merck) gives rise to the right of Merck to shift the focus of the research and development funding provided by Merck to concentrate on the development of later-stage product candidates, but Merck would not have the right to terminate or otherwise alter the conduct of the collaboration. After the initial term of the collaboration or, if Merck exercises its option to extend the term, after such extension period, Merck may terminate the overall agreement for convenience upon written notice and subject to certain limitations.</w:t>
      </w:r>
    </w:p>
    <w:p>
      <w:pPr>
        <w:spacing w:after="0" w:line="20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Subject to certain limitations, Merck may partially terminate the agreement for convenience as it relates to the GDF15 agonist program, including NGM386 and NGM395, or to any future optioned program. It may also terminate the agreement as it relates to its rights to research and develop small molecule compounds. Merck may also terminate the agreement with respect to its license to GDF15 analogs or with respect to a specific optioned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GDF15 program or the relevant optioned program.</w:t>
      </w:r>
    </w:p>
    <w:p>
      <w:pPr>
        <w:spacing w:after="0" w:line="203"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If Merck terminates funding, terminates the collaboration agreement, decides not to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289"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 party relationships that are necessary to develop, commercialize and manufacture some or all of our product candidates.</w:t>
      </w:r>
    </w:p>
    <w:p>
      <w:pPr>
        <w:spacing w:after="0" w:line="6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clinical research organizations, manufacturers and other third parties to support our discovery efforts, to formulate product candidates, to conduct clinical trials for some or all of our product candidates, to manufacture clinical and commercial scale quantities of our drug substance and drug product and to market, sell and distribute any products we successfully develop. Any problems we experience with any of these third parties could delay the development, commercialization and manufacturing of our product candidates, which could harm our results of operations.</w:t>
      </w:r>
    </w:p>
    <w:p>
      <w:pPr>
        <w:spacing w:after="0" w:line="205"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We have contracted with third parties for the manufacture of NGM282, NGM313, NGM386, NGM395, NGM217, NGM120 and NGM621 bulk drug substance and drug product, and for the labeling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and distribution of drug product for these candidates for use in our clinical trials. We believe our current drug substance contractors have the scale, the systems and the experience to supply our Phase 2 clinical trials for NGM282, our collaborator’s Phase 1 clinical trials for NGM386 and NGM395, our Phase 1 clinical trials for NGM313, NGM217 and NGM120 and our planned Phase 1 clinical trial for NGM621.</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Other than a long-term supply agreement with Lonza for NGM282, we have not contracted with alternate suppliers in the event the organizations we are currently utilizing are unable to scale production, or if we otherwise experience any problems with them. If we are unable to arrange for alternative third-party manufacturing sources, or to do so on commercially reasonable terms or in a timely manner, we may be delayed in the development of our product candidates.</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If any of our product candidates is approved by the FDA or other regulatory agencies for commercial sale, we or our collaborator may need to manufacture it in larger quantities. We intend to use third-party manufacturers for commercial quantities of NGM282, NGM313, NGM217, NGM120 and NGM621 and will rely on our collaborator to determine whether to utilize a third-party manufacturer or internal manufacturing capacity for NGM386, NGM395 and other product candidates. Our or our collaborator’s manufacturers may not be able to successfully increase the manufacturing capacity for any of our product candidates in a timely or efficient manner, or at all. If we or our collaborator is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7"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7"/>
          <w:szCs w:val="17"/>
          <w:color w:val="auto"/>
        </w:rPr>
        <w:t>We cannot guarantee that we or, as applicable, our collaborator will be able to successfully negotiate agreements for, or maintain relationships with, collaborators, partners, licensees, clinical investigators, manufacturers and other third parties on favorable terms, if at all. If we or our collaborator is unable to obtain or maintain these agreements, we may not be able to clinically develop, formulate, manufacture, obtain regulatory approvals for or commercialize our product candidates, which will in turn adversely affect our business.</w:t>
      </w:r>
    </w:p>
    <w:p>
      <w:pPr>
        <w:spacing w:after="0" w:line="189" w:lineRule="exact"/>
        <w:rPr>
          <w:sz w:val="20"/>
          <w:szCs w:val="20"/>
          <w:color w:val="auto"/>
        </w:rPr>
      </w:pPr>
    </w:p>
    <w:p>
      <w:pPr>
        <w:ind w:left="200" w:right="60" w:firstLine="551"/>
        <w:spacing w:after="0" w:line="252" w:lineRule="auto"/>
        <w:rPr>
          <w:sz w:val="20"/>
          <w:szCs w:val="20"/>
          <w:color w:val="auto"/>
        </w:rPr>
      </w:pPr>
      <w:r>
        <w:rPr>
          <w:rFonts w:ascii="Arial" w:cs="Arial" w:eastAsia="Arial" w:hAnsi="Arial"/>
          <w:sz w:val="17"/>
          <w:szCs w:val="17"/>
          <w:color w:val="auto"/>
        </w:rPr>
        <w:t>We and our collaborator expect to expend substantial management time and effort to enter into relationships with third parties and, if we or our collaborator successfully enter into such relationships, to manage these relationships. In addition, substantial amounts of our expenditures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preclinical and clinical development and manufacturing of our programs and, therefore, enter into these relationships with less information than if these third parties were in the United States and may not choose the best parties for these relationships.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8"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NGM282, we may decide to collaborate with other pharmaceutical and biotechnology companies for their development and potential commercialization.</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207"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NGM282, is excluded from this provision, notwithstanding that both NGM282 and NGM313 signal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ind w:left="200" w:right="200" w:firstLine="551"/>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9"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43" w:lineRule="exact"/>
        <w:rPr>
          <w:sz w:val="20"/>
          <w:szCs w:val="20"/>
          <w:color w:val="auto"/>
        </w:rPr>
      </w:pPr>
    </w:p>
    <w:p>
      <w:pPr>
        <w:ind w:left="200" w:right="800" w:firstLine="551"/>
        <w:spacing w:after="0" w:line="246" w:lineRule="auto"/>
        <w:rPr>
          <w:sz w:val="20"/>
          <w:szCs w:val="20"/>
          <w:color w:val="auto"/>
        </w:rPr>
      </w:pPr>
      <w:r>
        <w:rPr>
          <w:rFonts w:ascii="Arial" w:cs="Arial" w:eastAsia="Arial" w:hAnsi="Arial"/>
          <w:sz w:val="18"/>
          <w:szCs w:val="18"/>
          <w:color w:val="auto"/>
        </w:rPr>
        <w:t>We currently rely on, and expect to continue to rely on, third parties, such as contract research organizations, clinical data management organizations, medical institutions, consultants and clinical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80"/>
        <w:spacing w:after="0"/>
        <w:rPr>
          <w:sz w:val="20"/>
          <w:szCs w:val="20"/>
          <w:color w:val="auto"/>
        </w:rPr>
      </w:pPr>
      <w:r>
        <w:rPr>
          <w:rFonts w:ascii="Arial" w:cs="Arial" w:eastAsia="Arial" w:hAnsi="Arial"/>
          <w:sz w:val="18"/>
          <w:szCs w:val="18"/>
          <w:color w:val="auto"/>
        </w:rPr>
        <w:t>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2" w:lineRule="exact"/>
        <w:rPr>
          <w:sz w:val="20"/>
          <w:szCs w:val="20"/>
          <w:color w:val="auto"/>
        </w:rPr>
      </w:pPr>
    </w:p>
    <w:p>
      <w:pPr>
        <w:jc w:val="both"/>
        <w:ind w:left="200" w:right="200" w:firstLine="551"/>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89" w:lineRule="exact"/>
        <w:rPr>
          <w:sz w:val="20"/>
          <w:szCs w:val="20"/>
          <w:color w:val="auto"/>
        </w:rPr>
      </w:pPr>
    </w:p>
    <w:p>
      <w:pPr>
        <w:ind w:left="200" w:right="60"/>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medicines or that such supply will not be available to us at an acceptable cost, which could delay, prevent or impair our development or commercialization efforts.</w:t>
      </w:r>
    </w:p>
    <w:p>
      <w:pPr>
        <w:spacing w:after="0" w:line="8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NGM282, NGM313, NGM386, NGM395, NGM217, NGM120 and NGM621 for our preclinical and clinical testing from third-party manufacturers for preclinical testing. Other than for a long-term supply agreement with Lonza for NGM282, we do not have a long-term supply agreement with any third-party manufacturer, and we purchase our required drug supply on a purchase order basis.</w:t>
      </w:r>
    </w:p>
    <w:p>
      <w:pPr>
        <w:spacing w:after="0" w:line="205"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02" w:lineRule="exact"/>
        <w:rPr>
          <w:sz w:val="20"/>
          <w:szCs w:val="20"/>
          <w:color w:val="auto"/>
        </w:rPr>
      </w:pPr>
    </w:p>
    <w:p>
      <w:pPr>
        <w:ind w:left="96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3"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203"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 could manufacture our product candidates, we may incur added costs and delays in identifying and qualifying any such replacement.</w:t>
      </w:r>
    </w:p>
    <w:p>
      <w:pPr>
        <w:spacing w:after="0" w:line="203"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medicines may adversely affect our future profit margins and our ability to commercialize any medicines that receive marketing approval on a timely and competitive basis.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68" w:lineRule="exact"/>
        <w:rPr>
          <w:sz w:val="20"/>
          <w:szCs w:val="20"/>
          <w:color w:val="auto"/>
        </w:rPr>
      </w:pPr>
    </w:p>
    <w:p>
      <w:pPr>
        <w:ind w:left="200" w:right="140" w:firstLine="551"/>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292"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8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depends upon numerous factors, including the substantial discretion of the regulatory authorities. In addition, approval policies, regulations or the type and amount of clinical data necessary to gain approval may change during the course of a product candidate’s development and may vary among jurisdictions. We have not obtained regulatory approval for any product candidate and it is possible that none of our existing product candidates or any future product candidates will ever obtain regulatory approval.</w:t>
      </w:r>
    </w:p>
    <w:p>
      <w:pPr>
        <w:spacing w:after="0" w:line="20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02" w:lineRule="exact"/>
        <w:rPr>
          <w:sz w:val="20"/>
          <w:szCs w:val="20"/>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biologics license application, or BLA, or other submission or to obtain regulatory approval;</w:t>
      </w:r>
    </w:p>
    <w:p>
      <w:pPr>
        <w:spacing w:after="0" w:line="102" w:lineRule="exact"/>
        <w:rPr>
          <w:rFonts w:ascii="Arial" w:cs="Arial" w:eastAsia="Arial" w:hAnsi="Arial"/>
          <w:sz w:val="18"/>
          <w:szCs w:val="18"/>
          <w:color w:val="auto"/>
        </w:rPr>
      </w:pPr>
    </w:p>
    <w:p>
      <w:pPr>
        <w:ind w:left="960" w:right="440" w:hanging="216"/>
        <w:spacing w:after="0" w:line="246"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12"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We have received orphan drug status for NGM282 for PBC in the United States and for PBC and PSC in the European Union. The FDA grants orphan drug designation to drugs intended to treat a rare disease or condition, which is generally defined as a disease or condition that affects fewer than 200,000 individuals in the United States and fewer than five in 10,000 individuals in the European Union. Typically, if a drug with an orphan drug designation subsequently receives the first marketing approval for the indication for which it has such designation, the drug is entitled to a period of marketing exclusivity, which precludes the FDA or the European Medicines Agency, or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7" w:lineRule="exact"/>
        <w:rPr>
          <w:sz w:val="20"/>
          <w:szCs w:val="20"/>
          <w:color w:val="auto"/>
        </w:rPr>
      </w:pPr>
    </w:p>
    <w:p>
      <w:pPr>
        <w:ind w:left="200" w:right="560" w:firstLine="551"/>
        <w:spacing w:after="0" w:line="246" w:lineRule="auto"/>
        <w:rPr>
          <w:sz w:val="20"/>
          <w:szCs w:val="20"/>
          <w:color w:val="auto"/>
        </w:rPr>
      </w:pPr>
      <w:r>
        <w:rPr>
          <w:rFonts w:ascii="Arial" w:cs="Arial" w:eastAsia="Arial" w:hAnsi="Arial"/>
          <w:sz w:val="18"/>
          <w:szCs w:val="18"/>
          <w:color w:val="auto"/>
        </w:rPr>
        <w:t>Although we have obtained orphan drug status for NGM282 for PBC and PSC, that exclusivity may not effectively protect the candidate from competition because different drugs can be approved for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5"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Although NGM282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NGM282 or any other product candidate that we are developing or may develop.</w:t>
      </w:r>
    </w:p>
    <w:p>
      <w:pPr>
        <w:spacing w:after="0" w:line="289"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8"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European Union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8"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09" w:lineRule="exact"/>
        <w:rPr>
          <w:sz w:val="20"/>
          <w:szCs w:val="20"/>
          <w:color w:val="auto"/>
        </w:rPr>
      </w:pPr>
    </w:p>
    <w:p>
      <w:pPr>
        <w:ind w:left="960" w:right="26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117"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2" w:lineRule="exact"/>
        <w:rPr>
          <w:sz w:val="20"/>
          <w:szCs w:val="20"/>
          <w:color w:val="auto"/>
        </w:rPr>
      </w:pPr>
    </w:p>
    <w:p>
      <w:pPr>
        <w:ind w:left="200" w:right="660" w:firstLine="551"/>
        <w:spacing w:after="0" w:line="24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5"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4"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88"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8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Even if we receive regulatory approval for NGM282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NGM282 is approved by the FDA based on a surrogate endpoint pursuant to accelerated approval regulations (Subpart H and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NGM282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5"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Any changes we make to our product candidates, including NGM282, NGM313, NGM386 and NGM395,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NGM282 molecule, including the half-life extended variant of FGF19 that we are developing, NGM313, NGM386, NGM395 or any of our other product candidates.</w:t>
      </w:r>
    </w:p>
    <w:p>
      <w:pPr>
        <w:spacing w:after="0" w:line="205"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NGM120, NGM217 or NGM621 product candidates, although they are disclosed and claimed in pending U.S. provisional, U.S. non-provisional and/or Patent Cooperation Treaty, or PCT, applications. The patent landscape surrounding NGM120,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 For a description of our patent portfolio, see the section titled “Business—Intellectual Property—Patents and Other Proprietary Rights.”</w:t>
      </w:r>
    </w:p>
    <w:p>
      <w:pPr>
        <w:spacing w:after="0" w:line="205" w:lineRule="exact"/>
        <w:rPr>
          <w:sz w:val="20"/>
          <w:szCs w:val="20"/>
          <w:color w:val="auto"/>
        </w:rPr>
      </w:pPr>
    </w:p>
    <w:p>
      <w:pPr>
        <w:ind w:left="200" w:right="740" w:firstLine="551"/>
        <w:spacing w:after="0" w:line="24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7" w:lineRule="exact"/>
        <w:rPr>
          <w:sz w:val="20"/>
          <w:szCs w:val="20"/>
          <w:color w:val="auto"/>
        </w:rPr>
      </w:pPr>
    </w:p>
    <w:p>
      <w:pPr>
        <w:ind w:left="200" w:right="60" w:firstLine="551"/>
        <w:spacing w:after="0" w:line="23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w:t>
      </w:r>
    </w:p>
    <w:p>
      <w:pPr>
        <w:spacing w:after="0" w:line="5"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91"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technology, which would have a material adverse effect on our business, financial condition and results of operations.</w:t>
      </w:r>
    </w:p>
    <w:p>
      <w:pPr>
        <w:spacing w:after="0" w:line="292" w:lineRule="exact"/>
        <w:rPr>
          <w:sz w:val="20"/>
          <w:szCs w:val="20"/>
          <w:color w:val="auto"/>
        </w:rPr>
      </w:pPr>
    </w:p>
    <w:p>
      <w:pPr>
        <w:ind w:left="200" w:right="68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patents. Obtaining and enforcing patents in the biopharmaceutical industry involves technological and legal complexity, and obtaining and enforcing biopharmaceutical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Patent reform laws, such as the Leahy-Smith America Invents Act, or the Leahy-Smith Act, as well as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have on the operation of our business.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94"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technology necessary to develop and commercialize our product candidates.</w:t>
      </w:r>
    </w:p>
    <w:p>
      <w:pPr>
        <w:spacing w:after="0" w:line="68"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oncology and ophthalmic fields, and there are issued third-party patents and published third-party patent applications in these fields. 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reasons, we may lose our rights to in-licensed technologies.</w:t>
      </w:r>
    </w:p>
    <w:p>
      <w:pPr>
        <w:spacing w:after="0" w:line="20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70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8" w:lineRule="exact"/>
        <w:rPr>
          <w:sz w:val="20"/>
          <w:szCs w:val="20"/>
          <w:color w:val="auto"/>
        </w:rPr>
      </w:pPr>
    </w:p>
    <w:p>
      <w:pPr>
        <w:ind w:left="200" w:right="20" w:firstLine="551"/>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Third-party pre-issuance submission of prior art to the USPTO, or opposition, derivation, revocation, reexamination, </w:t>
      </w:r>
      <w:r>
        <w:rPr>
          <w:rFonts w:ascii="Arial" w:cs="Arial" w:eastAsia="Arial" w:hAnsi="Arial"/>
          <w:sz w:val="18"/>
          <w:szCs w:val="18"/>
          <w:i w:val="1"/>
          <w:iCs w:val="1"/>
          <w:color w:val="auto"/>
        </w:rPr>
        <w:t>inter</w:t>
      </w:r>
    </w:p>
    <w:p>
      <w:pPr>
        <w:spacing w:after="0" w:line="1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or interference proceedings, or other pre-issuance or post-grant proceedings or other patent office proceedings or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which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291"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83" w:lineRule="exact"/>
        <w:rPr>
          <w:sz w:val="20"/>
          <w:szCs w:val="20"/>
          <w:color w:val="auto"/>
        </w:rPr>
      </w:pPr>
    </w:p>
    <w:p>
      <w:pPr>
        <w:ind w:left="200" w:right="180" w:firstLine="551"/>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7"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For example, through our European representative, we filed an opposition in the European Patent Office, or EPO, to a patent granted to St. Vincent’s Hospital Sydney Limited, or St. Vincent’s, claiming the use of MIC-1, also known as GDF15, in the treatment of obesity. In the first instance proceedings, the Opposition Division at the EPO upheld the patent as granted. We have appealed this decision to the Board of Appeals at the EPO and recently filed our grounds for appeal. The St. Vincent’s patent as granted is currently scheduled to expire in April 2025. Even should the patent be upheld on appeal, we and our collaborator do not believe that NGM386 and/or NGM395 would be commercially launched until after expiration of the patent. In addition, we and our collaborator have filed an opposition in the EPO to a patent granted to Amgen Inc., or Amgen, claiming the use of GDF15 polypeptides for the treatment of several metabolic disorders, but not currently including obesity, the indication for which we are presently pursuing regulatory approval. The preliminary opinion of the Opposition Division at the EPO has implicitly confirmed that the patent claims do not include the treatment of obesity, but there can be no assurance that the Opposition Division will confirm its preliminary opinion. The Opposition Division has scheduled oral proceedings for March 2019. The Amgen patent as granted is currently scheduled to expire in April 2032. If these patents have not expired, or are not invalidated in the opposition proceedings and appeals, and/or our non-infringement positions are not upheld, and these patents are successfully asserted against us in a European country court proceeding after the approval of either of our NGM386 or NGM395 product candidates for the treatment of obesity in Europe, then we may be required to obtain licenses to such patents in order to commercialize our GDF15 program product candidates, and there can be no assurance that such licenses would be available on commercially reasonable terms, or at all.</w:t>
      </w:r>
    </w:p>
    <w:p>
      <w:pPr>
        <w:spacing w:after="0" w:line="215"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An unfavorable outcome in any such proceeding could require us or our collaborator to cease using the related technology or developing or commercializing our product candidates, or to attempt to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license rights to it from the prevailing party, which may not be available on commercially reasonable terms, or at all.</w:t>
      </w:r>
    </w:p>
    <w:p>
      <w:pPr>
        <w:spacing w:after="0" w:line="212" w:lineRule="exact"/>
        <w:rPr>
          <w:sz w:val="20"/>
          <w:szCs w:val="20"/>
          <w:color w:val="auto"/>
        </w:rPr>
      </w:pPr>
    </w:p>
    <w:p>
      <w:pPr>
        <w:ind w:left="200" w:right="280" w:firstLine="551"/>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w:t>
      </w:r>
    </w:p>
    <w:p>
      <w:pPr>
        <w:spacing w:after="0" w:line="202"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The patent landscape around our NGM282, NGM313, NGM386, NGM395, NGM217, NGM120 and NGM621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NGM282, NGM313, NGM386, NGM395, NGM217, NGM120 and NGM621 product candidates. However, we may not be aware of all third-party intellectual property rights potentially relating to our product candidates and technologies. If not otherwise found to be invalid or unenforceable, we are not aware of any facts that would lead us to conclude that the claims of such third-party patents would reasonably be interpreted to encompass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 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300"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68"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9"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68"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a license agreement with Lonza Sales AG, or Lonza Sales, under which we license cell lines used to produce our product candidates that are currently subject to our collaboration with Merck. We require Lonza Sales’ prior consent to grant sub-licenses under this agreement and therefore Lonza Sales may be able to prevent us from granting sub -licenses to third parties, which could affect our ability or Merck’s ability to use certain desired manufacturers in order to manufacture our product candidates. See the section titled “Business—Intellectual Property—Licensing Arrangements” for more information regarding this agreement. 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addition to seeking patents for some of our technology and products, in our activities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6"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2" w:lineRule="exact"/>
        <w:rPr>
          <w:sz w:val="20"/>
          <w:szCs w:val="20"/>
          <w:color w:val="auto"/>
        </w:rPr>
      </w:pPr>
    </w:p>
    <w:p>
      <w:pPr>
        <w:ind w:left="960" w:right="8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2"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2"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shares of our common stock as consideration.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26" w:lineRule="exact"/>
        <w:rPr>
          <w:sz w:val="20"/>
          <w:szCs w:val="20"/>
          <w:color w:val="auto"/>
        </w:rPr>
      </w:pPr>
    </w:p>
    <w:p>
      <w:pPr>
        <w:ind w:left="200" w:right="600" w:firstLine="551"/>
        <w:spacing w:after="0"/>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08" w:lineRule="exact"/>
        <w:rPr>
          <w:sz w:val="20"/>
          <w:szCs w:val="20"/>
          <w:color w:val="auto"/>
        </w:rPr>
      </w:pPr>
    </w:p>
    <w:p>
      <w:pPr>
        <w:ind w:left="960" w:right="560" w:hanging="216"/>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960" w:right="520" w:hanging="216"/>
        <w:spacing w:after="0" w:line="246"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2"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89" w:lineRule="exact"/>
        <w:rPr>
          <w:sz w:val="20"/>
          <w:szCs w:val="20"/>
          <w:color w:val="auto"/>
        </w:rPr>
      </w:pPr>
    </w:p>
    <w:p>
      <w:pPr>
        <w:ind w:left="200" w:right="840"/>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 stockholder lawsuit could also divert the time and attention of our management. Securities litigation against us could result in substantial costs and divert our management’s attention from other business concerns, which could seriously harm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6"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89"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Merck, and management own a significant percentage of our stock and will be able to exert significant control over matters subject to stockholder approval.</w:t>
      </w:r>
    </w:p>
    <w:p>
      <w:pPr>
        <w:spacing w:after="0" w:line="68"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Prior to this offering and the concurrent private placement to Merck, our executive officers, directors, holders of 5% or more of our capital stock and their respective affiliates beneficially owned approximately 80.7% of our voting stock and, upon completion of this offering and the concurrent private placement to Merck, that same group will hold approximately % of our outstanding voting stock (assuming no exercise of the underwriters’ option to purchase additional shares, no exercise of</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outstanding options and no purchases of shares in this offering by any of this group), in each case assuming the conversion of all outstanding shares of our convertible preferred stock into shares of our common stock in connection with this offering. In particular, after this offering and the concurrent private placement, Merck is expected to own approximately 19.9% of our voting stock. After this offering and the concurrent private placement to Merck, this group of stockholders will have the ability to control us through this ownership position even if they do not purchase any additional shares in this offering. However, Merck has granted a proxy to the chairman of our board of directors to vote Merck’s shares in favor of any action recommended and approved by our board of directors, subject to certain exceptions.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90"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3" w:lineRule="exact"/>
        <w:rPr>
          <w:sz w:val="20"/>
          <w:szCs w:val="20"/>
          <w:color w:val="auto"/>
        </w:rPr>
      </w:pPr>
    </w:p>
    <w:p>
      <w:pPr>
        <w:ind w:left="200" w:right="900" w:firstLine="551"/>
        <w:spacing w:after="0" w:line="275" w:lineRule="auto"/>
        <w:rPr>
          <w:sz w:val="20"/>
          <w:szCs w:val="20"/>
          <w:color w:val="auto"/>
        </w:rPr>
      </w:pPr>
      <w:r>
        <w:rPr>
          <w:rFonts w:ascii="Arial" w:cs="Arial" w:eastAsia="Arial" w:hAnsi="Arial"/>
          <w:sz w:val="17"/>
          <w:szCs w:val="17"/>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9" w:lineRule="exact"/>
        <w:rPr>
          <w:sz w:val="20"/>
          <w:szCs w:val="20"/>
          <w:color w:val="auto"/>
        </w:rPr>
      </w:pPr>
    </w:p>
    <w:p>
      <w:pPr>
        <w:ind w:left="960" w:right="160" w:hanging="216"/>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requiring that our independent registered public accounting firm provide an attestation report on the effectiveness of our internal control over financial reporting;</w:t>
      </w:r>
    </w:p>
    <w:p>
      <w:pPr>
        <w:spacing w:after="0" w:line="102" w:lineRule="exact"/>
        <w:rPr>
          <w:rFonts w:ascii="Arial" w:cs="Arial" w:eastAsia="Arial" w:hAnsi="Arial"/>
          <w:sz w:val="18"/>
          <w:szCs w:val="18"/>
          <w:color w:val="auto"/>
        </w:rPr>
      </w:pPr>
    </w:p>
    <w:p>
      <w:pPr>
        <w:ind w:left="960" w:right="40" w:hanging="216"/>
        <w:spacing w:after="0" w:line="257"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 and</w:t>
      </w:r>
    </w:p>
    <w:p>
      <w:pPr>
        <w:spacing w:after="0" w:line="94" w:lineRule="exact"/>
        <w:rPr>
          <w:rFonts w:ascii="Arial" w:cs="Arial" w:eastAsia="Arial" w:hAnsi="Arial"/>
          <w:sz w:val="17"/>
          <w:szCs w:val="17"/>
          <w:color w:val="auto"/>
        </w:rPr>
      </w:pPr>
    </w:p>
    <w:p>
      <w:pPr>
        <w:ind w:left="960" w:right="580" w:hanging="216"/>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Although we are still evaluating the JOBS Act, we currently intend to take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93"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See “Management’s Discussion and Analysis of Financial Condition and Results of Operations—Newly Issued Accounting Pronouncements.”</w:t>
      </w:r>
    </w:p>
    <w:p>
      <w:pPr>
        <w:spacing w:after="0" w:line="189"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standards applicable to public companies until such pronouncements are made applicable to private companies. We have elected to use this extended transition period under the JOBS Act with respect to ASU 2014-09, which will result in ASU 2014-09 becoming applicable to us for the year ended December 31, 2019. While we have not completed an assessment of the impact or selected the method of adoption, the adoption of ASU 2014-09 may have a material effect on our consolidated financial statements.</w:t>
      </w:r>
    </w:p>
    <w:p>
      <w:pPr>
        <w:spacing w:after="0" w:line="288"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8"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a public company, we will be subject to the reporting requirements of the Exchange Act, the Sarbanes-Oxley Act of 2002, the Dodd-Frank Wall Street Reform and Protection Act, as well as rules adopted, and to be adopted, by the SEC and the Nasdaq Global Market. Our management and other personnel will need to devote a substantial amount of time to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Market.</w:t>
      </w:r>
    </w:p>
    <w:p>
      <w:pPr>
        <w:spacing w:after="0" w:line="20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and we cannot assure you that there will not be material weaknesses or significant deficiencies in our internal controls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6" w:lineRule="exact"/>
        <w:rPr>
          <w:sz w:val="20"/>
          <w:szCs w:val="20"/>
          <w:color w:val="auto"/>
        </w:rPr>
      </w:pPr>
    </w:p>
    <w:p>
      <w:pPr>
        <w:ind w:left="200" w:right="180" w:firstLine="551"/>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spacing w:after="0" w:line="1" w:lineRule="exact"/>
        <w:rPr>
          <w:sz w:val="20"/>
          <w:szCs w:val="20"/>
          <w:color w:val="auto"/>
        </w:rPr>
      </w:pPr>
    </w:p>
    <w:p>
      <w:pPr>
        <w:ind w:left="200" w:right="380"/>
        <w:spacing w:after="0" w:line="243"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w:t>
      </w: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tabs>
          <w:tab w:leader="none" w:pos="7140" w:val="left"/>
        </w:tabs>
        <w:rPr>
          <w:sz w:val="20"/>
          <w:szCs w:val="20"/>
          <w:color w:val="auto"/>
        </w:rPr>
      </w:pPr>
      <w:r>
        <w:rPr>
          <w:rFonts w:ascii="Arial" w:cs="Arial" w:eastAsia="Arial" w:hAnsi="Arial"/>
          <w:sz w:val="18"/>
          <w:szCs w:val="18"/>
          <w:color w:val="auto"/>
        </w:rPr>
        <w:t>2018, assuming: (i) no exercise of the underwriters’ option to purchase up to</w:t>
      </w:r>
      <w:r>
        <w:rPr>
          <w:sz w:val="20"/>
          <w:szCs w:val="20"/>
          <w:color w:val="auto"/>
        </w:rPr>
        <w:tab/>
      </w:r>
      <w:r>
        <w:rPr>
          <w:rFonts w:ascii="Arial" w:cs="Arial" w:eastAsia="Arial" w:hAnsi="Arial"/>
          <w:sz w:val="17"/>
          <w:szCs w:val="17"/>
          <w:color w:val="auto"/>
        </w:rPr>
        <w:t>additional shares; and (ii) the conversion of all</w:t>
      </w:r>
    </w:p>
    <w:p>
      <w:pPr>
        <w:ind w:left="200" w:right="20"/>
        <w:spacing w:after="0" w:line="236" w:lineRule="auto"/>
        <w:rPr>
          <w:sz w:val="20"/>
          <w:szCs w:val="20"/>
          <w:color w:val="auto"/>
        </w:rPr>
      </w:pPr>
      <w:r>
        <w:rPr>
          <w:rFonts w:ascii="Arial" w:cs="Arial" w:eastAsia="Arial" w:hAnsi="Arial"/>
          <w:sz w:val="18"/>
          <w:szCs w:val="18"/>
          <w:color w:val="auto"/>
        </w:rPr>
        <w:t>outstanding shares of our convertible preferred stock into 94,534,932 shares of common stock upon the completion of this offering. This includes the shares that we sell in this offering, which may be resold in the public market immediately without restriction, unless purchased by our affiliates, and the private placement to Merck. Substantially all of the shares of our common stock not sold in this offering will be as a result of securities laws or lock-up agreements but will be able to be sold after this offering as described in the section titled “Shares Eligible for Future Sale.” Moreover, after this offering, holders of an aggregate of 94,574,206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p>
    <w:p>
      <w:pPr>
        <w:spacing w:after="0" w:line="294"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68" w:lineRule="exact"/>
        <w:rPr>
          <w:sz w:val="20"/>
          <w:szCs w:val="20"/>
          <w:color w:val="auto"/>
        </w:rPr>
      </w:pPr>
    </w:p>
    <w:p>
      <w:pPr>
        <w:ind w:left="200" w:right="220" w:firstLine="551"/>
        <w:spacing w:after="0" w:line="248" w:lineRule="auto"/>
        <w:rPr>
          <w:sz w:val="20"/>
          <w:szCs w:val="20"/>
          <w:color w:val="auto"/>
        </w:rPr>
      </w:pPr>
      <w:r>
        <w:rPr>
          <w:rFonts w:ascii="Arial" w:cs="Arial" w:eastAsia="Arial" w:hAnsi="Arial"/>
          <w:sz w:val="17"/>
          <w:szCs w:val="17"/>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w:t>
      </w:r>
    </w:p>
    <w:p>
      <w:pPr>
        <w:spacing w:after="0" w:line="1"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subtracting our liabilities. As a result, investors purchasing common stock in this offering will incur immediate dilution of $ per share, based on an assumed initial public offering price of $ per share, the midpoint of the price range set forth on the cover of this prospectus. Further, investors purchasing common stock in this offering will contribute approximately % of the total amount invested by stockholders since our inception, but will own only approximately % of the shares of common stock outstanding.</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than the price offered to the public in this offering when they purchased their shares including the exercise of stock options granted to our employees. As of June 30, 2018, options to purchase 19,398,203 shares of our common stock at a weighted average exercise price of $2.70 per share were outstanding, together with a warrant to purchase 39,274 shares of our Series A convertible preferred stock at an exercise price of $1.00 per share, and all options and the warrant are currently exercisable. The exercise of any of these options or the warrant would result in additional dilution. As a result of the dilution to investors purchasing shares in this offering, investors may receive significantly less than the purchase price paid in this offering, if anything, in the event of a liquidation.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6"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Upon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8"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collaboration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that will become effective upon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07" w:lineRule="exact"/>
        <w:rPr>
          <w:sz w:val="20"/>
          <w:szCs w:val="20"/>
          <w:color w:val="auto"/>
        </w:rPr>
      </w:pPr>
    </w:p>
    <w:p>
      <w:pPr>
        <w:ind w:left="96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02"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02"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Certain provisions in our collaboration agreements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 See the section titled “Business—Our Collaboration with Merck” for more information.</w:t>
      </w:r>
    </w:p>
    <w:p>
      <w:pPr>
        <w:spacing w:after="0" w:line="202"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collaboration agreement with Merck that has the effect of delaying or</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deterring a change in control could limit the opportunity for our stockholders to receive a premium for their shares of our common stock, and could also affect the price that some investors are willing to pay for our common stock.</w:t>
      </w:r>
    </w:p>
    <w:p>
      <w:pPr>
        <w:spacing w:after="0" w:line="283" w:lineRule="exact"/>
        <w:rPr>
          <w:sz w:val="20"/>
          <w:szCs w:val="20"/>
          <w:color w:val="auto"/>
        </w:rPr>
      </w:pPr>
    </w:p>
    <w:p>
      <w:pPr>
        <w:ind w:left="200" w:right="46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certain litigation that may be initiated by our stockholders, which could limit our stockholders’ ability to obtain a favorable judicial forum for disputes with us or our directors, officers or employees.</w:t>
      </w:r>
    </w:p>
    <w:p>
      <w:pPr>
        <w:spacing w:after="0" w:line="8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Our amended and restated certificate of incorporation further provides that the federal district courts of the United States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294"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or if they cease to cover our company, the trading price for our stock would likely be negatively impacted. In the event that securities or industry analysts initiate coverage,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prospectus include, but are not limited to, statements about:</w:t>
      </w:r>
    </w:p>
    <w:p>
      <w:pPr>
        <w:spacing w:after="0" w:line="111" w:lineRule="exact"/>
        <w:rPr>
          <w:sz w:val="20"/>
          <w:szCs w:val="20"/>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117" w:lineRule="exact"/>
        <w:rPr>
          <w:rFonts w:ascii="Arial" w:cs="Arial" w:eastAsia="Arial" w:hAnsi="Arial"/>
          <w:sz w:val="18"/>
          <w:szCs w:val="18"/>
          <w:color w:val="auto"/>
        </w:rPr>
      </w:pPr>
    </w:p>
    <w:p>
      <w:pPr>
        <w:ind w:left="960" w:right="12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NGM282, NGM313, NGM386, NGM395, NGM120, NGM217, NGM621 and any of our future product candidates, and any related restrictions, limitations, and/or warnings in the label of an approved product candidate;</w:t>
      </w:r>
    </w:p>
    <w:p>
      <w:pPr>
        <w:spacing w:after="0" w:line="108"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belief that NGM282 will have a superior therapeutic profile in NASH patients with moderate to advanced fibrosis based on clinical data showing reduced liver fat content, liver aminotransferase levels and fibrosis marker levels;</w:t>
      </w:r>
    </w:p>
    <w:p>
      <w:pPr>
        <w:spacing w:after="0" w:line="102" w:lineRule="exact"/>
        <w:rPr>
          <w:rFonts w:ascii="Arial" w:cs="Arial" w:eastAsia="Arial" w:hAnsi="Arial"/>
          <w:sz w:val="18"/>
          <w:szCs w:val="18"/>
          <w:color w:val="auto"/>
        </w:rPr>
      </w:pPr>
    </w:p>
    <w:p>
      <w:pPr>
        <w:ind w:left="960" w:right="28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belief that NGM313 will have a superior therapeutic profile in NASH patients with early stage fibrosis that also have type 2 diabetes based on clinical data showing reduced liver fat content and liver aminotransferase levels, along with improved measures of insulin sensitivity;</w:t>
      </w:r>
    </w:p>
    <w:p>
      <w:pPr>
        <w:spacing w:after="0" w:line="108"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renewal of our collaboration agreement with Merck and Merck’s decision to exercise its option to license one or more of our programs upon our completion of a proof-of-concept study in humans;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NGM282, NGM313, NGM386, NGM395, NGM217, NGM120 and NGM621, or any other future approved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third-party suppliers and manufacturers;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use of the net proceeds from this offering; and</w:t>
      </w:r>
    </w:p>
    <w:p>
      <w:pPr>
        <w:spacing w:after="0" w:line="11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These forward-looking statements reflect our management’s beliefs and views with respect to future events and are based on estimates and assumptions as of the date of this prospectus and are subject to risks and uncertainties. We discuss many of these risks in greater detail under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20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Except as required by law, we undertake no obligation to publicly update any forward-looking statements, whether as a result of new information, future events or otherwise.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INDUSTRY AND MARKET DATA</w:t>
      </w:r>
    </w:p>
    <w:p>
      <w:pPr>
        <w:spacing w:after="0" w:line="234"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This prospectus contains estimates, projections and other information concerning our industry and our business, including estimated market size, projected growth rates and the prevalence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industry, business, market, medical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medical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08"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In some cases, we do not expressly refer to the sources from which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240" w:top="459" w:right="5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620" w:type="dxa"/>
            <w:vAlign w:val="bottom"/>
            <w:gridSpan w:val="2"/>
          </w:tcPr>
          <w:p>
            <w:pPr>
              <w:ind w:left="3480"/>
              <w:spacing w:after="0"/>
              <w:rPr>
                <w:sz w:val="20"/>
                <w:szCs w:val="20"/>
                <w:color w:val="auto"/>
              </w:rPr>
            </w:pPr>
            <w:r>
              <w:rPr>
                <w:rFonts w:ascii="Arial" w:cs="Arial" w:eastAsia="Arial" w:hAnsi="Arial"/>
                <w:sz w:val="18"/>
                <w:szCs w:val="18"/>
                <w:b w:val="1"/>
                <w:bCs w:val="1"/>
                <w:color w:val="auto"/>
              </w:rPr>
              <w:t>USE OF PROCEEDS</w:t>
            </w:r>
          </w:p>
        </w:tc>
        <w:tc>
          <w:tcPr>
            <w:tcW w:w="1280" w:type="dxa"/>
            <w:vAlign w:val="bottom"/>
          </w:tcPr>
          <w:p>
            <w:pPr>
              <w:spacing w:after="0"/>
              <w:rPr>
                <w:sz w:val="24"/>
                <w:szCs w:val="24"/>
                <w:color w:val="auto"/>
              </w:rPr>
            </w:pPr>
          </w:p>
        </w:tc>
      </w:tr>
      <w:tr>
        <w:trPr>
          <w:trHeight w:val="404"/>
        </w:trPr>
        <w:tc>
          <w:tcPr>
            <w:tcW w:w="6240" w:type="dxa"/>
            <w:vAlign w:val="bottom"/>
            <w:gridSpan w:val="2"/>
          </w:tcPr>
          <w:p>
            <w:pPr>
              <w:ind w:left="760"/>
              <w:spacing w:after="0"/>
              <w:rPr>
                <w:sz w:val="20"/>
                <w:szCs w:val="20"/>
                <w:color w:val="auto"/>
              </w:rPr>
            </w:pPr>
            <w:r>
              <w:rPr>
                <w:rFonts w:ascii="Arial" w:cs="Arial" w:eastAsia="Arial" w:hAnsi="Arial"/>
                <w:sz w:val="18"/>
                <w:szCs w:val="18"/>
                <w:color w:val="auto"/>
              </w:rPr>
              <w:t>We estimate that we will receive net proceeds of approximately $</w:t>
            </w:r>
          </w:p>
        </w:tc>
        <w:tc>
          <w:tcPr>
            <w:tcW w:w="2740" w:type="dxa"/>
            <w:vAlign w:val="bottom"/>
          </w:tcPr>
          <w:p>
            <w:pPr>
              <w:ind w:left="340"/>
              <w:spacing w:after="0"/>
              <w:rPr>
                <w:sz w:val="20"/>
                <w:szCs w:val="20"/>
                <w:color w:val="auto"/>
              </w:rPr>
            </w:pPr>
            <w:r>
              <w:rPr>
                <w:rFonts w:ascii="Arial" w:cs="Arial" w:eastAsia="Arial" w:hAnsi="Arial"/>
                <w:sz w:val="18"/>
                <w:szCs w:val="18"/>
                <w:color w:val="auto"/>
              </w:rPr>
              <w:t>million, or approximately $</w:t>
            </w:r>
          </w:p>
        </w:tc>
        <w:tc>
          <w:tcPr>
            <w:tcW w:w="1280" w:type="dxa"/>
            <w:vAlign w:val="bottom"/>
          </w:tcPr>
          <w:p>
            <w:pPr>
              <w:ind w:left="340"/>
              <w:spacing w:after="0"/>
              <w:rPr>
                <w:sz w:val="20"/>
                <w:szCs w:val="20"/>
                <w:color w:val="auto"/>
              </w:rPr>
            </w:pPr>
            <w:r>
              <w:rPr>
                <w:rFonts w:ascii="Arial" w:cs="Arial" w:eastAsia="Arial" w:hAnsi="Arial"/>
                <w:sz w:val="18"/>
                <w:szCs w:val="18"/>
                <w:color w:val="auto"/>
                <w:w w:val="96"/>
              </w:rPr>
              <w:t>million if the</w:t>
            </w:r>
          </w:p>
        </w:tc>
      </w:tr>
    </w:tbl>
    <w:p>
      <w:pPr>
        <w:ind w:left="20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exercise their option to purchase additional shares in full, from the sale of the shares of common stock offered by us in this</w:t>
      </w:r>
    </w:p>
    <w:p>
      <w:pPr>
        <w:spacing w:after="0" w:line="1" w:lineRule="exact"/>
        <w:rPr>
          <w:sz w:val="20"/>
          <w:szCs w:val="20"/>
          <w:color w:val="auto"/>
        </w:rPr>
      </w:pPr>
    </w:p>
    <w:p>
      <w:pPr>
        <w:ind w:left="200"/>
        <w:spacing w:after="0" w:line="234" w:lineRule="auto"/>
        <w:rPr>
          <w:sz w:val="20"/>
          <w:szCs w:val="20"/>
          <w:color w:val="auto"/>
        </w:rPr>
      </w:pPr>
      <w:r>
        <w:rPr>
          <w:rFonts w:ascii="Arial" w:cs="Arial" w:eastAsia="Arial" w:hAnsi="Arial"/>
          <w:sz w:val="18"/>
          <w:szCs w:val="18"/>
          <w:color w:val="auto"/>
        </w:rPr>
        <w:t>offering, based on an assumed initial public offering price of $ per share, the midpoint of the estimated offering price range set forth on the cover page of this prospectus, and after deducting the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10280" w:val="left"/>
        </w:tabs>
        <w:rPr>
          <w:sz w:val="20"/>
          <w:szCs w:val="20"/>
          <w:color w:val="auto"/>
        </w:rPr>
      </w:pPr>
      <w:r>
        <w:rPr>
          <w:rFonts w:ascii="Arial" w:cs="Arial" w:eastAsia="Arial" w:hAnsi="Arial"/>
          <w:sz w:val="18"/>
          <w:szCs w:val="18"/>
          <w:color w:val="auto"/>
        </w:rPr>
        <w:t>payable by us. Additionally, we estimate that our net proceeds from the concurrent private placement to Merck will be $</w:t>
      </w:r>
      <w:r>
        <w:rPr>
          <w:sz w:val="20"/>
          <w:szCs w:val="20"/>
          <w:color w:val="auto"/>
        </w:rPr>
        <w:tab/>
      </w:r>
      <w:r>
        <w:rPr>
          <w:rFonts w:ascii="Arial" w:cs="Arial" w:eastAsia="Arial" w:hAnsi="Arial"/>
          <w:sz w:val="18"/>
          <w:szCs w:val="18"/>
          <w:color w:val="auto"/>
        </w:rPr>
        <w:t>million.</w:t>
      </w:r>
    </w:p>
    <w:p>
      <w:pPr>
        <w:spacing w:after="0" w:line="212" w:lineRule="exact"/>
        <w:rPr>
          <w:sz w:val="20"/>
          <w:szCs w:val="20"/>
          <w:color w:val="auto"/>
        </w:rPr>
      </w:pPr>
    </w:p>
    <w:p>
      <w:pPr>
        <w:ind w:left="200" w:right="40" w:firstLine="551"/>
        <w:spacing w:after="0" w:line="234" w:lineRule="auto"/>
        <w:rPr>
          <w:sz w:val="20"/>
          <w:szCs w:val="20"/>
          <w:color w:val="auto"/>
        </w:rPr>
      </w:pPr>
      <w:r>
        <w:rPr>
          <w:rFonts w:ascii="Arial" w:cs="Arial" w:eastAsia="Arial" w:hAnsi="Arial"/>
          <w:sz w:val="18"/>
          <w:szCs w:val="18"/>
          <w:color w:val="auto"/>
        </w:rPr>
        <w:t>A $1.00 increase (decrease) in the assumed initial public offering price of $ per share, the midpoint of the estimated offering price range set forth on the cover page of this prospectus, would increase (decrease) the net proceeds to us from this offering by approximately $ million, assuming that the number of shares offered by us, as set forth on the cover page of this prospectus, along</w:t>
      </w:r>
    </w:p>
    <w:p>
      <w:pPr>
        <w:spacing w:after="0" w:line="2" w:lineRule="exact"/>
        <w:rPr>
          <w:sz w:val="20"/>
          <w:szCs w:val="20"/>
          <w:color w:val="auto"/>
        </w:rPr>
      </w:pPr>
    </w:p>
    <w:p>
      <w:pPr>
        <w:ind w:left="200" w:right="140"/>
        <w:spacing w:after="0" w:line="248" w:lineRule="auto"/>
        <w:rPr>
          <w:sz w:val="20"/>
          <w:szCs w:val="20"/>
          <w:color w:val="auto"/>
        </w:rPr>
      </w:pPr>
      <w:r>
        <w:rPr>
          <w:rFonts w:ascii="Arial" w:cs="Arial" w:eastAsia="Arial" w:hAnsi="Arial"/>
          <w:sz w:val="17"/>
          <w:szCs w:val="17"/>
          <w:color w:val="auto"/>
        </w:rPr>
        <w:t>with the number of shares to be sold to Merck in the concurrent private placement, remain the same and after deducting the underwriting discounts and commissions and estimated offering expenses payable by us, and the net proceeds from the concurrent private placement</w:t>
      </w:r>
    </w:p>
    <w:p>
      <w:pPr>
        <w:spacing w:after="0" w:line="1" w:lineRule="exact"/>
        <w:rPr>
          <w:sz w:val="20"/>
          <w:szCs w:val="20"/>
          <w:color w:val="auto"/>
        </w:rPr>
      </w:pPr>
    </w:p>
    <w:p>
      <w:pPr>
        <w:ind w:left="200"/>
        <w:spacing w:after="0"/>
        <w:tabs>
          <w:tab w:leader="none" w:pos="3200" w:val="left"/>
        </w:tabs>
        <w:rPr>
          <w:sz w:val="20"/>
          <w:szCs w:val="20"/>
          <w:color w:val="auto"/>
        </w:rPr>
      </w:pPr>
      <w:r>
        <w:rPr>
          <w:rFonts w:ascii="Arial" w:cs="Arial" w:eastAsia="Arial" w:hAnsi="Arial"/>
          <w:sz w:val="18"/>
          <w:szCs w:val="18"/>
          <w:color w:val="auto"/>
        </w:rPr>
        <w:t>with Merck by approximately $</w:t>
      </w:r>
      <w:r>
        <w:rPr>
          <w:sz w:val="20"/>
          <w:szCs w:val="20"/>
          <w:color w:val="auto"/>
        </w:rPr>
        <w:tab/>
      </w:r>
      <w:r>
        <w:rPr>
          <w:rFonts w:ascii="Arial" w:cs="Arial" w:eastAsia="Arial" w:hAnsi="Arial"/>
          <w:sz w:val="18"/>
          <w:szCs w:val="18"/>
          <w:color w:val="auto"/>
        </w:rPr>
        <w:t>million.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Similarly, a 1.0 million share increase (decrease) in the number of shares offered by us would increase (decrease) the net proceeds</w:t>
      </w:r>
    </w:p>
    <w:p>
      <w:pPr>
        <w:spacing w:after="0" w:line="7"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to us by $ million, assuming the assumed initial public offering price of $ per share, the midpoint of the estimated offering price range set forth on the cover page of this prospectus, remains the same, and after deducting underwriting discounts and commissions and estimated offering expenses payable by us, and the net proceeds from the concurrent private placement with Merck by approximately</w:t>
      </w:r>
    </w:p>
    <w:p>
      <w:pPr>
        <w:spacing w:after="0" w:line="2" w:lineRule="exact"/>
        <w:rPr>
          <w:sz w:val="20"/>
          <w:szCs w:val="20"/>
          <w:color w:val="auto"/>
        </w:rPr>
      </w:pPr>
    </w:p>
    <w:p>
      <w:pPr>
        <w:ind w:left="900" w:hanging="69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million.</w:t>
      </w:r>
    </w:p>
    <w:p>
      <w:pPr>
        <w:spacing w:after="0" w:line="212"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principal purposes of this offering are to obtain additional capital to support our operations, to establish a public market for our common stock and to facilitate our future access to the public equity markets. We anticipate that we will use the net proceeds of this offering, together with our existing cash, cash equivalents and short-term marketable securities, for the following purposes:</w:t>
      </w:r>
    </w:p>
    <w:p>
      <w:pPr>
        <w:sectPr>
          <w:pgSz w:w="11900" w:h="16838" w:orient="portrait"/>
          <w:cols w:equalWidth="0" w:num="1">
            <w:col w:w="11220"/>
          </w:cols>
          <w:pgMar w:left="240" w:top="446" w:right="439" w:bottom="1440" w:gutter="0" w:footer="0" w:header="0"/>
        </w:sectPr>
      </w:pPr>
    </w:p>
    <w:p>
      <w:pPr>
        <w:spacing w:after="0" w:line="108"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approximately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million to fund the development of the NGM282 program and related product candidates;</w:t>
      </w:r>
    </w:p>
    <w:p>
      <w:pPr>
        <w:spacing w:after="0" w:line="117" w:lineRule="exact"/>
        <w:rPr>
          <w:sz w:val="20"/>
          <w:szCs w:val="20"/>
          <w:color w:val="auto"/>
        </w:rPr>
      </w:pPr>
    </w:p>
    <w:p>
      <w:pPr>
        <w:sectPr>
          <w:pgSz w:w="11900" w:h="16838" w:orient="portrait"/>
          <w:cols w:equalWidth="0" w:num="2">
            <w:col w:w="2240" w:space="640"/>
            <w:col w:w="8340"/>
          </w:cols>
          <w:pgMar w:left="240" w:top="446" w:right="439" w:bottom="1440" w:gutter="0" w:footer="0" w:header="0"/>
          <w:type w:val="continuous"/>
        </w:sectPr>
      </w:pPr>
    </w:p>
    <w:p>
      <w:pPr>
        <w:ind w:left="960" w:right="780" w:hanging="219"/>
        <w:spacing w:after="0" w:line="246" w:lineRule="auto"/>
        <w:tabs>
          <w:tab w:leader="none" w:pos="940" w:val="left"/>
        </w:tabs>
        <w:rPr>
          <w:sz w:val="20"/>
          <w:szCs w:val="20"/>
          <w:color w:val="auto"/>
        </w:rPr>
      </w:pPr>
      <w:r>
        <w:rPr>
          <w:rFonts w:ascii="Arial" w:cs="Arial" w:eastAsia="Arial" w:hAnsi="Arial"/>
          <w:sz w:val="18"/>
          <w:szCs w:val="18"/>
          <w:color w:val="auto"/>
        </w:rPr>
        <w:t>•</w:t>
        <w:tab/>
        <w:t>approximately $ million to fund the development of our other programs, including our early-stage drug discovery programs and pre-commercialization activities; and</w:t>
      </w:r>
    </w:p>
    <w:p>
      <w:pPr>
        <w:sectPr>
          <w:pgSz w:w="11900" w:h="16838" w:orient="portrait"/>
          <w:cols w:equalWidth="0" w:num="1">
            <w:col w:w="11220"/>
          </w:cols>
          <w:pgMar w:left="240" w:top="446" w:right="439" w:bottom="1440" w:gutter="0" w:footer="0" w:header="0"/>
          <w:type w:val="continuous"/>
        </w:sectPr>
      </w:pPr>
    </w:p>
    <w:p>
      <w:pPr>
        <w:spacing w:after="0" w:line="102"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working capital and general operating expenses.</w:t>
      </w:r>
    </w:p>
    <w:p>
      <w:pPr>
        <w:spacing w:after="0" w:line="212" w:lineRule="exact"/>
        <w:rPr>
          <w:sz w:val="20"/>
          <w:szCs w:val="20"/>
          <w:color w:val="auto"/>
        </w:rPr>
      </w:pPr>
    </w:p>
    <w:p>
      <w:pPr>
        <w:ind w:left="200" w:right="960" w:firstLine="551"/>
        <w:spacing w:after="0" w:line="246"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97"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short-term marketable securities and the funding we expect to receive under the initial term of our existing agreement with Merck, will be sufficient to fund our operations through 2020, or through 2021 with the additional proceeds from the concurrent private placement to Merck. In particular, we expect that these funds will allow us to complete our ongoing Phase 2 and planned Phase 2b clinical trials and begin preparation for Phase 3 clinical trials of NGM282 for NASH. Following this offering, we will require substantial capital to complete clinical development, seek regulatory approval of and, if approved, commercialize NGM282 and our other programs. We may seek additional funds through public or private equity, debt financings or other sources, including strategic collaborations. However, changing circumstances may cause us to consume capital significantly faster than we currently anticipate, and we may need to spend more money than currently expected because of circumstances beyond our control.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46"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the net proceeds will vary depending on numerous factors, including the progress of our clinical trials and other development efforts for our product candidates and other factors described in the section titled “Risk Factors,” as well as the amount of cash we use in our operations. As a result, our management will have broad discretion in the application of the net proceeds, and investors will be relying on our judgment regarding the application of the net proceeds of this offering. In addition, we might decide to postpone or not pursue clinical trials or preclinical activities if the net proceeds from this offering and the other sources of cash are less than expected.</w:t>
      </w:r>
    </w:p>
    <w:p>
      <w:pPr>
        <w:spacing w:after="0" w:line="208"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obligations, investment-grade instruments, certificates of deposit or direct or guaranteed obligations of the U.S. government.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24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following table sets forth our cash, cash equivalents and short-term marketable securities, and our capitalization as of June 30, 2018, as follows:</w:t>
      </w:r>
    </w:p>
    <w:p>
      <w:pPr>
        <w:spacing w:after="0" w:line="102" w:lineRule="exact"/>
        <w:rPr>
          <w:sz w:val="20"/>
          <w:szCs w:val="20"/>
          <w:color w:val="auto"/>
        </w:rPr>
      </w:pPr>
    </w:p>
    <w:p>
      <w:pPr>
        <w:ind w:left="960" w:hanging="21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960" w:right="300" w:hanging="216"/>
        <w:spacing w:after="0" w:line="248" w:lineRule="auto"/>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basis, giving effect to (1) the automatic conversion of all our outstanding convertible preferred stock as of June 30, 2018 into an aggregate of 94,534,932 shares of our common stock in connection with the completion of this offering,</w:t>
      </w:r>
    </w:p>
    <w:p>
      <w:pPr>
        <w:spacing w:after="0" w:line="1" w:lineRule="exact"/>
        <w:rPr>
          <w:rFonts w:ascii="Arial" w:cs="Arial" w:eastAsia="Arial" w:hAnsi="Arial"/>
          <w:sz w:val="17"/>
          <w:szCs w:val="17"/>
          <w:color w:val="auto"/>
        </w:rPr>
      </w:pPr>
    </w:p>
    <w:p>
      <w:pPr>
        <w:ind w:left="960" w:right="160"/>
        <w:spacing w:after="0" w:line="261" w:lineRule="auto"/>
        <w:rPr>
          <w:rFonts w:ascii="Arial" w:cs="Arial" w:eastAsia="Arial" w:hAnsi="Arial"/>
          <w:sz w:val="17"/>
          <w:szCs w:val="17"/>
          <w:color w:val="auto"/>
        </w:rPr>
      </w:pPr>
      <w:r>
        <w:rPr>
          <w:rFonts w:ascii="Arial" w:cs="Arial" w:eastAsia="Arial" w:hAnsi="Arial"/>
          <w:sz w:val="17"/>
          <w:szCs w:val="17"/>
          <w:color w:val="auto"/>
        </w:rPr>
        <w:t>(2) the reclassification to additional paid-in capital of our Series A convertible preferred stock warrant liability in connection with the conversion of our outstanding Series A convertible preferred stock into a common stock warrant and (3) the filing and effectiveness of our amended and restated certificate of incorporation, which will occur upon the completion of this offering; and</w:t>
      </w:r>
    </w:p>
    <w:p>
      <w:pPr>
        <w:ind w:left="960" w:hanging="216"/>
        <w:spacing w:after="0" w:line="186" w:lineRule="auto"/>
        <w:tabs>
          <w:tab w:leader="none" w:pos="9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on a pro forma as adjusted basis, giving effect to the pro forma adjustments discussed above and giving further effect to the</w:t>
      </w:r>
    </w:p>
    <w:p>
      <w:pPr>
        <w:spacing w:after="0" w:line="203" w:lineRule="exact"/>
        <w:rPr>
          <w:sz w:val="20"/>
          <w:szCs w:val="20"/>
          <w:color w:val="auto"/>
        </w:rPr>
      </w:pPr>
    </w:p>
    <w:p>
      <w:pPr>
        <w:ind w:left="960" w:right="60"/>
        <w:spacing w:after="0" w:line="234" w:lineRule="auto"/>
        <w:rPr>
          <w:sz w:val="20"/>
          <w:szCs w:val="20"/>
          <w:color w:val="auto"/>
        </w:rPr>
      </w:pPr>
      <w:r>
        <w:rPr>
          <w:rFonts w:ascii="Arial" w:cs="Arial" w:eastAsia="Arial" w:hAnsi="Arial"/>
          <w:sz w:val="18"/>
          <w:szCs w:val="18"/>
          <w:color w:val="auto"/>
        </w:rPr>
        <w:t>receipt of the estimated net proceeds from the sale of shares of common stock in this offering and the concurrent private placement to Merck at an assumed initial public offering price and private placement purchase price of $ per share, the</w:t>
      </w:r>
    </w:p>
    <w:p>
      <w:pPr>
        <w:spacing w:after="0" w:line="2" w:lineRule="exact"/>
        <w:rPr>
          <w:sz w:val="20"/>
          <w:szCs w:val="20"/>
          <w:color w:val="auto"/>
        </w:rPr>
      </w:pPr>
    </w:p>
    <w:p>
      <w:pPr>
        <w:ind w:left="960" w:right="660"/>
        <w:spacing w:after="0" w:line="246" w:lineRule="auto"/>
        <w:rPr>
          <w:sz w:val="20"/>
          <w:szCs w:val="20"/>
          <w:color w:val="auto"/>
        </w:rPr>
      </w:pPr>
      <w:r>
        <w:rPr>
          <w:rFonts w:ascii="Arial" w:cs="Arial" w:eastAsia="Arial" w:hAnsi="Arial"/>
          <w:sz w:val="18"/>
          <w:szCs w:val="18"/>
          <w:color w:val="auto"/>
        </w:rPr>
        <w:t>midpoint of the price range set forth on the cover page of this prospectus, and after deducting underwriting discounts and commissions and estimated offering expenses payable by us.</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pro forma information below is illustrative only and our capitalization following the completion of this offering will be adjusted based on the actual initial public offering price and other terms of this offering determined at pricing. You should read this table together with the sections titled “Selected Consolidated Financial Data” and “Management’s Discussion and Analysis of Financial Condition and Results of Operations” and our condensed consolidated financial statements and the related notes included elsewhere in this prospectus.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rPr>
              <w:t>As of June 30, 2018 (unaudited)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rPr>
              <w:t>(in thousands, except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line="143"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Pro Forma</w:t>
            </w: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marketable securities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189,227</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gridSpan w:val="3"/>
          </w:tcPr>
          <w:p>
            <w:pPr>
              <w:spacing w:after="0" w:line="196" w:lineRule="exact"/>
              <w:rPr>
                <w:sz w:val="20"/>
                <w:szCs w:val="20"/>
                <w:color w:val="auto"/>
              </w:rPr>
            </w:pPr>
            <w:r>
              <w:rPr>
                <w:rFonts w:ascii="Arial" w:cs="Arial" w:eastAsia="Arial" w:hAnsi="Arial"/>
                <w:sz w:val="18"/>
                <w:szCs w:val="18"/>
                <w:color w:val="auto"/>
              </w:rPr>
              <w:t>Convertible preferred stock warrant liability</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2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87"/>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 96,268,206 shares authorized,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94,534,932 shares issued and outstanding, actual; no shares issued and outstanding,</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pro forma or pro forma as adjusted</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129,000,000 shares authorized, 12,649,712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and outstanding, actual;</w:t>
            </w:r>
          </w:p>
        </w:tc>
        <w:tc>
          <w:tcPr>
            <w:tcW w:w="396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shares authorized, 107,184,644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and outstanding, pro forma;</w:t>
            </w:r>
          </w:p>
        </w:tc>
        <w:tc>
          <w:tcPr>
            <w:tcW w:w="396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issued and outstanding, pro forma as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adjusted</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30,877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325,778</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5"/>
              </w:rPr>
              <w:t>(153,841)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8"/>
              </w:rPr>
              <w:t>(153,841)</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3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5"/>
              </w:rPr>
              <w:t>(123,449)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9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171,546</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171,546</w:t>
            </w:r>
          </w:p>
        </w:tc>
        <w:tc>
          <w:tcPr>
            <w:tcW w:w="300" w:type="dxa"/>
            <w:vAlign w:val="bottom"/>
          </w:tcPr>
          <w:p>
            <w:pPr>
              <w:spacing w:after="0"/>
              <w:rPr>
                <w:sz w:val="18"/>
                <w:szCs w:val="18"/>
                <w:color w:val="auto"/>
              </w:rPr>
            </w:pPr>
          </w:p>
        </w:tc>
        <w:tc>
          <w:tcPr>
            <w:tcW w:w="10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960" w:type="dxa"/>
            <w:vAlign w:val="bottom"/>
            <w:vMerge w:val="restart"/>
          </w:tcPr>
          <w:p>
            <w:pPr>
              <w:jc w:val="right"/>
              <w:ind w:right="151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551"/>
        <w:spacing w:after="0" w:line="275" w:lineRule="auto"/>
        <w:rPr>
          <w:sz w:val="20"/>
          <w:szCs w:val="20"/>
          <w:color w:val="auto"/>
        </w:rPr>
      </w:pPr>
      <w:r>
        <w:rPr>
          <w:rFonts w:ascii="Arial" w:cs="Arial" w:eastAsia="Arial" w:hAnsi="Arial"/>
          <w:sz w:val="17"/>
          <w:szCs w:val="17"/>
          <w:color w:val="auto"/>
        </w:rPr>
        <w:t>The number of shares of our common stock outstanding after the offering is based on 107,184,644 shares of our common stock outstanding as of June 30, 2018 (including convertible preferred stock then outstanding on an as-converted basis), and excludes:</w:t>
      </w:r>
    </w:p>
    <w:p>
      <w:pPr>
        <w:spacing w:after="0" w:line="79" w:lineRule="exact"/>
        <w:rPr>
          <w:sz w:val="20"/>
          <w:szCs w:val="20"/>
          <w:color w:val="auto"/>
        </w:rPr>
      </w:pPr>
    </w:p>
    <w:p>
      <w:pPr>
        <w:ind w:left="960" w:right="520" w:hanging="216"/>
        <w:spacing w:after="0" w:line="24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2" w:lineRule="exact"/>
        <w:rPr>
          <w:rFonts w:ascii="Arial" w:cs="Arial" w:eastAsia="Arial" w:hAnsi="Arial"/>
          <w:sz w:val="18"/>
          <w:szCs w:val="18"/>
          <w:color w:val="auto"/>
        </w:rPr>
      </w:pPr>
    </w:p>
    <w:p>
      <w:pPr>
        <w:ind w:left="960" w:right="60" w:hanging="216"/>
        <w:spacing w:after="0" w:line="239" w:lineRule="auto"/>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7" w:lineRule="exact"/>
        <w:rPr>
          <w:rFonts w:ascii="Arial" w:cs="Arial" w:eastAsia="Arial" w:hAnsi="Arial"/>
          <w:sz w:val="18"/>
          <w:szCs w:val="18"/>
          <w:color w:val="auto"/>
        </w:rPr>
      </w:pPr>
    </w:p>
    <w:p>
      <w:pPr>
        <w:ind w:left="960" w:hanging="216"/>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jc w:val="both"/>
        <w:ind w:left="200" w:right="100" w:firstLine="551"/>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20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Our historical net tangible book value (deficit) as of June 30, 2018 was approximately $(123.4) million, or $(9.76) per share of our common stock. Our historical net tangible book deficit is the amount of our total tangible assets less our liabilities and convertible preferred stock, which is not included within stockholders’ deficit. Historical net tangible book deficit per share is our historical net tangible book deficit divided by the number of shares of common stock outstanding as of June 30, 2018.</w:t>
      </w:r>
    </w:p>
    <w:p>
      <w:pPr>
        <w:spacing w:after="0" w:line="202"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Our pro forma net tangible book value as of June 30, 2018 was $171.5 million, or $1.60 per share of common stock. Pro forma net tangible book value gives effect to the conversion of all of our outstanding convertible preferred stock into an aggregate of 94,534,932 shares of our common stock and the reclassification to additional paid-in capital of our Series A convertible preferred stock warrant liability in connection with the conversion of our outstanding Series A convertible preferred stock warrant into a common stock warrant, which are included in stockholders’ equity, which will occur automatically in connection with the completion of this offering.</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 forma as adjusted net tangible book value is our pro forma net tangible book value, plus the effect of the sale of up to</w:t>
      </w:r>
    </w:p>
    <w:p>
      <w:pPr>
        <w:ind w:left="1000"/>
        <w:spacing w:after="0" w:line="234" w:lineRule="auto"/>
        <w:rPr>
          <w:sz w:val="20"/>
          <w:szCs w:val="20"/>
          <w:color w:val="auto"/>
        </w:rPr>
      </w:pPr>
      <w:r>
        <w:rPr>
          <w:rFonts w:ascii="Arial" w:cs="Arial" w:eastAsia="Arial" w:hAnsi="Arial"/>
          <w:sz w:val="18"/>
          <w:szCs w:val="18"/>
          <w:color w:val="auto"/>
        </w:rPr>
        <w:t>shares of our common stock in this offering and the concurrent private placement to Merck at an assumed initial public offering</w:t>
      </w:r>
    </w:p>
    <w:p>
      <w:pPr>
        <w:spacing w:after="0" w:line="1" w:lineRule="exact"/>
        <w:rPr>
          <w:sz w:val="20"/>
          <w:szCs w:val="20"/>
          <w:color w:val="auto"/>
        </w:rPr>
      </w:pPr>
    </w:p>
    <w:p>
      <w:pPr>
        <w:ind w:left="200" w:right="380"/>
        <w:spacing w:after="0" w:line="234" w:lineRule="auto"/>
        <w:rPr>
          <w:sz w:val="20"/>
          <w:szCs w:val="20"/>
          <w:color w:val="auto"/>
        </w:rPr>
      </w:pPr>
      <w:r>
        <w:rPr>
          <w:rFonts w:ascii="Arial" w:cs="Arial" w:eastAsia="Arial" w:hAnsi="Arial"/>
          <w:sz w:val="18"/>
          <w:szCs w:val="18"/>
          <w:color w:val="auto"/>
        </w:rPr>
        <w:t>price and private placement purchase price of $ per share, the midpoint of the price range set forth on the cover page of this prospectus, after deducting the underwriting discounts and commissions and estimated offering expenses payable by us. This amount</w:t>
      </w:r>
    </w:p>
    <w:tbl>
      <w:tblPr>
        <w:tblLayout w:type="fixed"/>
        <w:tblInd w:w="200" w:type="dxa"/>
        <w:tblCellMar>
          <w:top w:w="0" w:type="dxa"/>
          <w:left w:w="0" w:type="dxa"/>
          <w:bottom w:w="0" w:type="dxa"/>
          <w:right w:w="0" w:type="dxa"/>
        </w:tblCellMar>
      </w:tblPr>
      <w:tr>
        <w:trPr>
          <w:trHeight w:val="204"/>
        </w:trPr>
        <w:tc>
          <w:tcPr>
            <w:tcW w:w="7680" w:type="dxa"/>
            <w:vAlign w:val="bottom"/>
            <w:gridSpan w:val="3"/>
          </w:tcPr>
          <w:p>
            <w:pPr>
              <w:spacing w:after="0" w:line="204" w:lineRule="exact"/>
              <w:rPr>
                <w:sz w:val="20"/>
                <w:szCs w:val="20"/>
                <w:color w:val="auto"/>
              </w:rPr>
            </w:pPr>
            <w:r>
              <w:rPr>
                <w:rFonts w:ascii="Arial" w:cs="Arial" w:eastAsia="Arial" w:hAnsi="Arial"/>
                <w:sz w:val="18"/>
                <w:szCs w:val="18"/>
                <w:color w:val="auto"/>
              </w:rPr>
              <w:t>represents an immediate increase in pro forma as adjusted net tangible book value of $</w:t>
            </w:r>
          </w:p>
        </w:tc>
        <w:tc>
          <w:tcPr>
            <w:tcW w:w="3360" w:type="dxa"/>
            <w:vAlign w:val="bottom"/>
          </w:tcPr>
          <w:p>
            <w:pPr>
              <w:jc w:val="right"/>
              <w:ind w:right="170"/>
              <w:spacing w:after="0" w:line="204" w:lineRule="exact"/>
              <w:rPr>
                <w:sz w:val="20"/>
                <w:szCs w:val="20"/>
                <w:color w:val="auto"/>
              </w:rPr>
            </w:pPr>
            <w:r>
              <w:rPr>
                <w:rFonts w:ascii="Arial" w:cs="Arial" w:eastAsia="Arial" w:hAnsi="Arial"/>
                <w:sz w:val="18"/>
                <w:szCs w:val="18"/>
                <w:color w:val="auto"/>
              </w:rPr>
              <w:t>per share to our existing stockholders,</w:t>
            </w:r>
          </w:p>
        </w:tc>
        <w:tc>
          <w:tcPr>
            <w:tcW w:w="0" w:type="dxa"/>
            <w:vAlign w:val="bottom"/>
          </w:tcPr>
          <w:p>
            <w:pPr>
              <w:spacing w:after="0"/>
              <w:rPr>
                <w:sz w:val="1"/>
                <w:szCs w:val="1"/>
                <w:color w:val="auto"/>
              </w:rPr>
            </w:pP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and an immediate dilution of $</w:t>
            </w:r>
          </w:p>
        </w:tc>
        <w:tc>
          <w:tcPr>
            <w:tcW w:w="4800" w:type="dxa"/>
            <w:vAlign w:val="bottom"/>
          </w:tcPr>
          <w:p>
            <w:pPr>
              <w:ind w:left="380"/>
              <w:spacing w:after="0"/>
              <w:rPr>
                <w:sz w:val="20"/>
                <w:szCs w:val="20"/>
                <w:color w:val="auto"/>
              </w:rPr>
            </w:pPr>
            <w:r>
              <w:rPr>
                <w:rFonts w:ascii="Arial" w:cs="Arial" w:eastAsia="Arial" w:hAnsi="Arial"/>
                <w:sz w:val="18"/>
                <w:szCs w:val="18"/>
                <w:color w:val="auto"/>
              </w:rPr>
              <w:t>per share to new investors participating in this offering.</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660" w:type="dxa"/>
            <w:vAlign w:val="bottom"/>
            <w:gridSpan w:val="2"/>
          </w:tcPr>
          <w:p>
            <w:pPr>
              <w:ind w:left="54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gridSpan w:val="2"/>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336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gridSpan w:val="2"/>
          </w:tcPr>
          <w:p>
            <w:pPr>
              <w:spacing w:after="0" w:line="201" w:lineRule="exact"/>
              <w:rPr>
                <w:sz w:val="20"/>
                <w:szCs w:val="20"/>
                <w:color w:val="auto"/>
              </w:rPr>
            </w:pPr>
            <w:r>
              <w:rPr>
                <w:rFonts w:ascii="Arial" w:cs="Arial" w:eastAsia="Arial" w:hAnsi="Arial"/>
                <w:sz w:val="18"/>
                <w:szCs w:val="18"/>
                <w:color w:val="auto"/>
              </w:rPr>
              <w:t>Historical net tangible book value (deficit) per share as of June 30, 2018</w:t>
            </w:r>
          </w:p>
        </w:tc>
        <w:tc>
          <w:tcPr>
            <w:tcW w:w="3360" w:type="dxa"/>
            <w:vAlign w:val="bottom"/>
          </w:tcPr>
          <w:p>
            <w:pPr>
              <w:jc w:val="right"/>
              <w:ind w:right="1130"/>
              <w:spacing w:after="0" w:line="201" w:lineRule="exact"/>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03"/>
        </w:trPr>
        <w:tc>
          <w:tcPr>
            <w:tcW w:w="11040" w:type="dxa"/>
            <w:vAlign w:val="bottom"/>
            <w:gridSpan w:val="4"/>
          </w:tcPr>
          <w:p>
            <w:pPr>
              <w:spacing w:after="0" w:line="202" w:lineRule="exact"/>
              <w:rPr>
                <w:sz w:val="20"/>
                <w:szCs w:val="20"/>
                <w:color w:val="auto"/>
              </w:rPr>
            </w:pPr>
            <w:r>
              <w:rPr>
                <w:rFonts w:ascii="Arial" w:cs="Arial" w:eastAsia="Arial" w:hAnsi="Arial"/>
                <w:sz w:val="18"/>
                <w:szCs w:val="18"/>
                <w:color w:val="auto"/>
              </w:rPr>
              <w:t>Pro forma net tangible book value per share as of June 30, 2018 before giving effect to this offering and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160"/>
              <w:spacing w:after="0" w:line="202" w:lineRule="exact"/>
              <w:rPr>
                <w:sz w:val="20"/>
                <w:szCs w:val="20"/>
                <w:color w:val="auto"/>
              </w:rPr>
            </w:pPr>
            <w:r>
              <w:rPr>
                <w:rFonts w:ascii="Arial" w:cs="Arial" w:eastAsia="Arial" w:hAnsi="Arial"/>
                <w:sz w:val="18"/>
                <w:szCs w:val="18"/>
                <w:color w:val="auto"/>
              </w:rPr>
              <w:t>concurrent private placement</w:t>
            </w:r>
          </w:p>
        </w:tc>
        <w:tc>
          <w:tcPr>
            <w:tcW w:w="4800" w:type="dxa"/>
            <w:vAlign w:val="bottom"/>
          </w:tcPr>
          <w:p>
            <w:pPr>
              <w:spacing w:after="0"/>
              <w:rPr>
                <w:sz w:val="17"/>
                <w:szCs w:val="17"/>
                <w:color w:val="auto"/>
              </w:rPr>
            </w:pPr>
          </w:p>
        </w:tc>
        <w:tc>
          <w:tcPr>
            <w:tcW w:w="3360" w:type="dxa"/>
            <w:vAlign w:val="bottom"/>
          </w:tcPr>
          <w:p>
            <w:pPr>
              <w:jc w:val="right"/>
              <w:ind w:right="119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-255905</wp:posOffset>
            </wp:positionV>
            <wp:extent cx="699770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ind w:left="380" w:right="2180" w:hanging="179"/>
        <w:spacing w:after="0" w:line="234" w:lineRule="auto"/>
        <w:rPr>
          <w:sz w:val="20"/>
          <w:szCs w:val="20"/>
          <w:color w:val="auto"/>
        </w:rPr>
      </w:pPr>
      <w:r>
        <w:rPr>
          <w:rFonts w:ascii="Arial" w:cs="Arial" w:eastAsia="Arial" w:hAnsi="Arial"/>
          <w:sz w:val="18"/>
          <w:szCs w:val="18"/>
          <w:color w:val="auto"/>
        </w:rPr>
        <w:t>Increase in pro forma net tangible book value per share attributable to investors participating in this offering and the concurrent private placement</w:t>
      </w:r>
    </w:p>
    <w:p>
      <w:pPr>
        <w:ind w:left="200"/>
        <w:spacing w:after="0" w:line="236" w:lineRule="auto"/>
        <w:rPr>
          <w:sz w:val="20"/>
          <w:szCs w:val="20"/>
          <w:color w:val="auto"/>
        </w:rPr>
      </w:pPr>
      <w:r>
        <w:rPr>
          <w:rFonts w:ascii="Arial" w:cs="Arial" w:eastAsia="Arial" w:hAnsi="Arial"/>
          <w:sz w:val="18"/>
          <w:szCs w:val="18"/>
          <w:color w:val="auto"/>
        </w:rPr>
        <w:t>Pro forma as adjusted dilution per share to investors participating in this offering and the concurrent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04"/>
        </w:trPr>
        <w:tc>
          <w:tcPr>
            <w:tcW w:w="7040" w:type="dxa"/>
            <w:vAlign w:val="bottom"/>
          </w:tcPr>
          <w:p>
            <w:pPr>
              <w:spacing w:after="0" w:line="204" w:lineRule="exact"/>
              <w:rPr>
                <w:sz w:val="20"/>
                <w:szCs w:val="20"/>
                <w:color w:val="auto"/>
              </w:rPr>
            </w:pPr>
            <w:r>
              <w:rPr>
                <w:rFonts w:ascii="Arial" w:cs="Arial" w:eastAsia="Arial" w:hAnsi="Arial"/>
                <w:sz w:val="18"/>
                <w:szCs w:val="18"/>
                <w:color w:val="auto"/>
              </w:rPr>
              <w:t>placement</w:t>
            </w:r>
          </w:p>
        </w:tc>
        <w:tc>
          <w:tcPr>
            <w:tcW w:w="2980" w:type="dxa"/>
            <w:vAlign w:val="bottom"/>
          </w:tcPr>
          <w:p>
            <w:pPr>
              <w:spacing w:after="0"/>
              <w:rPr>
                <w:sz w:val="17"/>
                <w:szCs w:val="17"/>
                <w:color w:val="auto"/>
              </w:rPr>
            </w:pPr>
          </w:p>
        </w:tc>
        <w:tc>
          <w:tcPr>
            <w:tcW w:w="780" w:type="dxa"/>
            <w:vAlign w:val="bottom"/>
            <w:tcBorders>
              <w:bottom w:val="single" w:sz="8" w:color="auto"/>
            </w:tcBorders>
            <w:gridSpan w:val="2"/>
          </w:tcPr>
          <w:p>
            <w:pPr>
              <w:jc w:val="right"/>
              <w:ind w:right="680"/>
              <w:spacing w:after="0" w:line="204" w:lineRule="exact"/>
              <w:rPr>
                <w:sz w:val="20"/>
                <w:szCs w:val="20"/>
                <w:color w:val="auto"/>
              </w:rPr>
            </w:pPr>
            <w:r>
              <w:rPr>
                <w:rFonts w:ascii="Arial" w:cs="Arial" w:eastAsia="Arial" w:hAnsi="Arial"/>
                <w:sz w:val="18"/>
                <w:szCs w:val="18"/>
                <w:color w:val="auto"/>
                <w:w w:val="79"/>
              </w:rPr>
              <w:t>$</w:t>
            </w:r>
          </w:p>
        </w:tc>
      </w:tr>
      <w:tr>
        <w:trPr>
          <w:trHeight w:val="20"/>
        </w:trPr>
        <w:tc>
          <w:tcPr>
            <w:tcW w:w="70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12"/>
        </w:trPr>
        <w:tc>
          <w:tcPr>
            <w:tcW w:w="7040" w:type="dxa"/>
            <w:vAlign w:val="bottom"/>
          </w:tcPr>
          <w:p>
            <w:pPr>
              <w:ind w:left="380"/>
              <w:spacing w:after="0"/>
              <w:rPr>
                <w:sz w:val="20"/>
                <w:szCs w:val="20"/>
                <w:color w:val="auto"/>
              </w:rPr>
            </w:pPr>
            <w:r>
              <w:rPr>
                <w:rFonts w:ascii="Arial" w:cs="Arial" w:eastAsia="Arial" w:hAnsi="Arial"/>
                <w:sz w:val="18"/>
                <w:szCs w:val="18"/>
                <w:color w:val="auto"/>
              </w:rPr>
              <w:t>Each $1.00 increase (decrease) in the assumed initial public offering price of $</w:t>
            </w:r>
          </w:p>
        </w:tc>
        <w:tc>
          <w:tcPr>
            <w:tcW w:w="3760" w:type="dxa"/>
            <w:vAlign w:val="bottom"/>
            <w:gridSpan w:val="3"/>
          </w:tcPr>
          <w:p>
            <w:pPr>
              <w:jc w:val="right"/>
              <w:ind w:right="40"/>
              <w:spacing w:after="0"/>
              <w:rPr>
                <w:sz w:val="20"/>
                <w:szCs w:val="20"/>
                <w:color w:val="auto"/>
              </w:rPr>
            </w:pPr>
            <w:r>
              <w:rPr>
                <w:rFonts w:ascii="Arial" w:cs="Arial" w:eastAsia="Arial" w:hAnsi="Arial"/>
                <w:sz w:val="18"/>
                <w:szCs w:val="18"/>
                <w:color w:val="auto"/>
              </w:rPr>
              <w:t>per share, the midpoint of the price range</w:t>
            </w:r>
          </w:p>
        </w:tc>
      </w:tr>
    </w:tbl>
    <w:p>
      <w:pPr>
        <w:ind w:left="20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pro forma as adjusted net tangible book value per share</w:t>
      </w:r>
    </w:p>
    <w:p>
      <w:pPr>
        <w:spacing w:after="0" w:line="200" w:lineRule="exact"/>
        <w:rPr>
          <w:sz w:val="20"/>
          <w:szCs w:val="20"/>
          <w:color w:val="auto"/>
        </w:rPr>
      </w:pPr>
    </w:p>
    <w:p>
      <w:pPr>
        <w:spacing w:after="0" w:line="204" w:lineRule="exact"/>
        <w:rPr>
          <w:sz w:val="20"/>
          <w:szCs w:val="20"/>
          <w:color w:val="auto"/>
        </w:rPr>
      </w:pPr>
    </w:p>
    <w:p>
      <w:pPr>
        <w:ind w:left="200" w:right="180"/>
        <w:spacing w:after="0" w:line="234" w:lineRule="auto"/>
        <w:rPr>
          <w:sz w:val="20"/>
          <w:szCs w:val="20"/>
          <w:color w:val="auto"/>
        </w:rPr>
      </w:pPr>
      <w:r>
        <w:rPr>
          <w:rFonts w:ascii="Arial" w:cs="Arial" w:eastAsia="Arial" w:hAnsi="Arial"/>
          <w:sz w:val="18"/>
          <w:szCs w:val="18"/>
          <w:color w:val="auto"/>
        </w:rPr>
        <w:t>after this offering and the concurrent private placement to Merck by approximately $ per share and the dilution in pro forma per share to new investors participating in this offering by approximately $ per share, assuming that the number of shares offered by</w:t>
      </w:r>
    </w:p>
    <w:p>
      <w:pPr>
        <w:spacing w:after="0" w:line="2"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us, as set forth on the cover page of this prospectus, along with the number of shares to be sold to Merck in the concurrent private placement remains the same and after deducting the underwriting discounts and commissions and estimated offering expenses payable by us.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60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19"/>
        </w:trPr>
        <w:tc>
          <w:tcPr>
            <w:tcW w:w="520" w:type="dxa"/>
            <w:vAlign w:val="bottom"/>
          </w:tcPr>
          <w:p>
            <w:pPr>
              <w:spacing w:after="0"/>
              <w:rPr>
                <w:sz w:val="24"/>
                <w:szCs w:val="24"/>
                <w:color w:val="auto"/>
              </w:rPr>
            </w:pPr>
          </w:p>
        </w:tc>
        <w:tc>
          <w:tcPr>
            <w:tcW w:w="10480" w:type="dxa"/>
            <w:vAlign w:val="bottom"/>
            <w:gridSpan w:val="4"/>
          </w:tcPr>
          <w:p>
            <w:pPr>
              <w:jc w:val="right"/>
              <w:spacing w:after="0"/>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pro</w:t>
            </w:r>
          </w:p>
        </w:tc>
      </w:tr>
      <w:tr>
        <w:trPr>
          <w:trHeight w:val="203"/>
        </w:trPr>
        <w:tc>
          <w:tcPr>
            <w:tcW w:w="1094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forma as adjusted net tangible book value per share after this offering and the concurrent private placement to Merck by approximately</w:t>
            </w:r>
          </w:p>
        </w:tc>
        <w:tc>
          <w:tcPr>
            <w:tcW w:w="60" w:type="dxa"/>
            <w:vAlign w:val="bottom"/>
          </w:tcPr>
          <w:p>
            <w:pPr>
              <w:spacing w:after="0"/>
              <w:rPr>
                <w:sz w:val="17"/>
                <w:szCs w:val="17"/>
                <w:color w:val="auto"/>
              </w:rPr>
            </w:pPr>
          </w:p>
        </w:tc>
      </w:tr>
      <w:tr>
        <w:trPr>
          <w:trHeight w:val="203"/>
        </w:trPr>
        <w:tc>
          <w:tcPr>
            <w:tcW w:w="52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4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and decrease (increase) the dilution in pro forma per share to investors participating in this offering by approximately $</w:t>
            </w:r>
          </w:p>
        </w:tc>
        <w:tc>
          <w:tcPr>
            <w:tcW w:w="60" w:type="dxa"/>
            <w:vAlign w:val="bottom"/>
          </w:tcPr>
          <w:p>
            <w:pPr>
              <w:jc w:val="right"/>
              <w:spacing w:after="0" w:line="202" w:lineRule="exact"/>
              <w:rPr>
                <w:sz w:val="20"/>
                <w:szCs w:val="20"/>
                <w:color w:val="auto"/>
              </w:rPr>
            </w:pPr>
            <w:r>
              <w:rPr>
                <w:rFonts w:ascii="Arial" w:cs="Arial" w:eastAsia="Arial" w:hAnsi="Arial"/>
                <w:sz w:val="18"/>
                <w:szCs w:val="18"/>
                <w:color w:val="auto"/>
                <w:w w:val="78"/>
              </w:rPr>
              <w:t>,</w:t>
            </w:r>
          </w:p>
        </w:tc>
      </w:tr>
      <w:tr>
        <w:trPr>
          <w:trHeight w:val="203"/>
        </w:trPr>
        <w:tc>
          <w:tcPr>
            <w:tcW w:w="39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assuming an initial public offering price of $</w:t>
            </w:r>
          </w:p>
        </w:tc>
        <w:tc>
          <w:tcPr>
            <w:tcW w:w="6980" w:type="dxa"/>
            <w:vAlign w:val="bottom"/>
          </w:tcPr>
          <w:p>
            <w:pPr>
              <w:ind w:left="340"/>
              <w:spacing w:after="0" w:line="202" w:lineRule="exact"/>
              <w:rPr>
                <w:sz w:val="20"/>
                <w:szCs w:val="20"/>
                <w:color w:val="auto"/>
              </w:rPr>
            </w:pPr>
            <w:r>
              <w:rPr>
                <w:rFonts w:ascii="Arial" w:cs="Arial" w:eastAsia="Arial" w:hAnsi="Arial"/>
                <w:sz w:val="18"/>
                <w:szCs w:val="18"/>
                <w:color w:val="auto"/>
              </w:rPr>
              <w:t>per share, the midpoint of the price range set forth on the cover page of this</w:t>
            </w:r>
          </w:p>
        </w:tc>
        <w:tc>
          <w:tcPr>
            <w:tcW w:w="60" w:type="dxa"/>
            <w:vAlign w:val="bottom"/>
          </w:tcPr>
          <w:p>
            <w:pPr>
              <w:spacing w:after="0"/>
              <w:rPr>
                <w:sz w:val="17"/>
                <w:szCs w:val="17"/>
                <w:color w:val="auto"/>
              </w:rPr>
            </w:pPr>
          </w:p>
        </w:tc>
      </w:tr>
    </w:tbl>
    <w:p>
      <w:pPr>
        <w:ind w:left="200" w:right="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remains the same, and after deducting the underwriting discounts and commissions and estimated offering expenses payable by us.</w:t>
      </w:r>
    </w:p>
    <w:p>
      <w:pPr>
        <w:spacing w:after="0" w:line="193" w:lineRule="exact"/>
        <w:rPr>
          <w:sz w:val="20"/>
          <w:szCs w:val="20"/>
          <w:color w:val="auto"/>
        </w:rPr>
      </w:pPr>
    </w:p>
    <w:p>
      <w:pPr>
        <w:ind w:left="760"/>
        <w:spacing w:after="0"/>
        <w:tabs>
          <w:tab w:leader="none" w:pos="6140" w:val="left"/>
        </w:tabs>
        <w:rPr>
          <w:sz w:val="20"/>
          <w:szCs w:val="20"/>
          <w:color w:val="auto"/>
        </w:rPr>
      </w:pPr>
      <w:r>
        <w:rPr>
          <w:rFonts w:ascii="Arial" w:cs="Arial" w:eastAsia="Arial" w:hAnsi="Arial"/>
          <w:sz w:val="18"/>
          <w:szCs w:val="18"/>
          <w:color w:val="auto"/>
        </w:rPr>
        <w:t>If the underwriters exercise in full their option to purchase</w:t>
      </w:r>
      <w:r>
        <w:rPr>
          <w:sz w:val="20"/>
          <w:szCs w:val="20"/>
          <w:color w:val="auto"/>
        </w:rPr>
        <w:tab/>
      </w:r>
      <w:r>
        <w:rPr>
          <w:rFonts w:ascii="Arial" w:cs="Arial" w:eastAsia="Arial" w:hAnsi="Arial"/>
          <w:sz w:val="18"/>
          <w:szCs w:val="18"/>
          <w:color w:val="auto"/>
        </w:rPr>
        <w:t>additional shares of our common stock in this offering, the pro</w:t>
      </w:r>
    </w:p>
    <w:p>
      <w:pPr>
        <w:ind w:left="200"/>
        <w:spacing w:after="0" w:line="234" w:lineRule="auto"/>
        <w:tabs>
          <w:tab w:leader="none" w:pos="5080" w:val="left"/>
        </w:tabs>
        <w:rPr>
          <w:sz w:val="20"/>
          <w:szCs w:val="20"/>
          <w:color w:val="auto"/>
        </w:rPr>
      </w:pPr>
      <w:r>
        <w:rPr>
          <w:rFonts w:ascii="Arial" w:cs="Arial" w:eastAsia="Arial" w:hAnsi="Arial"/>
          <w:sz w:val="18"/>
          <w:szCs w:val="18"/>
          <w:color w:val="auto"/>
        </w:rPr>
        <w:t>forma as adjusted net tangible book value would be $</w:t>
      </w:r>
      <w:r>
        <w:rPr>
          <w:sz w:val="20"/>
          <w:szCs w:val="20"/>
          <w:color w:val="auto"/>
        </w:rPr>
        <w:tab/>
      </w:r>
      <w:r>
        <w:rPr>
          <w:rFonts w:ascii="Arial" w:cs="Arial" w:eastAsia="Arial" w:hAnsi="Arial"/>
          <w:sz w:val="18"/>
          <w:szCs w:val="18"/>
          <w:color w:val="auto"/>
        </w:rPr>
        <w:t>per share, representing an immediate increase in pro forma as adjusted net</w:t>
      </w:r>
    </w:p>
    <w:p>
      <w:pPr>
        <w:ind w:left="200"/>
        <w:spacing w:after="0"/>
        <w:tabs>
          <w:tab w:leader="none" w:pos="4660" w:val="left"/>
        </w:tabs>
        <w:rPr>
          <w:sz w:val="20"/>
          <w:szCs w:val="20"/>
          <w:color w:val="auto"/>
        </w:rPr>
      </w:pPr>
      <w:r>
        <w:rPr>
          <w:rFonts w:ascii="Arial" w:cs="Arial" w:eastAsia="Arial" w:hAnsi="Arial"/>
          <w:sz w:val="18"/>
          <w:szCs w:val="18"/>
          <w:color w:val="auto"/>
        </w:rPr>
        <w:t>tangible book value to existing stockholders of $</w:t>
      </w:r>
      <w:r>
        <w:rPr>
          <w:sz w:val="20"/>
          <w:szCs w:val="20"/>
          <w:color w:val="auto"/>
        </w:rPr>
        <w:tab/>
      </w:r>
      <w:r>
        <w:rPr>
          <w:rFonts w:ascii="Arial" w:cs="Arial" w:eastAsia="Arial" w:hAnsi="Arial"/>
          <w:sz w:val="17"/>
          <w:szCs w:val="17"/>
          <w:color w:val="auto"/>
        </w:rPr>
        <w:t>per share, and the dilution to new investors purchasing shares in this offering</w:t>
      </w:r>
    </w:p>
    <w:p>
      <w:pPr>
        <w:spacing w:after="0" w:line="1" w:lineRule="exact"/>
        <w:rPr>
          <w:sz w:val="20"/>
          <w:szCs w:val="20"/>
          <w:color w:val="auto"/>
        </w:rPr>
      </w:pPr>
    </w:p>
    <w:p>
      <w:pPr>
        <w:ind w:left="200"/>
        <w:spacing w:after="0"/>
        <w:tabs>
          <w:tab w:leader="none" w:pos="170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200" w:firstLine="551"/>
        <w:spacing w:after="0" w:line="248" w:lineRule="auto"/>
        <w:rPr>
          <w:sz w:val="20"/>
          <w:szCs w:val="20"/>
          <w:color w:val="auto"/>
        </w:rPr>
      </w:pPr>
      <w:r>
        <w:rPr>
          <w:rFonts w:ascii="Arial" w:cs="Arial" w:eastAsia="Arial" w:hAnsi="Arial"/>
          <w:sz w:val="17"/>
          <w:szCs w:val="17"/>
          <w:color w:val="auto"/>
        </w:rPr>
        <w:t>The following table summarizes, on a pro forma as adjusted basis as of June 30, 2018, the number of shares of our common stock, the total consideration and the average price per share (i) paid to us by our existing stockholders and (ii) to be paid by new investors participating in this offering and the concurrent private placement at to Merck an assumed initial public offering price and private placement</w:t>
      </w:r>
    </w:p>
    <w:p>
      <w:pPr>
        <w:spacing w:after="0" w:line="2"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purchase price of $ per share, the midpoint of the price range set forth on the cover page of this prospectus, before deducting underwriting discounts and commissions and estimated offering expenses payable by us.</w:t>
      </w:r>
    </w:p>
    <w:p>
      <w:pPr>
        <w:sectPr>
          <w:pgSz w:w="11900" w:h="16838" w:orient="portrait"/>
          <w:cols w:equalWidth="0" w:num="1">
            <w:col w:w="11220"/>
          </w:cols>
          <w:pgMar w:left="240" w:top="44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Existing stockholders before this offering</w:t>
      </w:r>
    </w:p>
    <w:p>
      <w:pPr>
        <w:spacing w:after="0" w:line="9" w:lineRule="exact"/>
        <w:rPr>
          <w:sz w:val="20"/>
          <w:szCs w:val="20"/>
          <w:color w:val="auto"/>
        </w:rPr>
      </w:pPr>
    </w:p>
    <w:p>
      <w:pPr>
        <w:ind w:left="200" w:right="400"/>
        <w:spacing w:after="0" w:line="235" w:lineRule="auto"/>
        <w:rPr>
          <w:sz w:val="20"/>
          <w:szCs w:val="20"/>
          <w:color w:val="auto"/>
        </w:rPr>
      </w:pPr>
      <w:r>
        <w:rPr>
          <w:rFonts w:ascii="Arial" w:cs="Arial" w:eastAsia="Arial" w:hAnsi="Arial"/>
          <w:sz w:val="18"/>
          <w:szCs w:val="18"/>
          <w:color w:val="auto"/>
        </w:rPr>
        <w:t>Merck participation in the concurrent private placement Investors participating in this offering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gridSpan w:val="4"/>
            <w:vMerge w:val="restart"/>
          </w:tcPr>
          <w:p>
            <w:pPr>
              <w:jc w:val="center"/>
              <w:ind w:right="105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68"/>
        </w:trPr>
        <w:tc>
          <w:tcPr>
            <w:tcW w:w="206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Total Shares</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gridSpan w:val="5"/>
            <w:vMerge w:val="restart"/>
          </w:tcPr>
          <w:p>
            <w:pPr>
              <w:jc w:val="center"/>
              <w:ind w:right="450"/>
              <w:spacing w:after="0"/>
              <w:rPr>
                <w:sz w:val="20"/>
                <w:szCs w:val="20"/>
                <w:color w:val="auto"/>
              </w:rPr>
            </w:pPr>
            <w:r>
              <w:rPr>
                <w:rFonts w:ascii="Arial" w:cs="Arial" w:eastAsia="Arial" w:hAnsi="Arial"/>
                <w:sz w:val="14"/>
                <w:szCs w:val="14"/>
                <w:b w:val="1"/>
                <w:bCs w:val="1"/>
                <w:color w:val="auto"/>
              </w:rPr>
              <w:t>Consideration</w:t>
            </w:r>
          </w:p>
        </w:tc>
        <w:tc>
          <w:tcPr>
            <w:tcW w:w="2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34"/>
        </w:trPr>
        <w:tc>
          <w:tcPr>
            <w:tcW w:w="5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50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52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8"/>
                <w:szCs w:val="18"/>
                <w:color w:val="auto"/>
              </w:rPr>
            </w:pPr>
          </w:p>
        </w:tc>
        <w:tc>
          <w:tcPr>
            <w:tcW w:w="580" w:type="dxa"/>
            <w:vAlign w:val="bottom"/>
            <w:tcBorders>
              <w:top w:val="single" w:sz="8" w:color="auto"/>
            </w:tcBorders>
          </w:tcPr>
          <w:p>
            <w:pPr>
              <w:jc w:val="right"/>
              <w:ind w:right="404"/>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-145415</wp:posOffset>
            </wp:positionV>
            <wp:extent cx="699770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119380</wp:posOffset>
            </wp:positionV>
            <wp:extent cx="699770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411" w:lineRule="exact"/>
        <w:rPr>
          <w:sz w:val="20"/>
          <w:szCs w:val="20"/>
          <w:color w:val="auto"/>
        </w:rPr>
      </w:pPr>
    </w:p>
    <w:p>
      <w:pPr>
        <w:sectPr>
          <w:pgSz w:w="11900" w:h="16838" w:orient="portrait"/>
          <w:cols w:equalWidth="0" w:num="2">
            <w:col w:w="4980" w:space="720"/>
            <w:col w:w="5520"/>
          </w:cols>
          <w:pgMar w:left="240" w:top="446" w:right="439" w:bottom="1440" w:gutter="0" w:footer="0" w:header="0"/>
          <w:type w:val="continuous"/>
        </w:sectPr>
      </w:pPr>
    </w:p>
    <w:tbl>
      <w:tblPr>
        <w:tblLayout w:type="fixed"/>
        <w:tblInd w:w="560" w:type="dxa"/>
        <w:tblCellMar>
          <w:top w:w="0" w:type="dxa"/>
          <w:left w:w="0" w:type="dxa"/>
          <w:bottom w:w="0" w:type="dxa"/>
          <w:right w:w="0" w:type="dxa"/>
        </w:tblCellMar>
      </w:tblPr>
      <w:tr>
        <w:trPr>
          <w:trHeight w:val="20"/>
        </w:trPr>
        <w:tc>
          <w:tcPr>
            <w:tcW w:w="6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90"/>
        </w:trPr>
        <w:tc>
          <w:tcPr>
            <w:tcW w:w="6240" w:type="dxa"/>
            <w:vAlign w:val="bottom"/>
          </w:tcPr>
          <w:p>
            <w:pPr>
              <w:spacing w:after="0" w:line="189"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9"/>
              </w:rPr>
              <w:t>100%</w:t>
            </w:r>
          </w:p>
        </w:tc>
        <w:tc>
          <w:tcPr>
            <w:tcW w:w="1260" w:type="dxa"/>
            <w:vAlign w:val="bottom"/>
            <w:gridSpan w:val="2"/>
          </w:tcPr>
          <w:p>
            <w:pPr>
              <w:jc w:val="right"/>
              <w:ind w:right="680"/>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80"/>
              <w:spacing w:after="0" w:line="189" w:lineRule="exact"/>
              <w:rPr>
                <w:sz w:val="20"/>
                <w:szCs w:val="20"/>
                <w:color w:val="auto"/>
              </w:rPr>
            </w:pPr>
            <w:r>
              <w:rPr>
                <w:rFonts w:ascii="Arial" w:cs="Arial" w:eastAsia="Arial" w:hAnsi="Arial"/>
                <w:sz w:val="18"/>
                <w:szCs w:val="18"/>
                <w:color w:val="auto"/>
              </w:rPr>
              <w:t>100%</w:t>
            </w:r>
          </w:p>
        </w:tc>
        <w:tc>
          <w:tcPr>
            <w:tcW w:w="840" w:type="dxa"/>
            <w:vAlign w:val="bottom"/>
            <w:gridSpan w:val="2"/>
          </w:tcPr>
          <w:p>
            <w:pPr>
              <w:ind w:left="260"/>
              <w:spacing w:after="0" w:line="189" w:lineRule="exact"/>
              <w:rPr>
                <w:sz w:val="20"/>
                <w:szCs w:val="20"/>
                <w:color w:val="auto"/>
              </w:rPr>
            </w:pPr>
            <w:r>
              <w:rPr>
                <w:rFonts w:ascii="Arial" w:cs="Arial" w:eastAsia="Arial" w:hAnsi="Arial"/>
                <w:sz w:val="18"/>
                <w:szCs w:val="18"/>
                <w:color w:val="auto"/>
              </w:rPr>
              <w:t>$   —</w:t>
            </w:r>
          </w:p>
        </w:tc>
      </w:tr>
      <w:tr>
        <w:trPr>
          <w:trHeight w:val="20"/>
        </w:trPr>
        <w:tc>
          <w:tcPr>
            <w:tcW w:w="6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6460" w:type="dxa"/>
            <w:vAlign w:val="bottom"/>
            <w:gridSpan w:val="2"/>
          </w:tcPr>
          <w:p>
            <w:pPr>
              <w:ind w:left="200"/>
              <w:spacing w:after="0"/>
              <w:rPr>
                <w:sz w:val="20"/>
                <w:szCs w:val="20"/>
                <w:color w:val="auto"/>
              </w:rPr>
            </w:pPr>
            <w:r>
              <w:rPr>
                <w:rFonts w:ascii="Arial" w:cs="Arial" w:eastAsia="Arial" w:hAnsi="Arial"/>
                <w:sz w:val="18"/>
                <w:szCs w:val="18"/>
                <w:color w:val="auto"/>
                <w:w w:val="99"/>
              </w:rPr>
              <w:t>Each $1.00 increase (decrease) in the assumed initial public offering price of $</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gridSpan w:val="7"/>
          </w:tcPr>
          <w:p>
            <w:pPr>
              <w:ind w:left="80"/>
              <w:spacing w:after="0"/>
              <w:rPr>
                <w:sz w:val="20"/>
                <w:szCs w:val="20"/>
                <w:color w:val="auto"/>
              </w:rPr>
            </w:pPr>
            <w:r>
              <w:rPr>
                <w:rFonts w:ascii="Arial" w:cs="Arial" w:eastAsia="Arial" w:hAnsi="Arial"/>
                <w:sz w:val="18"/>
                <w:szCs w:val="18"/>
                <w:color w:val="auto"/>
              </w:rPr>
              <w:t>per share, the midpoint of the price range</w:t>
            </w:r>
          </w:p>
        </w:tc>
      </w:tr>
    </w:tbl>
    <w:p>
      <w:pPr>
        <w:ind w:left="200"/>
        <w:spacing w:after="0" w:line="234" w:lineRule="auto"/>
        <w:rPr>
          <w:sz w:val="20"/>
          <w:szCs w:val="20"/>
          <w:color w:val="auto"/>
        </w:rPr>
      </w:pPr>
      <w:r>
        <w:rPr>
          <w:rFonts w:ascii="Arial" w:cs="Arial" w:eastAsia="Arial" w:hAnsi="Arial"/>
          <w:sz w:val="18"/>
          <w:szCs w:val="18"/>
          <w:color w:val="auto"/>
        </w:rPr>
        <w:t>set forth on the cover page of this prospectus, would increase (decrease) the total consideration paid by investors participating in this</w:t>
      </w:r>
    </w:p>
    <w:p>
      <w:pPr>
        <w:spacing w:after="0" w:line="1"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offering and the total consideration paid by all stockholders by $ million, assuming that the number of shares offered by us, as set forth on the cover page of this prospectus, remains the same and before deducting the underwriting discounts and commissions and estimated offering expenses payable by us.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Similarly, each increase (decrease) of 1,000,000 shares in the number of shares offered by us would increase (decrease) the total</w:t>
      </w:r>
    </w:p>
    <w:p>
      <w:pPr>
        <w:ind w:left="200"/>
        <w:spacing w:after="0"/>
        <w:tabs>
          <w:tab w:leader="none" w:pos="9660" w:val="left"/>
        </w:tabs>
        <w:rPr>
          <w:sz w:val="20"/>
          <w:szCs w:val="20"/>
          <w:color w:val="auto"/>
        </w:rPr>
      </w:pPr>
      <w:r>
        <w:rPr>
          <w:rFonts w:ascii="Arial" w:cs="Arial" w:eastAsia="Arial" w:hAnsi="Arial"/>
          <w:sz w:val="18"/>
          <w:szCs w:val="18"/>
          <w:color w:val="auto"/>
        </w:rPr>
        <w:t>consideration paid by investors participating in this offering and total consideration paid by all stockholders by $</w:t>
      </w:r>
      <w:r>
        <w:rPr>
          <w:sz w:val="20"/>
          <w:szCs w:val="20"/>
          <w:color w:val="auto"/>
        </w:rPr>
        <w:tab/>
      </w:r>
      <w:r>
        <w:rPr>
          <w:rFonts w:ascii="Arial" w:cs="Arial" w:eastAsia="Arial" w:hAnsi="Arial"/>
          <w:sz w:val="17"/>
          <w:szCs w:val="17"/>
          <w:color w:val="auto"/>
        </w:rPr>
        <w:t>million, assuming</w:t>
      </w:r>
    </w:p>
    <w:p>
      <w:pPr>
        <w:ind w:left="200"/>
        <w:spacing w:after="0"/>
        <w:tabs>
          <w:tab w:leader="none" w:pos="4340" w:val="left"/>
        </w:tabs>
        <w:rPr>
          <w:sz w:val="20"/>
          <w:szCs w:val="20"/>
          <w:color w:val="auto"/>
        </w:rPr>
      </w:pPr>
      <w:r>
        <w:rPr>
          <w:rFonts w:ascii="Arial" w:cs="Arial" w:eastAsia="Arial" w:hAnsi="Arial"/>
          <w:sz w:val="18"/>
          <w:szCs w:val="18"/>
          <w:color w:val="auto"/>
        </w:rPr>
        <w:t>the estimated initial public offering price of $</w:t>
      </w:r>
      <w:r>
        <w:rPr>
          <w:sz w:val="20"/>
          <w:szCs w:val="20"/>
          <w:color w:val="auto"/>
        </w:rPr>
        <w:tab/>
      </w:r>
      <w:r>
        <w:rPr>
          <w:rFonts w:ascii="Arial" w:cs="Arial" w:eastAsia="Arial" w:hAnsi="Arial"/>
          <w:sz w:val="17"/>
          <w:szCs w:val="17"/>
          <w:color w:val="auto"/>
        </w:rPr>
        <w:t>per share (the midpoint of the price range set forth on the cover page of this</w:t>
      </w:r>
    </w:p>
    <w:p>
      <w:pPr>
        <w:spacing w:after="0" w:line="1"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prospectus) remains the same, and after deducting the underwriting discounts and commissions and estimated offering expenses payable by us.</w:t>
      </w:r>
    </w:p>
    <w:p>
      <w:pPr>
        <w:spacing w:after="0" w:line="197" w:lineRule="exact"/>
        <w:rPr>
          <w:sz w:val="20"/>
          <w:szCs w:val="20"/>
          <w:color w:val="auto"/>
        </w:rPr>
      </w:pPr>
    </w:p>
    <w:p>
      <w:pPr>
        <w:ind w:left="200" w:right="40" w:firstLine="551"/>
        <w:spacing w:after="0" w:line="234"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in this offering, the number of shares of common stock held by existing stockholders will be reduced to % of the total number of shares of common stock to be outstanding after this offering and the concurrent private placement to Merck, and the number of shares of common stock held by</w:t>
      </w:r>
    </w:p>
    <w:p>
      <w:pPr>
        <w:spacing w:after="0" w:line="2"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investors participating in this offering will be further increased to , or % of the total number of shares of common stock to be outstanding after this offering and the concurrent private placement to Merck.</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46"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The foregoing discussion and tables are based on 107,184,644 shares of our common stock outstanding as of June 30, 2018 (including convertible preferred stock then outstanding on an as-converted basis), and excludes:</w:t>
      </w:r>
    </w:p>
    <w:p>
      <w:pPr>
        <w:spacing w:after="0" w:line="102" w:lineRule="exact"/>
        <w:rPr>
          <w:sz w:val="20"/>
          <w:szCs w:val="20"/>
          <w:color w:val="auto"/>
        </w:rPr>
      </w:pPr>
    </w:p>
    <w:p>
      <w:pPr>
        <w:ind w:left="960" w:right="52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the exercise of stock options outstanding as of June 30, 2018 at a weighted-average exercise price of $2.70 per share;</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39,274 shares of our common stock (on an as-converted basis) issuable upon exercise of an outstanding Series A convertible preferred stock warrant at an exercise price of $1.00 per share, of which all shares are currently exercisable;</w:t>
      </w:r>
    </w:p>
    <w:p>
      <w:pPr>
        <w:spacing w:after="0" w:line="102" w:lineRule="exact"/>
        <w:rPr>
          <w:rFonts w:ascii="Arial" w:cs="Arial" w:eastAsia="Arial" w:hAnsi="Arial"/>
          <w:sz w:val="18"/>
          <w:szCs w:val="18"/>
          <w:color w:val="auto"/>
        </w:rPr>
      </w:pPr>
    </w:p>
    <w:p>
      <w:pPr>
        <w:ind w:left="960" w:right="60" w:hanging="216"/>
        <w:spacing w:after="0" w:line="239" w:lineRule="auto"/>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common stock (including 1,193,038 shares of our common stock reserved for future issuance under the 2018 Plan, as of June 30, 2018), reserved for future issuance under the Restated 2018 Plan, which will become effective immediately prior to the completion of this offering, as well as any automatic increase in the number of shares of common stock reserved for future issuance under this benefit plan;</w:t>
      </w:r>
    </w:p>
    <w:p>
      <w:pPr>
        <w:spacing w:after="0" w:line="107" w:lineRule="exact"/>
        <w:rPr>
          <w:rFonts w:ascii="Arial" w:cs="Arial" w:eastAsia="Arial" w:hAnsi="Arial"/>
          <w:sz w:val="18"/>
          <w:szCs w:val="18"/>
          <w:color w:val="auto"/>
        </w:rPr>
      </w:pPr>
    </w:p>
    <w:p>
      <w:pPr>
        <w:ind w:left="960" w:hanging="216"/>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the ESPP, which will become effective immediately prior to the completion of this offering, as well as any automatic increase in the number of shares of common stock reserved for future issuance under this benefit plan; and</w:t>
      </w:r>
    </w:p>
    <w:p>
      <w:pPr>
        <w:spacing w:after="0" w:line="108"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73,503 shares of our common stock reserved for future issuance under our NGM Biopharmaceuticals Matching Plan, or the 401(k) Matching Plan, as of June 30, 2018.</w:t>
      </w:r>
    </w:p>
    <w:p>
      <w:pPr>
        <w:spacing w:after="0" w:line="197" w:lineRule="exact"/>
        <w:rPr>
          <w:sz w:val="20"/>
          <w:szCs w:val="20"/>
          <w:color w:val="auto"/>
        </w:rPr>
      </w:pPr>
    </w:p>
    <w:p>
      <w:pPr>
        <w:ind w:left="200" w:right="400" w:firstLine="551"/>
        <w:spacing w:after="0" w:line="239" w:lineRule="auto"/>
        <w:rPr>
          <w:sz w:val="20"/>
          <w:szCs w:val="20"/>
          <w:color w:val="auto"/>
        </w:rPr>
      </w:pPr>
      <w:r>
        <w:rPr>
          <w:rFonts w:ascii="Arial" w:cs="Arial" w:eastAsia="Arial" w:hAnsi="Arial"/>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investors participating in this offering.</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condensed consolidated financial statements and related notes, and “Management’s Discussion and Analysis of Financial Condition and Results of Operations” appearing elsewhere in this prospectus. We derived the selected consolidated statement of operations data for the years ended December 31, 2016 and 2017 and the selected consolidated balance sheet data as of December 31, 2016 and 2017 from our audited consolidated financial statements and related notes appearing elsewhere in this prospectus. We derived the condensed consolidated statement of operations data for the six months ended June 30, 2017 and 2018 and the condensed consolidated balance sheet data as of June 30, 2018 from our unaudited interim condensed consolidated financial statements included elsewhere in this prospectus. We have prepared the unaudited condensed consolidated financial statements on the same basis as the audited consolidated financial statements and have included, in our opinion, all adjustments consisting only of normal recurring adjustments that we consider necessary for a fair presentation of the financial information set forth in those statements. The selected consolidated financial data in this section are not intended to replace our consolidated financial statements and the related notes, or our condensed consolidated financial statements and related notes. Our historical results are not necessarily indicative of the results to be expected in the future, and our unaudited interim results are not necessarily indicative of the results to be expected for the full year or any other period.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left="793"/>
              <w:spacing w:after="0" w:line="143"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(in thousands, except per share amounts)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81,435</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85,589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82,105</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40,645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7,643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93,950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(8,361)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(17,425)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(10,370)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1,048</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(6,422)</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(15,219)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(6,922)</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(14,159)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(9,476)</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diluted(1)</w:t>
            </w:r>
          </w:p>
        </w:tc>
        <w:tc>
          <w:tcPr>
            <w:tcW w:w="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(0.63)</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(1.19)</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(0.80)</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net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loss per common share, basic and diluted(1)</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11,064,520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11,923,534</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12,326,850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(0.13)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forma net loss per common share, basic and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diluted (unaudited)(1)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106,458,466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106,861,782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740" w:right="120" w:hanging="53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and condensed consolidated financial statements appearing elsewhere in this prospectus for an explanation of the method used to calculate the historical and pro forma basic and diluted net loss per share and the number of shares used in the computation of the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$ 230,192</w:t>
            </w:r>
          </w:p>
        </w:tc>
        <w:tc>
          <w:tcPr>
            <w:tcW w:w="26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$ 173,685</w:t>
            </w:r>
          </w:p>
        </w:tc>
        <w:tc>
          <w:tcPr>
            <w:tcW w:w="3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$ 189,227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(excluding deferred revenue)</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216,067</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159,998</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173,395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276,994</w:t>
            </w:r>
          </w:p>
        </w:tc>
        <w:tc>
          <w:tcPr>
            <w:tcW w:w="26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248,941</w:t>
            </w:r>
          </w:p>
        </w:tc>
        <w:tc>
          <w:tcPr>
            <w:tcW w:w="3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237,563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97,182</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75,045</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66,138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w:t>
            </w:r>
          </w:p>
        </w:tc>
        <w:tc>
          <w:tcPr>
            <w:tcW w:w="26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3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294,874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(132,541)</w:t>
            </w: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(146,700)</w:t>
            </w:r>
          </w:p>
        </w:tc>
        <w:tc>
          <w:tcPr>
            <w:tcW w:w="11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2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(115,062)</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(120,978)</w:t>
            </w:r>
          </w:p>
        </w:tc>
        <w:tc>
          <w:tcPr>
            <w:tcW w:w="11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(123,449)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0" w:type="dxa"/>
            <w:vAlign w:val="bottom"/>
          </w:tcPr>
          <w:p>
            <w:pPr>
              <w:jc w:val="right"/>
              <w:ind w:right="1650"/>
              <w:spacing w:after="0"/>
              <w:rPr>
                <w:sz w:val="20"/>
                <w:szCs w:val="20"/>
                <w:color w:val="auto"/>
              </w:rPr>
            </w:pPr>
            <w:r>
              <w:rPr>
                <w:rFonts w:ascii="Arial" w:cs="Arial" w:eastAsia="Arial" w:hAnsi="Arial"/>
                <w:sz w:val="18"/>
                <w:szCs w:val="18"/>
                <w:color w:val="auto"/>
              </w:rPr>
              <w:t>74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has demonstrated the ability to rapidly improve NASH and reverse liver fibrosis at 12 weeks. Our other programs are in Phase 1 clinical or preclinical testing and subject to our Merck collaboration described below.</w:t>
      </w:r>
    </w:p>
    <w:p>
      <w:pPr>
        <w:spacing w:after="0" w:line="208"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Sharp &amp; Dohme Corp., or Merck, that allows us to develop multiple product candidates in parallel without bearing substantially greater costs or incurring significantly greater risk compared to developing candidates on our own. For a detailed explanation see the section “Business—Our Collaboration with Merck.” Through June 30, 2018, Merck has paid us $283.3 million, of which $94.0 million was an upfront payment and $189.3 million was reimbursement of research and development expenses. Merck has the option to extend the initial five-year research phase for two additional two-year periods by paying a fee for each extension. Merck is required to communicate to us by March 17, 2019 whether it will exercise the option for the first of the two-year periods.</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$6.9 million, $14.2 million, $9.5 million and $7.1 million for the years ended December 31, 2016 and 2017 and the six months ended June 30, 2017 and 2018, respectively. As of June 30, 2018, we had an accumulated deficit of $153.8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w:t>
      </w:r>
    </w:p>
    <w:p>
      <w:pPr>
        <w:ind w:left="200"/>
        <w:spacing w:after="0" w:line="234" w:lineRule="auto"/>
        <w:rPr>
          <w:sz w:val="20"/>
          <w:szCs w:val="20"/>
          <w:color w:val="auto"/>
        </w:rPr>
      </w:pPr>
      <w:r>
        <w:rPr>
          <w:rFonts w:ascii="Arial" w:cs="Arial" w:eastAsia="Arial" w:hAnsi="Arial"/>
          <w:sz w:val="18"/>
          <w:szCs w:val="18"/>
          <w:color w:val="auto"/>
        </w:rPr>
        <w:t>$294.9 million, upfront license fees paid by collaboration partners of $123.0 million and research and development service fees provided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collaboration partners of</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$202.3 million. We do not have any products approved for sale and do not anticipate generating revenue from product sales for the foreseeable future, if ever. Accordingly, to fund further operations we may need to raise capital in addition to the net proceeds from this offering, the concurrent private placement to Merck and amounts that may be available under our collaboration agreement with Merck. Until such time as we can generate meaningful revenue from product sales, if ever, we expect to finance our operating activities through public or private equity or debt financings, collaborations, strategic alliances and licensing arrangements, government or other third-party funding, or a combination of these. We may not be able to secure additional funding on terms acceptable to us, or at all, and any failure to secure funding as and when needed could compromise our ability to execute on our business plan, which could materially and adversely affect our business, financial condition and results of operations.</w:t>
      </w:r>
    </w:p>
    <w:p>
      <w:pPr>
        <w:spacing w:after="0" w:line="208" w:lineRule="exact"/>
        <w:rPr>
          <w:sz w:val="20"/>
          <w:szCs w:val="20"/>
          <w:color w:val="auto"/>
        </w:rPr>
      </w:pPr>
    </w:p>
    <w:p>
      <w:pPr>
        <w:jc w:val="both"/>
        <w:ind w:left="200" w:right="500" w:firstLine="551"/>
        <w:spacing w:after="0"/>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currently utilize third-party clinical research organizations, or CROs, to carry out our clinical development and we do not have a sales organization.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6"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revenue to date has been generated primarily from recognition of upfront license fees and research and development service funding pursuant to our collaboration agreements, the most significant of which is with Merck. Merck is also a significant stockholder and, as such, collaboration revenue from Merck is referred to as related party collaboration revenue. We have not generated any revenue from commercial product sales to date. We receive research and development funding pursuant to our collaboration agreements, and we may also be entitled to receive additional milestone and other contingent payments pursuant to our research collaboration product development and license agreement with Merck upon the occurrence of specific events. Due to the nature of these collaboration agreements and the nonlinearity of the related revenue recognition, our revenue has fluctuated from period to period in the past and we expect that it will continue to fluctuate in future periods. In addition, we are required to adopt ASC 606 for the year ending December 31, 2019, which may have a material impact on the timing of our revenue recognition.</w:t>
      </w:r>
    </w:p>
    <w:p>
      <w:pPr>
        <w:spacing w:after="0" w:line="207"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The following table summarizes the sources of our collaboration revenue for the years ended December 31, 2016 and 2017, and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0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6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gridSpan w:val="2"/>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372"/>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62,635</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58,341</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28,518</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31,331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Total related party collaboration revenue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81,435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77,141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5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3,773</w:t>
            </w: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5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ind w:left="700"/>
              <w:spacing w:after="0"/>
              <w:rPr>
                <w:sz w:val="20"/>
                <w:szCs w:val="20"/>
                <w:color w:val="auto"/>
              </w:rPr>
            </w:pPr>
            <w:r>
              <w:rPr>
                <w:rFonts w:ascii="Arial" w:cs="Arial" w:eastAsia="Arial" w:hAnsi="Arial"/>
                <w:sz w:val="18"/>
                <w:szCs w:val="18"/>
                <w:color w:val="auto"/>
              </w:rPr>
              <w:t>Total other collaboration revenue</w:t>
            </w:r>
          </w:p>
        </w:tc>
        <w:tc>
          <w:tcPr>
            <w:tcW w:w="25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3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85,589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37,918</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40,731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vMerge w:val="restart"/>
          </w:tcPr>
          <w:p>
            <w:pPr>
              <w:jc w:val="right"/>
              <w:ind w:right="1490"/>
              <w:spacing w:after="0"/>
              <w:rPr>
                <w:sz w:val="20"/>
                <w:szCs w:val="20"/>
                <w:color w:val="auto"/>
              </w:rPr>
            </w:pPr>
            <w:r>
              <w:rPr>
                <w:rFonts w:ascii="Arial" w:cs="Arial" w:eastAsia="Arial" w:hAnsi="Arial"/>
                <w:sz w:val="18"/>
                <w:szCs w:val="18"/>
                <w:color w:val="auto"/>
              </w:rPr>
              <w:t>76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 conducting preclinical testing and clinical trials and providing support for these operations.</w:t>
      </w:r>
    </w:p>
    <w:p>
      <w:pPr>
        <w:spacing w:after="0" w:line="197" w:lineRule="exact"/>
        <w:rPr>
          <w:sz w:val="20"/>
          <w:szCs w:val="20"/>
          <w:color w:val="auto"/>
        </w:rPr>
      </w:pPr>
    </w:p>
    <w:p>
      <w:pPr>
        <w:ind w:left="200" w:right="360" w:firstLine="551"/>
        <w:spacing w:after="0" w:line="239"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clinical development efforts are focused on multiple programs. Our lead product candidate, NGM282, is the subject of ongoing and planned Phase 2 clinical trials for NASH. We anticipate the majority of our financial resources outside of the Merck collaboration will be dedicated to the development of NGM282 for the foreseeable future, however, we may also devote financial resources to the development of our other programs in the event Merck does not elect to license these programs upon completion of a proof-of-concept study. Additionally, if our research and development expenses were to exceed the funding caps provided in our collaboration agreement with Merck, we could be required to devote our financial resources toward the development of those programs subject to the collaboration.</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NGM282 clinical trials we have initiated or plan to initiate include: (1) a 24-week expansion cohort of NGM282 (cohort 4) under our ongoing Phase 2 protocol as a double-blind, placebo-controlled study of once-daily 1 mg NGM282 for the treatment of NASH, (2) a Phase 2b clinical trial of NGM282 in a double-blind, placebo-controlled format testing 0.3 mg and 3 mg daily doses of NGM282 for 24 weeks for the treatment of NASH and (3) a Phase 2 clinical trial of NGM282 for the treatment of NASH patients with advanced fibrosis or early cirrhosis. Significant portions of our research and development resources are focused on these clinical trials and other work needed to prepare NGM282 for regulatory approval for the treatment of NASH, including preparation for Phase 3 testing of NGM282 in NASH.</w:t>
      </w:r>
    </w:p>
    <w:p>
      <w:pPr>
        <w:spacing w:after="0" w:line="205"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are also conducting Phase 1 clinical trials for NGM313, NGM120 and NGM217, each of which is subject to reimbursement under our Merck collaboration up to the funding caps provided in the agreement. Our NGM313 product candidate has completed single ascending dose and multiple ascending dose Phase 1 testing in overweight or obese but otherwise healthy adults and is currently completing a Phase 1b study in obese insulin resistant subjects with nonalcoholic fatty liver disease, or NAFLD. The proposed next step is to initiate a Phase 2b clinical trial in 2019 to evaluate the effect of NGM313 on liver histology and glucose control in NASH patients with or without diabetes, subject to Merck first deciding whether to exercise its option to license NGM313. Merck has the option to license NGM313 following completion of a proof-of-concept study in humans. If Merck chooses to exercise its option to license the NGM313 program, from that point forward all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7" w:lineRule="exact"/>
        <w:rPr>
          <w:sz w:val="20"/>
          <w:szCs w:val="20"/>
          <w:color w:val="auto"/>
        </w:rPr>
      </w:pPr>
    </w:p>
    <w:p>
      <w:pPr>
        <w:jc w:val="both"/>
        <w:ind w:left="200" w:right="440" w:firstLine="551"/>
        <w:spacing w:after="0"/>
        <w:rPr>
          <w:sz w:val="20"/>
          <w:szCs w:val="20"/>
          <w:color w:val="auto"/>
        </w:rPr>
      </w:pPr>
      <w:r>
        <w:rPr>
          <w:rFonts w:ascii="Arial" w:cs="Arial" w:eastAsia="Arial" w:hAnsi="Arial"/>
          <w:sz w:val="18"/>
          <w:szCs w:val="18"/>
          <w:color w:val="auto"/>
        </w:rPr>
        <w:t>NGM120 is currently in a Phase 1 clinical trial assessing safety, tolerability and pharmacokinetics. In 2019 we are planning to conduct a clinical study with NGM120 in cancer patients to explore proof of concept as an agent to treat CACS, and possibly, cancer. Merck has the option to license NGM120 following completion of a proof-of-concept study in humans.</w:t>
      </w:r>
    </w:p>
    <w:p>
      <w:pPr>
        <w:spacing w:after="0" w:line="203"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We recently commenced a Phase 1 clinical trial with NGM217 to assess safety and tolerability and to inform dose-range finding for future studies. Thereafter, we plan to commence a Phase 1b/2a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proof-of-concept study in diabetic patients to assess the ability of the agent to increase insulin production by the pancreas. Merck has the option to license NGM217 following completion of a proof-of-concept study in humans.</w:t>
      </w:r>
    </w:p>
    <w:p>
      <w:pPr>
        <w:spacing w:after="0" w:line="197"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NGM621 is currently in IND-enabling studies to enable initiation of a Phase 1 clinical trial in the second half of 2019. We expect the Phase 1 clinical trial will assess the safety and tolerability of a single intravitreal injection of NGM621 in patients with the dry form of age-related macular degeneration. Merck has the option to license NGM621 following completion of a proof-of-concept study in humans.</w:t>
      </w:r>
    </w:p>
    <w:p>
      <w:pPr>
        <w:spacing w:after="0" w:line="203" w:lineRule="exact"/>
        <w:rPr>
          <w:sz w:val="20"/>
          <w:szCs w:val="20"/>
          <w:color w:val="auto"/>
        </w:rPr>
      </w:pPr>
    </w:p>
    <w:p>
      <w:pPr>
        <w:jc w:val="both"/>
        <w:ind w:left="200" w:right="280" w:firstLine="551"/>
        <w:spacing w:after="0" w:line="239" w:lineRule="auto"/>
        <w:rPr>
          <w:sz w:val="20"/>
          <w:szCs w:val="20"/>
          <w:color w:val="auto"/>
        </w:rPr>
      </w:pPr>
      <w:r>
        <w:rPr>
          <w:rFonts w:ascii="Arial" w:cs="Arial" w:eastAsia="Arial" w:hAnsi="Arial"/>
          <w:sz w:val="18"/>
          <w:szCs w:val="18"/>
          <w:color w:val="auto"/>
        </w:rPr>
        <w:t>NGM386 and NGM395 were both licensed to Merck at the inception of our collaboration with Merck, and substantially all of the related research and development expenses are borne directly by Merck under our collaboration agreement; however, to enable timely progress of the programs, we continue to incur certain manufacturing related fees and expenses directly, which are then reimbursed by Merck outside the defined research funding budget in the research collaboration, product development and license agreement.</w:t>
      </w:r>
    </w:p>
    <w:p>
      <w:pPr>
        <w:spacing w:after="0" w:line="202"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Our research and development expenses related to the development of NGM282, NGM313, NGM120, NGM217 and NGM621 consist primarily of:</w:t>
      </w:r>
    </w:p>
    <w:p>
      <w:pPr>
        <w:spacing w:after="0" w:line="102" w:lineRule="exact"/>
        <w:rPr>
          <w:sz w:val="20"/>
          <w:szCs w:val="20"/>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following is a comparison of research and development expenses for the years ended December 31, 2016 and 2017, and the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Six Months</w:t>
            </w:r>
          </w:p>
        </w:tc>
      </w:t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Ended June 30,</w:t>
            </w:r>
          </w:p>
        </w:tc>
      </w:tr>
      <w:tr>
        <w:trPr>
          <w:trHeight w:val="156"/>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96"/>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32"/>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NGM282 (FGF19 analog)</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$15,126</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8,490</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5,393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NGM313 (FGFR1c/KLB agonist)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4,485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3,948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2,102</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NGM386, NGM395 (GDF15 analogs)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8,083</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787</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NGM120 (GFRAL antagonist)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5,643</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NGM217 (undisclosed)</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6,290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2,316</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1,241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NGM621 (undisclosed)</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7"/>
                <w:szCs w:val="17"/>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Total external 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35,826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27,432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12,635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and unallocated research and development expenses(1)</w:t>
            </w:r>
          </w:p>
        </w:tc>
        <w:tc>
          <w:tcPr>
            <w:tcW w:w="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46,279</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52,304</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25,298</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29,665</w:t>
            </w:r>
          </w:p>
        </w:tc>
        <w:tc>
          <w:tcPr>
            <w:tcW w:w="60" w:type="dxa"/>
            <w:vAlign w:val="bottom"/>
            <w:shd w:val="clear" w:color="auto" w:fill="CCEEFF"/>
          </w:tcPr>
          <w:p>
            <w:pPr>
              <w:spacing w:after="0"/>
              <w:rPr>
                <w:sz w:val="17"/>
                <w:szCs w:val="17"/>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82,105</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79,736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40,645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42,300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740" w:right="320" w:hanging="536"/>
        <w:spacing w:after="0" w:line="246"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Internal and unallocated research and development expenses consist mainly of employee compensation, research supplies and consulting fees, which we deploy across multiple research and development programs.</w:t>
      </w:r>
    </w:p>
    <w:p>
      <w:pPr>
        <w:spacing w:after="0" w:line="197"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107" w:lineRule="exact"/>
        <w:rPr>
          <w:sz w:val="20"/>
          <w:szCs w:val="20"/>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Merck will elect to license any of our programs and the timing of such election;</w:t>
      </w:r>
    </w:p>
    <w:p>
      <w:pPr>
        <w:spacing w:after="0" w:line="117" w:lineRule="exact"/>
        <w:rPr>
          <w:rFonts w:ascii="Arial" w:cs="Arial" w:eastAsia="Arial" w:hAnsi="Arial"/>
          <w:sz w:val="18"/>
          <w:szCs w:val="18"/>
          <w:color w:val="auto"/>
        </w:rPr>
      </w:pPr>
    </w:p>
    <w:p>
      <w:pPr>
        <w:ind w:left="960" w:right="200" w:hanging="216"/>
        <w:spacing w:after="0" w:line="246"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A change in the outcome of any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ind w:left="200" w:right="360" w:firstLine="551"/>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potential commercialization of our product candidates.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28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 (Unaudited)</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June 30,</w:t>
            </w:r>
          </w:p>
        </w:tc>
        <w:tc>
          <w:tcPr>
            <w:tcW w:w="260" w:type="dxa"/>
            <w:vAlign w:val="bottom"/>
            <w:vMerge w:val="restart"/>
          </w:tcPr>
          <w:p>
            <w:pPr>
              <w:spacing w:after="0"/>
              <w:rPr>
                <w:sz w:val="15"/>
                <w:szCs w:val="15"/>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00" w:type="dxa"/>
            <w:vAlign w:val="bottom"/>
            <w:vMerge w:val="restart"/>
          </w:tcPr>
          <w:p>
            <w:pPr>
              <w:spacing w:after="0"/>
              <w:rPr>
                <w:sz w:val="15"/>
                <w:szCs w:val="15"/>
                <w:color w:val="auto"/>
              </w:rPr>
            </w:pPr>
          </w:p>
        </w:tc>
        <w:tc>
          <w:tcPr>
            <w:tcW w:w="13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Related party collaboration revenue</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right w:val="single" w:sz="8" w:color="CCEEFF"/>
            </w:tcBorders>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3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$40,731</w:t>
            </w: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2,813</w:t>
            </w: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37,918</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40,731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2,813</w:t>
            </w:r>
          </w:p>
        </w:tc>
        <w:tc>
          <w:tcPr>
            <w:tcW w:w="3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1"/>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right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40,645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42,300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1,655</w:t>
            </w:r>
          </w:p>
        </w:tc>
        <w:tc>
          <w:tcPr>
            <w:tcW w:w="3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7,643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(311)</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right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48,288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49,632</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1,344</w:t>
            </w:r>
          </w:p>
        </w:tc>
        <w:tc>
          <w:tcPr>
            <w:tcW w:w="3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(10,370)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(8,901)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(1,469)</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1,048</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300" w:type="dxa"/>
            <w:vAlign w:val="bottom"/>
          </w:tcPr>
          <w:p>
            <w:pPr>
              <w:spacing w:after="0"/>
              <w:rPr>
                <w:sz w:val="17"/>
                <w:szCs w:val="17"/>
                <w:color w:val="auto"/>
              </w:rPr>
            </w:pP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before income taxes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(9,476)</w:t>
            </w:r>
          </w:p>
        </w:tc>
        <w:tc>
          <w:tcPr>
            <w:tcW w:w="12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(7,141)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(2,335)</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(9,746)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 (7,141)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(2,335)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right="1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For the six months ended June 30, 2017 and 2018, the Company recognized total collaboration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of $37.9 million and $40.7 million, of which $9.4 million in both periods was related to the upfront payment from Merck. The increase of $2.8 million in collaboration revenue was due to an increase in development activities under our collaboration agreement with Merck.</w:t>
      </w:r>
    </w:p>
    <w:p>
      <w:pPr>
        <w:spacing w:after="0" w:line="174" w:lineRule="exact"/>
        <w:rPr>
          <w:sz w:val="20"/>
          <w:szCs w:val="20"/>
          <w:color w:val="auto"/>
        </w:rPr>
      </w:pPr>
    </w:p>
    <w:p>
      <w:pPr>
        <w:ind w:left="760"/>
        <w:spacing w:after="0"/>
        <w:tabs>
          <w:tab w:leader="none" w:pos="4240" w:val="left"/>
        </w:tabs>
        <w:rPr>
          <w:sz w:val="20"/>
          <w:szCs w:val="20"/>
          <w:color w:val="auto"/>
        </w:rPr>
      </w:pPr>
      <w:r>
        <w:rPr>
          <w:rFonts w:ascii="Arial" w:cs="Arial" w:eastAsia="Arial" w:hAnsi="Arial"/>
          <w:sz w:val="18"/>
          <w:szCs w:val="18"/>
          <w:b w:val="1"/>
          <w:bCs w:val="1"/>
          <w:i w:val="1"/>
          <w:iCs w:val="1"/>
          <w:color w:val="auto"/>
        </w:rPr>
        <w:t>Research and Development Expenses.</w:t>
      </w:r>
      <w:r>
        <w:rPr>
          <w:sz w:val="20"/>
          <w:szCs w:val="20"/>
          <w:color w:val="auto"/>
        </w:rPr>
        <w:tab/>
      </w:r>
      <w:r>
        <w:rPr>
          <w:rFonts w:ascii="Arial" w:cs="Arial" w:eastAsia="Arial" w:hAnsi="Arial"/>
          <w:sz w:val="17"/>
          <w:szCs w:val="17"/>
          <w:color w:val="auto"/>
        </w:rPr>
        <w:t>Research and development expenses were $40.6 million and $42.3 million for the six</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months ended June 30, 2017 and 2018, respectively. The increase in research and development expenses of $1.7 million was primarily</w:t>
      </w:r>
    </w:p>
    <w:p>
      <w:pPr>
        <w:ind w:left="200"/>
        <w:spacing w:after="0" w:line="234" w:lineRule="auto"/>
        <w:rPr>
          <w:sz w:val="20"/>
          <w:szCs w:val="20"/>
          <w:color w:val="auto"/>
        </w:rPr>
      </w:pPr>
      <w:r>
        <w:rPr>
          <w:rFonts w:ascii="Arial" w:cs="Arial" w:eastAsia="Arial" w:hAnsi="Arial"/>
          <w:sz w:val="18"/>
          <w:szCs w:val="18"/>
          <w:color w:val="auto"/>
        </w:rPr>
        <w:t>due to an increase of $2.0 million in external expenses associated with the preclinical phase of the NGM621 program that began during</w:t>
      </w:r>
    </w:p>
    <w:p>
      <w:pPr>
        <w:ind w:left="200"/>
        <w:spacing w:after="0" w:line="235" w:lineRule="auto"/>
        <w:rPr>
          <w:sz w:val="20"/>
          <w:szCs w:val="20"/>
          <w:color w:val="auto"/>
        </w:rPr>
      </w:pPr>
      <w:r>
        <w:rPr>
          <w:rFonts w:ascii="Arial" w:cs="Arial" w:eastAsia="Arial" w:hAnsi="Arial"/>
          <w:sz w:val="18"/>
          <w:szCs w:val="18"/>
          <w:color w:val="auto"/>
        </w:rPr>
        <w:t>2018, and a $4.4 million increase in unallocated personnel related expenses. These increases were partially offset by a decrease of</w:t>
      </w:r>
    </w:p>
    <w:p>
      <w:pPr>
        <w:ind w:left="200"/>
        <w:spacing w:after="0" w:line="235" w:lineRule="auto"/>
        <w:rPr>
          <w:sz w:val="20"/>
          <w:szCs w:val="20"/>
          <w:color w:val="auto"/>
        </w:rPr>
      </w:pPr>
      <w:r>
        <w:rPr>
          <w:rFonts w:ascii="Arial" w:cs="Arial" w:eastAsia="Arial" w:hAnsi="Arial"/>
          <w:sz w:val="18"/>
          <w:szCs w:val="18"/>
          <w:color w:val="auto"/>
        </w:rPr>
        <w:t>$3.1 million in NGM282 program expenses, primarily due to the completion of the NGM282 program PSC clinical trial, and a $1.1 million</w:t>
      </w:r>
    </w:p>
    <w:p>
      <w:pPr>
        <w:ind w:left="200"/>
        <w:spacing w:after="0" w:line="235" w:lineRule="auto"/>
        <w:rPr>
          <w:sz w:val="20"/>
          <w:szCs w:val="20"/>
          <w:color w:val="auto"/>
        </w:rPr>
      </w:pPr>
      <w:r>
        <w:rPr>
          <w:rFonts w:ascii="Arial" w:cs="Arial" w:eastAsia="Arial" w:hAnsi="Arial"/>
          <w:sz w:val="18"/>
          <w:szCs w:val="18"/>
          <w:color w:val="auto"/>
        </w:rPr>
        <w:t>decrease in the NGM217 program external expenses due to the completion of the preclinical phase in 2016, which required a larger</w:t>
      </w:r>
    </w:p>
    <w:p>
      <w:pPr>
        <w:ind w:left="200"/>
        <w:spacing w:after="0"/>
        <w:rPr>
          <w:sz w:val="20"/>
          <w:szCs w:val="20"/>
          <w:color w:val="auto"/>
        </w:rPr>
      </w:pPr>
      <w:r>
        <w:rPr>
          <w:rFonts w:ascii="Arial" w:cs="Arial" w:eastAsia="Arial" w:hAnsi="Arial"/>
          <w:sz w:val="18"/>
          <w:szCs w:val="18"/>
          <w:color w:val="auto"/>
        </w:rPr>
        <w:t>amount of expenses related to clinical product and start-up costs.</w:t>
      </w:r>
    </w:p>
    <w:p>
      <w:pPr>
        <w:spacing w:after="0" w:line="190" w:lineRule="exact"/>
        <w:rPr>
          <w:sz w:val="20"/>
          <w:szCs w:val="20"/>
          <w:color w:val="auto"/>
        </w:rPr>
      </w:pPr>
    </w:p>
    <w:p>
      <w:pPr>
        <w:ind w:left="200" w:right="500" w:firstLine="551"/>
        <w:spacing w:after="0" w:line="271"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$7.6 million and $7.3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and 2018, respectively.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in general and administrative expenses of $0.3 million was primarily due to an decrease in personnel expenses.</w:t>
      </w:r>
    </w:p>
    <w:p>
      <w:pPr>
        <w:spacing w:after="0" w:line="190" w:lineRule="exact"/>
        <w:rPr>
          <w:sz w:val="20"/>
          <w:szCs w:val="20"/>
          <w:color w:val="auto"/>
        </w:rPr>
      </w:pPr>
    </w:p>
    <w:p>
      <w:pPr>
        <w:ind w:left="200" w:right="980" w:firstLine="551"/>
        <w:spacing w:after="0" w:line="271"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was $1.0 million and $1.6 million for the six months ended June 30, 2017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due to higher interest rates on marketable securities in 2018.</w:t>
      </w:r>
    </w:p>
    <w:p>
      <w:pPr>
        <w:spacing w:after="0" w:line="154" w:lineRule="exact"/>
        <w:rPr>
          <w:sz w:val="20"/>
          <w:szCs w:val="20"/>
          <w:color w:val="auto"/>
        </w:rPr>
      </w:pPr>
    </w:p>
    <w:p>
      <w:pPr>
        <w:ind w:left="200" w:right="1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was $(0.2) million and $0.1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2017 and 2018, respectively. The increase in other income (expense), net of $0.3 million primarily consisted of a $0.2 million increase in foreign currency-related gains associated within our monetary assets and liabilities held in NGM Biopharmaceuticals Australia Pty Ltd., a wholly owned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top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9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Related party collaboration revenue</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$81,435</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$ 77,141</w:t>
            </w:r>
          </w:p>
        </w:tc>
        <w:tc>
          <w:tcPr>
            <w:tcW w:w="3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(4,294)</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1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(4,154)</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1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85,589</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(8,448)</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82,105</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(2,369)</w:t>
            </w:r>
          </w:p>
        </w:tc>
        <w:tc>
          <w:tcPr>
            <w:tcW w:w="13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2,985</w:t>
            </w:r>
          </w:p>
        </w:tc>
        <w:tc>
          <w:tcPr>
            <w:tcW w:w="320" w:type="dxa"/>
            <w:vAlign w:val="bottom"/>
          </w:tcPr>
          <w:p>
            <w:pPr>
              <w:spacing w:after="0"/>
              <w:rPr>
                <w:sz w:val="18"/>
                <w:szCs w:val="18"/>
                <w:color w:val="auto"/>
              </w:rPr>
            </w:pP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93,950</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380" w:type="dxa"/>
            <w:vAlign w:val="bottom"/>
            <w:gridSpan w:val="3"/>
          </w:tcPr>
          <w:p>
            <w:pPr>
              <w:jc w:val="right"/>
              <w:ind w:right="260"/>
              <w:spacing w:after="0"/>
              <w:rPr>
                <w:sz w:val="20"/>
                <w:szCs w:val="20"/>
                <w:color w:val="auto"/>
              </w:rPr>
            </w:pPr>
            <w:r>
              <w:rPr>
                <w:rFonts w:ascii="Arial" w:cs="Arial" w:eastAsia="Arial" w:hAnsi="Arial"/>
                <w:sz w:val="18"/>
                <w:szCs w:val="18"/>
                <w:color w:val="auto"/>
              </w:rPr>
              <w:t>(8,361)</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(17,425)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9,064</w:t>
            </w:r>
          </w:p>
        </w:tc>
        <w:tc>
          <w:tcPr>
            <w:tcW w:w="3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3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(285)</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1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(6,422)</w:t>
            </w:r>
          </w:p>
        </w:tc>
        <w:tc>
          <w:tcPr>
            <w:tcW w:w="13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(15,219)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8,797</w:t>
            </w:r>
          </w:p>
        </w:tc>
        <w:tc>
          <w:tcPr>
            <w:tcW w:w="3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1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(1,060)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(1,560)</w:t>
            </w:r>
          </w:p>
        </w:tc>
        <w:tc>
          <w:tcPr>
            <w:tcW w:w="13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3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(6,922)</w:t>
            </w:r>
          </w:p>
        </w:tc>
        <w:tc>
          <w:tcPr>
            <w:tcW w:w="13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(14,159)</w:t>
            </w:r>
          </w:p>
        </w:tc>
        <w:tc>
          <w:tcPr>
            <w:tcW w:w="4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7,237</w:t>
            </w:r>
          </w:p>
        </w:tc>
        <w:tc>
          <w:tcPr>
            <w:tcW w:w="3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right="40" w:firstLine="551"/>
        <w:spacing w:after="0" w:line="242" w:lineRule="auto"/>
        <w:rPr>
          <w:sz w:val="20"/>
          <w:szCs w:val="20"/>
          <w:color w:val="auto"/>
        </w:rPr>
      </w:pPr>
      <w:r>
        <w:rPr>
          <w:rFonts w:ascii="Arial" w:cs="Arial" w:eastAsia="Arial" w:hAnsi="Arial"/>
          <w:sz w:val="18"/>
          <w:szCs w:val="18"/>
          <w:b w:val="1"/>
          <w:bCs w:val="1"/>
          <w:i w:val="1"/>
          <w:iCs w:val="1"/>
          <w:color w:val="auto"/>
        </w:rPr>
        <w:t xml:space="preserve">Total Collaboration Revenue. </w:t>
      </w:r>
      <w:r>
        <w:rPr>
          <w:rFonts w:ascii="Arial" w:cs="Arial" w:eastAsia="Arial" w:hAnsi="Arial"/>
          <w:sz w:val="18"/>
          <w:szCs w:val="18"/>
          <w:color w:val="auto"/>
        </w:rPr>
        <w:t>Total collaboration revenue was $85.6 million and $77.1 million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2017, respectively. The decrease of $8.4 million in total collaboration revenue was due to a decrease of $4.2 million in collaboration service revenue from Merck during the year ended December 31, 2017 and a decrease of $4.2 million in collaboration service revenue from MedImmune Limited, or MedImmune, due to termination of our collaboration agreement with MedImmune in August 2016. See note 5 to our consolidated financial statements included elsewhere in this prospectus for additional information regarding collaboration service revenue from MedImmune.</w:t>
      </w:r>
    </w:p>
    <w:p>
      <w:pPr>
        <w:spacing w:after="0" w:line="179" w:lineRule="exact"/>
        <w:rPr>
          <w:sz w:val="20"/>
          <w:szCs w:val="20"/>
          <w:color w:val="auto"/>
        </w:rPr>
      </w:pPr>
    </w:p>
    <w:p>
      <w:pPr>
        <w:ind w:left="200" w:right="240" w:firstLine="551"/>
        <w:spacing w:after="0" w:line="24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$82.1 million and $ 79.7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decrease in research and development expenses of $2.4 million was primarily attributable to a decrease of $7.3 million in the NGM386 and NGM395 external expenses, a decrease of $2.5 million in the NGM217 program external expenses and a decrease of $2.0 million in the NGM120 program external expenses, which were partially offset by increases of $3.8 million in the NGM282 program external expenses and $6.0 million in unallocated research and development expenses.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decreases in the NGM386 and NGM395 external expenses are due to Merck’s assumption of the future development and expenses associated with these product candidates under our collaboration agreement. The decrease in the NGM217 program external expenses is due to the completion of the preclinical phase in 2016, which required a larger amount of expenses related to clinical product and start-up costs. The decrease in the NGM120 program external expenses is due to the substantial completion of the preclinical phase in 2016, as the Phase 1 clinical trials did not begin until 2018.</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increase in the NGM282 program external expenses resulted primarily from activities and drug supply for clinical trials required for the NASH clinical trials performed during 2017. The increase in unallocated research and development expenses is primarily due to personnel related expenses attributable to lab supplies, and depreciation expense on lab equipment purchased in relation to the build out of our new laboratory space in relation to the relocation of our corporate headquarters during 2016.</w:t>
      </w:r>
    </w:p>
    <w:p>
      <w:pPr>
        <w:spacing w:after="0" w:line="180" w:lineRule="exact"/>
        <w:rPr>
          <w:sz w:val="20"/>
          <w:szCs w:val="20"/>
          <w:color w:val="auto"/>
        </w:rPr>
      </w:pPr>
    </w:p>
    <w:p>
      <w:pPr>
        <w:jc w:val="both"/>
        <w:ind w:left="200" w:right="20" w:firstLine="551"/>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$11.8 million and $14.8 million for the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and 2017, respectively. The increase in general and administrative expenses of $3.0 million was primarily due to increases of $1.5 million related to personnel expenses and $1.0 million related to professional fees and contract services.</w:t>
      </w:r>
    </w:p>
    <w:p>
      <w:pPr>
        <w:spacing w:after="0" w:line="169" w:lineRule="exact"/>
        <w:rPr>
          <w:sz w:val="20"/>
          <w:szCs w:val="20"/>
          <w:color w:val="auto"/>
        </w:rPr>
      </w:pPr>
    </w:p>
    <w:p>
      <w:pPr>
        <w:ind w:left="200" w:right="60" w:firstLine="551"/>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$1.8 million and $2.4 million for the years ended December 31, 2016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increase in interest income of $0.6 million was primarily attributable to higher yields on our available-for-sale marketable securities in 2017 compared to 2016.</w:t>
      </w:r>
    </w:p>
    <w:p>
      <w:pPr>
        <w:spacing w:after="0" w:line="169" w:lineRule="exact"/>
        <w:rPr>
          <w:sz w:val="20"/>
          <w:szCs w:val="20"/>
          <w:color w:val="auto"/>
        </w:rPr>
      </w:pPr>
    </w:p>
    <w:p>
      <w:pPr>
        <w:ind w:left="200" w:right="40" w:firstLine="551"/>
        <w:spacing w:after="0" w:line="247"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Provision for (benefit from) income taxes was $0.5 million and $ (1.1)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ended December 31, 2016 and 2017, respectively. The provision for income taxes in 2016 was related to federal alternative minimum tax. The benefit from income taxes in 2017 was due to a federal alternative minimum tax credit carryforward that became refundable as a result of the Tax Cuts and Jobs Act of 2017.</w:t>
      </w: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As of June 30, 2018, our operations have been financed primarily through the private placement of convertible preferred stock totaling $294.9 million, upfront license fees paid by collaboration partners of $123.0 million and research and development funding provided by collaboration partners of $202.3 million. As of June 30, 2018, we had cash and cash equivalents of $38.9 million, short-term marketable securities of $150.3 million, working capital (excluding deferred revenue) of $173.4 million and an accumulated deficit of $153.8 million, compared to cash and cash equivalents of $25.6 million, short-term marketable securities of $ 148.1 million, working capital (excluding deferred revenue) of $160.0 million and an accumulated deficit of $146.7 million at December 31, 2017.</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including the costs associated with becoming a public company, and conduct pre-commercialization activities. We will require substantial additional capital to achieve our development and commercialization goals for NGM282, for any Merck licensed programs that we opt to co-develop and for any programs that Merck does not opt to develop and that we choose to develop. If our Merck collaboration were to be terminated, we could require significant additional capital in order to proceed with development and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commercialization of our product candidates, or we may require additional partnering in order to help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The incurrence of indebtedness would result in debt service obligations and could result in operating and financing covenants that would restrict our operations. We cannot assure you that financing will be available in the amounts we need or on terms acceptable to us,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07"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The following table shows a summary of our cash flows for the years ended December 31, 2016 and 2017, and the six months ended June 30, 2017 and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w:t>
            </w:r>
          </w:p>
        </w:tc>
        <w:tc>
          <w:tcPr>
            <w:tcW w:w="1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Operating activities</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1,269</w:t>
            </w:r>
          </w:p>
        </w:tc>
        <w:tc>
          <w:tcPr>
            <w:tcW w:w="240" w:type="dxa"/>
            <w:vAlign w:val="bottom"/>
          </w:tcPr>
          <w:p>
            <w:pPr>
              <w:spacing w:after="0"/>
              <w:rPr>
                <w:sz w:val="17"/>
                <w:szCs w:val="17"/>
                <w:color w:val="auto"/>
              </w:rPr>
            </w:pPr>
          </w:p>
        </w:tc>
        <w:tc>
          <w:tcPr>
            <w:tcW w:w="11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$(17,413)</w:t>
            </w:r>
          </w:p>
        </w:tc>
        <w:tc>
          <w:tcPr>
            <w:tcW w:w="11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$(11,334)</w:t>
            </w: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 (8,754)</w:t>
            </w: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(64,707)</w:t>
            </w: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(2,796)</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24,439</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22,024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40"/>
              <w:spacing w:after="0" w:line="202" w:lineRule="exact"/>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(63,207)</w:t>
            </w:r>
          </w:p>
        </w:tc>
        <w:tc>
          <w:tcPr>
            <w:tcW w:w="11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(19,870)</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$ 13,362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13,319</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26" w:lineRule="exact"/>
        <w:rPr>
          <w:sz w:val="20"/>
          <w:szCs w:val="20"/>
          <w:color w:val="auto"/>
        </w:rPr>
      </w:pPr>
    </w:p>
    <w:p>
      <w:pPr>
        <w:ind w:left="200" w:right="420" w:firstLine="551"/>
        <w:spacing w:after="0" w:line="234" w:lineRule="auto"/>
        <w:rPr>
          <w:sz w:val="20"/>
          <w:szCs w:val="20"/>
          <w:color w:val="auto"/>
        </w:rPr>
      </w:pPr>
      <w:r>
        <w:rPr>
          <w:rFonts w:ascii="Arial" w:cs="Arial" w:eastAsia="Arial" w:hAnsi="Arial"/>
          <w:sz w:val="18"/>
          <w:szCs w:val="18"/>
          <w:color w:val="auto"/>
        </w:rPr>
        <w:t>During the six months ended June 30, 2018, cash used in operating activities was $ 8.8 million, which consisted of a net loss of $7.1 million, adjusted for non-cash charges of $7.8 million and cash used through changes in operating assets and liabilities of</w:t>
      </w:r>
    </w:p>
    <w:p>
      <w:pPr>
        <w:spacing w:after="0" w:line="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$9.4 million. The non-cash charges consisted primarily of stock-based compensation expense of $4.5 million and depreciation expense of $3.5 million. The change in operating assets and liabilities was primarily due to a decrease in deferred revenue of $9.9 million due to the recognition of upfront license fees from Merck and the timing of advance payments from Merck related to the reimbursement of costs associated with research and development activities. This was partially offset by an increase in accounts payable of $2.2 million.</w:t>
      </w:r>
    </w:p>
    <w:p>
      <w:pPr>
        <w:spacing w:after="0" w:line="202" w:lineRule="exact"/>
        <w:rPr>
          <w:sz w:val="20"/>
          <w:szCs w:val="20"/>
          <w:color w:val="auto"/>
        </w:rPr>
      </w:pPr>
    </w:p>
    <w:p>
      <w:pPr>
        <w:ind w:left="200" w:right="320" w:firstLine="551"/>
        <w:spacing w:after="0" w:line="234" w:lineRule="auto"/>
        <w:rPr>
          <w:sz w:val="20"/>
          <w:szCs w:val="20"/>
          <w:color w:val="auto"/>
        </w:rPr>
      </w:pPr>
      <w:r>
        <w:rPr>
          <w:rFonts w:ascii="Arial" w:cs="Arial" w:eastAsia="Arial" w:hAnsi="Arial"/>
          <w:sz w:val="18"/>
          <w:szCs w:val="18"/>
          <w:color w:val="auto"/>
        </w:rPr>
        <w:t>During the six months ended June 30, 2017, cash used in operating activities was $ 11.3 million, which consisted of a net loss of $9.5 million, adjusted for non-cash charges of $7.3 million and cash used through changes in operating assets and liabilities of</w:t>
      </w:r>
    </w:p>
    <w:p>
      <w:pPr>
        <w:spacing w:after="0" w:line="2"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$9.1 million. The non-cash charges consisted primarily of stock-based compensation expense of $3.8 million and depreciation expense of $3.0 million. The change in operating assets and liabilities was primarily due to a decrease of accounts payable of $2.8 million, a decrease in deferred revenue of $7.4 million due to the recognition of upfront license fees from Merck and the timing of advance payments from Merck related to the reimbursement of costs associated with research and development activities, and an increase in prepaid expenses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other assets of $1.3 million primarily related to deposits made in relation to contract manufacturing and clinical trial activities. This was partially offset by a decrease in receivable from collaboration of $2.8 million due to the timing of payments from Merck in relation to our collaboration agreement.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w:t>
      </w:r>
    </w:p>
    <w:p>
      <w:pPr>
        <w:ind w:left="200"/>
        <w:spacing w:after="0" w:line="234" w:lineRule="auto"/>
        <w:rPr>
          <w:sz w:val="20"/>
          <w:szCs w:val="20"/>
          <w:color w:val="auto"/>
        </w:rPr>
      </w:pPr>
      <w:r>
        <w:rPr>
          <w:rFonts w:ascii="Arial" w:cs="Arial" w:eastAsia="Arial" w:hAnsi="Arial"/>
          <w:sz w:val="18"/>
          <w:szCs w:val="18"/>
          <w:color w:val="auto"/>
        </w:rPr>
        <w:t>$14.2 million, adjusted for non-cash charges of $14.5 million and cash used through changes in operating assets and liabilities of</w:t>
      </w:r>
    </w:p>
    <w:p>
      <w:pPr>
        <w:ind w:left="200"/>
        <w:spacing w:after="0" w:line="235" w:lineRule="auto"/>
        <w:rPr>
          <w:sz w:val="20"/>
          <w:szCs w:val="20"/>
          <w:color w:val="auto"/>
        </w:rPr>
      </w:pPr>
      <w:r>
        <w:rPr>
          <w:rFonts w:ascii="Arial" w:cs="Arial" w:eastAsia="Arial" w:hAnsi="Arial"/>
          <w:sz w:val="18"/>
          <w:szCs w:val="18"/>
          <w:color w:val="auto"/>
        </w:rPr>
        <w:t>$17.7 million. The non-cash charges consisted primarily of stock-based compensation expense of $7.7 million and depreciation expense</w:t>
      </w:r>
    </w:p>
    <w:p>
      <w:pPr>
        <w:ind w:left="200"/>
        <w:spacing w:after="0" w:line="235" w:lineRule="auto"/>
        <w:rPr>
          <w:sz w:val="20"/>
          <w:szCs w:val="20"/>
          <w:color w:val="auto"/>
        </w:rPr>
      </w:pPr>
      <w:r>
        <w:rPr>
          <w:rFonts w:ascii="Arial" w:cs="Arial" w:eastAsia="Arial" w:hAnsi="Arial"/>
          <w:sz w:val="18"/>
          <w:szCs w:val="18"/>
          <w:color w:val="auto"/>
        </w:rPr>
        <w:t>of $6.4 million. The change in operating assets and liabilities was primarily due to an increase in prepaid expenses and other assets of</w:t>
      </w:r>
    </w:p>
    <w:p>
      <w:pPr>
        <w:ind w:left="200"/>
        <w:spacing w:after="0" w:line="235" w:lineRule="auto"/>
        <w:rPr>
          <w:sz w:val="20"/>
          <w:szCs w:val="20"/>
          <w:color w:val="auto"/>
        </w:rPr>
      </w:pPr>
      <w:r>
        <w:rPr>
          <w:rFonts w:ascii="Arial" w:cs="Arial" w:eastAsia="Arial" w:hAnsi="Arial"/>
          <w:sz w:val="18"/>
          <w:szCs w:val="18"/>
          <w:color w:val="auto"/>
        </w:rPr>
        <w:t>$1.1 million primarily resulting from a federal tax receivable generated as a result of the Tax Cuts and Jobs Act of 2017 that was signed</w:t>
      </w:r>
    </w:p>
    <w:p>
      <w:pPr>
        <w:ind w:left="200"/>
        <w:spacing w:after="0" w:line="235" w:lineRule="auto"/>
        <w:rPr>
          <w:sz w:val="20"/>
          <w:szCs w:val="20"/>
          <w:color w:val="auto"/>
        </w:rPr>
      </w:pPr>
      <w:r>
        <w:rPr>
          <w:rFonts w:ascii="Arial" w:cs="Arial" w:eastAsia="Arial" w:hAnsi="Arial"/>
          <w:sz w:val="18"/>
          <w:szCs w:val="18"/>
          <w:color w:val="auto"/>
        </w:rPr>
        <w:t>into law in December 2017, a decrease in accounts payable of $4.2 million and a decrease in deferred revenue of $16.5 million due to the</w:t>
      </w:r>
    </w:p>
    <w:p>
      <w:pPr>
        <w:ind w:left="200"/>
        <w:spacing w:after="0" w:line="235" w:lineRule="auto"/>
        <w:rPr>
          <w:sz w:val="20"/>
          <w:szCs w:val="20"/>
          <w:color w:val="auto"/>
        </w:rPr>
      </w:pPr>
      <w:r>
        <w:rPr>
          <w:rFonts w:ascii="Arial" w:cs="Arial" w:eastAsia="Arial" w:hAnsi="Arial"/>
          <w:sz w:val="18"/>
          <w:szCs w:val="18"/>
          <w:color w:val="auto"/>
        </w:rPr>
        <w:t>recognition of revenue related to upfront license fees from Merck and the timing of advance payments from Merck related to the</w:t>
      </w:r>
    </w:p>
    <w:p>
      <w:pPr>
        <w:ind w:left="200"/>
        <w:spacing w:after="0" w:line="235" w:lineRule="auto"/>
        <w:rPr>
          <w:sz w:val="20"/>
          <w:szCs w:val="20"/>
          <w:color w:val="auto"/>
        </w:rPr>
      </w:pPr>
      <w:r>
        <w:rPr>
          <w:rFonts w:ascii="Arial" w:cs="Arial" w:eastAsia="Arial" w:hAnsi="Arial"/>
          <w:sz w:val="18"/>
          <w:szCs w:val="18"/>
          <w:color w:val="auto"/>
        </w:rPr>
        <w:t>reimbursement of costs associated with research and development activities. This was partially offset by a decrease in receivable from</w:t>
      </w:r>
    </w:p>
    <w:p>
      <w:pPr>
        <w:ind w:left="200"/>
        <w:spacing w:after="0" w:line="235" w:lineRule="auto"/>
        <w:rPr>
          <w:sz w:val="20"/>
          <w:szCs w:val="20"/>
          <w:color w:val="auto"/>
        </w:rPr>
      </w:pPr>
      <w:r>
        <w:rPr>
          <w:rFonts w:ascii="Arial" w:cs="Arial" w:eastAsia="Arial" w:hAnsi="Arial"/>
          <w:sz w:val="18"/>
          <w:szCs w:val="18"/>
          <w:color w:val="auto"/>
        </w:rPr>
        <w:t>related party collaboration of $2.8 million due to payments received from Merck under the collaboration agreement and an increase in</w:t>
      </w:r>
    </w:p>
    <w:p>
      <w:pPr>
        <w:ind w:left="200"/>
        <w:spacing w:after="0" w:line="235" w:lineRule="auto"/>
        <w:rPr>
          <w:sz w:val="20"/>
          <w:szCs w:val="20"/>
          <w:color w:val="auto"/>
        </w:rPr>
      </w:pPr>
      <w:r>
        <w:rPr>
          <w:rFonts w:ascii="Arial" w:cs="Arial" w:eastAsia="Arial" w:hAnsi="Arial"/>
          <w:sz w:val="18"/>
          <w:szCs w:val="18"/>
          <w:color w:val="auto"/>
        </w:rPr>
        <w:t>accrued expenses and other liabilities of $2.6 million resulting primarily from the timing of payments related to our clinical trial expenses</w:t>
      </w:r>
    </w:p>
    <w:p>
      <w:pPr>
        <w:ind w:left="200"/>
        <w:spacing w:after="0"/>
        <w:rPr>
          <w:sz w:val="20"/>
          <w:szCs w:val="20"/>
          <w:color w:val="auto"/>
        </w:rPr>
      </w:pPr>
      <w:r>
        <w:rPr>
          <w:rFonts w:ascii="Arial" w:cs="Arial" w:eastAsia="Arial" w:hAnsi="Arial"/>
          <w:sz w:val="18"/>
          <w:szCs w:val="18"/>
          <w:color w:val="auto"/>
        </w:rPr>
        <w:t>and other research and development activities.</w:t>
      </w:r>
    </w:p>
    <w:p>
      <w:pPr>
        <w:spacing w:after="0" w:line="212" w:lineRule="exact"/>
        <w:rPr>
          <w:sz w:val="20"/>
          <w:szCs w:val="20"/>
          <w:color w:val="auto"/>
        </w:rPr>
      </w:pPr>
    </w:p>
    <w:p>
      <w:pPr>
        <w:ind w:left="200" w:right="80" w:firstLine="551"/>
        <w:spacing w:after="0" w:line="234" w:lineRule="auto"/>
        <w:rPr>
          <w:sz w:val="20"/>
          <w:szCs w:val="20"/>
          <w:color w:val="auto"/>
        </w:rPr>
      </w:pPr>
      <w:r>
        <w:rPr>
          <w:rFonts w:ascii="Arial" w:cs="Arial" w:eastAsia="Arial" w:hAnsi="Arial"/>
          <w:sz w:val="18"/>
          <w:szCs w:val="18"/>
          <w:color w:val="auto"/>
        </w:rPr>
        <w:t>During the year ended December 31, 2016, cash provided by operating activities was $1.3 million, which consisted of a net loss of $6.9 million, adjusted for non-cash charges of $10.7 million and cash used through changes in operating assets and liabilities of</w:t>
      </w:r>
    </w:p>
    <w:p>
      <w:pPr>
        <w:spacing w:after="0" w:line="2"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$2.5 million. The non-cash changes consisted primarily of stock-based compensation expense of $6.0 million, depreciation expense of $3.5 million and amortization of the premium on marketable securities of $1.1 million. The change in operating assets and liabilities was primarily due to a decrease in deferred revenue of $ 23.1 million due to the recognition of revenue related to upfront license fees from Merck and MedImmune. This was partially offset by an increase in deferred rent of $16.9 million due to the tenant allowance received in relation to the relocation of our corporate headquarters and an increase in accounts payable of $ 2.8 million resulting primarily from costs incurred in relation to the relocation of our corporate headquarters and the timing of payments to vendors in relation to our contract manufacturing, contract research and other research and development activities.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2018, cash provided by investing activities was $22.0 million, which consisted of</w:t>
      </w:r>
    </w:p>
    <w:p>
      <w:pPr>
        <w:ind w:left="200"/>
        <w:spacing w:after="0" w:line="234" w:lineRule="auto"/>
        <w:rPr>
          <w:sz w:val="20"/>
          <w:szCs w:val="20"/>
          <w:color w:val="auto"/>
        </w:rPr>
      </w:pPr>
      <w:r>
        <w:rPr>
          <w:rFonts w:ascii="Arial" w:cs="Arial" w:eastAsia="Arial" w:hAnsi="Arial"/>
          <w:sz w:val="18"/>
          <w:szCs w:val="18"/>
          <w:color w:val="auto"/>
        </w:rPr>
        <w:t>$97.3 million in proceeds from sales and maturities of marketable securities, partially offset by purchases of marketable securities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$70.2 million and purchases of property and equipment of $5.1 million.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six months ended June 30, 2017, cash provided by investing activities was $24.4 million, which consisted of</w:t>
      </w:r>
    </w:p>
    <w:p>
      <w:pPr>
        <w:ind w:left="200"/>
        <w:spacing w:after="0" w:line="234" w:lineRule="auto"/>
        <w:rPr>
          <w:sz w:val="20"/>
          <w:szCs w:val="20"/>
          <w:color w:val="auto"/>
        </w:rPr>
      </w:pPr>
      <w:r>
        <w:rPr>
          <w:rFonts w:ascii="Arial" w:cs="Arial" w:eastAsia="Arial" w:hAnsi="Arial"/>
          <w:sz w:val="18"/>
          <w:szCs w:val="18"/>
          <w:color w:val="auto"/>
        </w:rPr>
        <w:t>$123.7 million in proceeds from sales and maturities of marketable securities, partially offset by purchases of marketable securities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$94.8 million and purchases of property and equipment of $4.5 million.</w:t>
      </w:r>
    </w:p>
    <w:p>
      <w:pPr>
        <w:spacing w:after="0" w:line="212"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 equipment of $6.4 million, partially offset by proceeds from sales and maturity of marketable securities of $220.9 million.</w:t>
      </w:r>
    </w:p>
    <w:p>
      <w:pPr>
        <w:spacing w:after="0" w:line="203"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During the year ended December 31, 2016, cash used in investing activities was $64.7 million, which consisted of $132.6 million in purchases of marketable securities and purchases of property and equipment of $24.8 million, partially offset by proceeds from sales and maturity of marketable securities of $92.6 million.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26"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During the six months ended June 30, 2018, cash used in financing activities was $0.1 million, which consisted of repurchases of common stock of $0.2 million, partially offset by proceeds from the issuance of common stock upon the exercise of previously granted stock options of $0.2 million.</w:t>
      </w:r>
    </w:p>
    <w:p>
      <w:pPr>
        <w:spacing w:after="0" w:line="203"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During the six months ended June 30, 2017, cash provided by financing activities was $0.3 million, which consisted of proceeds from the issuance of common stock upon the exercise of previously granted stock options.</w:t>
      </w:r>
    </w:p>
    <w:p>
      <w:pPr>
        <w:spacing w:after="0" w:line="197"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197"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During the year ended December 31, 2016, cash provided by financing activities was $0.2 million, which consisted of proceeds from the issuance of common stock upon the exercise of previously granted stock options.</w:t>
      </w: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jc w:val="both"/>
        <w:ind w:left="200" w:right="280" w:firstLine="551"/>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2017, our contractual obligations due by period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6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1 to 3</w:t>
            </w:r>
          </w:p>
        </w:tc>
        <w:tc>
          <w:tcPr>
            <w:tcW w:w="3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4 to 5</w:t>
            </w:r>
          </w:p>
        </w:tc>
        <w:tc>
          <w:tcPr>
            <w:tcW w:w="1060" w:type="dxa"/>
            <w:vAlign w:val="bottom"/>
            <w:gridSpan w:val="3"/>
          </w:tcPr>
          <w:p>
            <w:pPr>
              <w:ind w:left="360"/>
              <w:spacing w:after="0" w:line="14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w w:val="98"/>
              </w:rPr>
              <w:t>1 year</w:t>
            </w:r>
          </w:p>
        </w:tc>
        <w:tc>
          <w:tcPr>
            <w:tcW w:w="3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years</w:t>
            </w:r>
          </w:p>
        </w:tc>
        <w:tc>
          <w:tcPr>
            <w:tcW w:w="3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years</w:t>
            </w:r>
          </w:p>
        </w:tc>
        <w:tc>
          <w:tcPr>
            <w:tcW w:w="360" w:type="dxa"/>
            <w:vAlign w:val="bottom"/>
          </w:tcPr>
          <w:p>
            <w:pPr>
              <w:spacing w:after="0"/>
              <w:rPr>
                <w:sz w:val="15"/>
                <w:szCs w:val="15"/>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5 years</w:t>
            </w:r>
          </w:p>
        </w:tc>
        <w:tc>
          <w:tcPr>
            <w:tcW w:w="36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Contractual obligations:</w:t>
            </w:r>
          </w:p>
        </w:tc>
        <w:tc>
          <w:tcPr>
            <w:tcW w:w="1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Operating lease obligations(1)</w:t>
            </w:r>
          </w:p>
        </w:tc>
        <w:tc>
          <w:tcPr>
            <w:tcW w:w="2040" w:type="dxa"/>
            <w:vAlign w:val="bottom"/>
            <w:gridSpan w:val="2"/>
          </w:tcPr>
          <w:p>
            <w:pPr>
              <w:ind w:left="19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4,123</w:t>
            </w:r>
          </w:p>
        </w:tc>
        <w:tc>
          <w:tcPr>
            <w:tcW w:w="940" w:type="dxa"/>
            <w:vAlign w:val="bottom"/>
            <w:gridSpan w:val="2"/>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2"/>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5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5,455</w:t>
            </w:r>
          </w:p>
        </w:tc>
        <w:tc>
          <w:tcPr>
            <w:tcW w:w="1020" w:type="dxa"/>
            <w:vAlign w:val="bottom"/>
            <w:gridSpan w:val="2"/>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2040" w:type="dxa"/>
            <w:vAlign w:val="bottom"/>
            <w:gridSpan w:val="2"/>
            <w:shd w:val="clear" w:color="auto" w:fill="CCEEFF"/>
          </w:tcPr>
          <w:p>
            <w:pPr>
              <w:ind w:left="19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940" w:type="dxa"/>
            <w:vAlign w:val="bottom"/>
            <w:gridSpan w:val="2"/>
            <w:shd w:val="clear" w:color="auto" w:fill="CCEEFF"/>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9,844</w:t>
            </w:r>
          </w:p>
        </w:tc>
        <w:tc>
          <w:tcPr>
            <w:tcW w:w="1020" w:type="dxa"/>
            <w:vAlign w:val="bottom"/>
            <w:gridSpan w:val="2"/>
            <w:shd w:val="clear" w:color="auto" w:fill="CCEEFF"/>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10,435</w:t>
            </w:r>
          </w:p>
        </w:tc>
        <w:tc>
          <w:tcPr>
            <w:tcW w:w="5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5,455</w:t>
            </w:r>
          </w:p>
        </w:tc>
        <w:tc>
          <w:tcPr>
            <w:tcW w:w="1020" w:type="dxa"/>
            <w:vAlign w:val="bottom"/>
            <w:gridSpan w:val="2"/>
            <w:shd w:val="clear" w:color="auto" w:fill="CCEEFF"/>
          </w:tcPr>
          <w:p>
            <w:pPr>
              <w:jc w:val="center"/>
              <w:ind w:left="25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740" w:right="100" w:hanging="536"/>
        <w:spacing w:after="0" w:line="246"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our corporate headquarters lease encompassing approximately 122,000 square feet of office and laboratory space that expires in December 2023.</w:t>
      </w:r>
    </w:p>
    <w:p>
      <w:pPr>
        <w:spacing w:after="0" w:line="197"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and with vendors for preclinical studies and other services and products for operating purposes that are cancelable at any time by us, generally upon 30 days’ prior written notice. These payments are not included in this table of contractual obligations.</w:t>
      </w:r>
    </w:p>
    <w:p>
      <w:pPr>
        <w:spacing w:after="0" w:line="203"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cash, cash equivalents and marketable securities as of June 30, 2018 consisted of readily available checking and money market funds, as well as available-for-sale securities. Our primary exposure to market risk is interest rate sensitivity, which is affected by changes in the general level of U.S. interest rates. However, because of the nature of the instruments in our portfolio, a sudden change in market interest rates would not be expected to have a material impact on our financial condition or results of operations. We believe that our exposure to interest rate risks is not significant and that a hypothetical 10% movement in market interest rates would not have a significant impact on the total value of our portfolio or our interest income. We do not believe that our cash, cash equivalents or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cash equivalents and marketable securities at one or more financial institutions that are in excess of federally insured limits.</w:t>
      </w:r>
    </w:p>
    <w:p>
      <w:pPr>
        <w:spacing w:after="0" w:line="207"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are also exposed to market risk related to changes in foreign currency exchange rates, mainly relating to our Australian subsidiary. In addition, we contract with vendors that are located in Asia and Europe, and the payments under such contracts are denominated in foreign currencies. We are subject to fluctuations in foreign currency rates in connection with these agreements. We do not currently hedge our foreign currency exchange rate risk. As of December 31, 2016 and 2017, our liabilities denominated in foreign currencies were not material. A 10% increase or decrease in current exchange rates would not have a material effect on our financial results.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08"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Our significant accounting policies are described in Note 1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right="320" w:firstLine="551"/>
        <w:spacing w:after="0" w:line="239" w:lineRule="auto"/>
        <w:rPr>
          <w:sz w:val="20"/>
          <w:szCs w:val="20"/>
          <w:color w:val="auto"/>
        </w:rPr>
      </w:pPr>
      <w:r>
        <w:rPr>
          <w:rFonts w:ascii="Arial" w:cs="Arial" w:eastAsia="Arial" w:hAnsi="Arial"/>
          <w:sz w:val="18"/>
          <w:szCs w:val="18"/>
          <w:color w:val="auto"/>
        </w:rPr>
        <w:t>All of our revenue to date has been generated from our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any commercialized products.</w:t>
      </w:r>
    </w:p>
    <w:p>
      <w:pPr>
        <w:spacing w:after="0" w:line="202"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Revenues from research activities made under collaboration arrangements are recognized when there is persuasive evidence that an arrangement exists, services have been rendered, the price is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fixed or determinable and collectability is reasonably assured. Revenue generated from our collaboration arrangements is not subject to repayment. Our obligations under collaboration agreements may include the transfer of intellectual property rights in the form of licenses, obligations to provide research and development services and obligations to participate on certain development committees with the collaboration party. We make judgments that affect the period over which we recognize revenue. On a quarterly basis, we review our estimated period of performance for our collaboration and license revenue based on the progress under the arrangement and account for the impact of any changes in estimated periods of performance on a prospective basis. 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8"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we allocate revenue to each non-contingent element based on the relative selling price of each element. When applying the relative selling price method, we determine the selling price for each deliverable using vendor-specific objective evidence or third-party evidence. If neither exists, we use the best estimate of selling price for that deliverable. Revenue allocated is then recognized when the four basic revenue recognition criteria are met for each element.</w:t>
      </w:r>
    </w:p>
    <w:p>
      <w:pPr>
        <w:spacing w:after="0" w:line="203" w:lineRule="exact"/>
        <w:rPr>
          <w:sz w:val="20"/>
          <w:szCs w:val="20"/>
          <w:color w:val="auto"/>
        </w:rPr>
      </w:pPr>
    </w:p>
    <w:p>
      <w:pPr>
        <w:ind w:left="200" w:right="100" w:firstLine="551"/>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2" w:lineRule="exact"/>
        <w:rPr>
          <w:sz w:val="20"/>
          <w:szCs w:val="20"/>
          <w:color w:val="auto"/>
        </w:rPr>
      </w:pPr>
    </w:p>
    <w:p>
      <w:pPr>
        <w:ind w:left="200" w:firstLine="4"/>
        <w:spacing w:after="0" w:line="236" w:lineRule="auto"/>
        <w:tabs>
          <w:tab w:leader="none" w:pos="4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entity’s performance or (2) on the occurrence of a specific outcome resulting from the entity’s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we have remaining performance obligations, payments in respect of such milestones are deferred and recognized as revenue over the estimated remaining period of performance. If there were no remaining performance obligations, we would recognize the revenue in the period it is earned.</w:t>
      </w:r>
    </w:p>
    <w:p>
      <w:pPr>
        <w:spacing w:after="0" w:line="20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Payments related to options to license our program candidates are considered substantive if, at the inception of the arrangement, we are at risk as to whether the collaboration partner will choose to exercise the option. Factors that we consider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we do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we would consider the item underlying the option to be a deliverable at the inception of the arrangement and a corresponding amount would be included in allocable arrangement consideration.</w:t>
      </w:r>
    </w:p>
    <w:p>
      <w:pPr>
        <w:spacing w:after="0" w:line="207" w:lineRule="exact"/>
        <w:rPr>
          <w:sz w:val="20"/>
          <w:szCs w:val="20"/>
          <w:color w:val="auto"/>
        </w:rPr>
      </w:pPr>
    </w:p>
    <w:p>
      <w:pPr>
        <w:ind w:left="200" w:right="780" w:firstLine="551"/>
        <w:spacing w:after="0" w:line="246" w:lineRule="auto"/>
        <w:rPr>
          <w:sz w:val="20"/>
          <w:szCs w:val="20"/>
          <w:color w:val="auto"/>
        </w:rPr>
      </w:pPr>
      <w:r>
        <w:rPr>
          <w:rFonts w:ascii="Arial" w:cs="Arial" w:eastAsia="Arial" w:hAnsi="Arial"/>
          <w:sz w:val="18"/>
          <w:szCs w:val="18"/>
          <w:color w:val="auto"/>
        </w:rPr>
        <w:t>Revenues related to research collaboration services and grants are recognized as research costs are incurred, and/or the underlying services are performed over the term as specified in the related agreements.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As part of the process of preparing financial statements, we are required to estimate and accrue expenses, the largest of which are research and development expenses. This process involves:</w:t>
      </w:r>
    </w:p>
    <w:p>
      <w:pPr>
        <w:spacing w:after="0" w:line="102" w:lineRule="exact"/>
        <w:rPr>
          <w:sz w:val="20"/>
          <w:szCs w:val="20"/>
          <w:color w:val="auto"/>
        </w:rPr>
      </w:pPr>
    </w:p>
    <w:p>
      <w:pPr>
        <w:jc w:val="both"/>
        <w:ind w:left="960" w:right="40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communicating with our applicable personnel to identify services that have been performed on our behalf and estimating the level of service performed and the associated cost incurred for the service when we have not yet been invoiced or otherwise notified of actual cost;</w:t>
      </w:r>
    </w:p>
    <w:p>
      <w:pPr>
        <w:spacing w:after="0" w:line="108"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estimating and accruing expenses in our financial statements as of each balance sheet date based on facts and circumstances known to us at the time;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17" w:lineRule="exact"/>
        <w:rPr>
          <w:sz w:val="20"/>
          <w:szCs w:val="20"/>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paid to clinical research organizations in connection with nonclinical studies and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studies;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paid to contract manufacturing organizations in connection with the production of clinical study materials;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base our expense accruals related to clinical studies on our estimates of the services received and efforts expended pursuant to contracts with multiple research institutions and clinical research organizations that conduct and manage clinical studies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8" w:lineRule="exact"/>
        <w:rPr>
          <w:sz w:val="20"/>
          <w:szCs w:val="20"/>
          <w:color w:val="auto"/>
        </w:rPr>
      </w:pPr>
    </w:p>
    <w:p>
      <w:pPr>
        <w:jc w:val="both"/>
        <w:ind w:left="200" w:right="360" w:firstLine="551"/>
        <w:spacing w:after="0" w:line="261" w:lineRule="auto"/>
        <w:rPr>
          <w:sz w:val="20"/>
          <w:szCs w:val="20"/>
          <w:color w:val="auto"/>
        </w:rPr>
      </w:pPr>
      <w:r>
        <w:rPr>
          <w:rFonts w:ascii="Arial" w:cs="Arial" w:eastAsia="Arial" w:hAnsi="Arial"/>
          <w:sz w:val="17"/>
          <w:szCs w:val="17"/>
          <w:color w:val="auto"/>
        </w:rPr>
        <w:t>To date, we have not experienced significant changes in our estimates of accrued research and development expenses after a reporting period.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Stock-based compensation expense represents the grant date fair value of employee stock option grants recognized over the requisite service period of the awards (usually the vesting period) on a straight-line basis, net of estimated forfeitures.</w:t>
      </w:r>
    </w:p>
    <w:p>
      <w:pPr>
        <w:spacing w:after="0" w:line="197"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We account for stock options granted to non-employees using the fair value approach. These options are subject to periodic revaluation to reflect the current fair value at each reporting period until the non-employee completes the performance obligation or the date on which a performance commitment is reached.</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including stock price volatility, the expected life of stock options, risk free interest rate and the fair value of the underlying common stock on the date of grant. Our key assumptions are:</w:t>
      </w:r>
    </w:p>
    <w:p>
      <w:pPr>
        <w:spacing w:after="0" w:line="80" w:lineRule="exact"/>
        <w:rPr>
          <w:sz w:val="20"/>
          <w:szCs w:val="20"/>
          <w:color w:val="auto"/>
        </w:rPr>
      </w:pPr>
    </w:p>
    <w:p>
      <w:pPr>
        <w:ind w:left="960" w:hanging="216"/>
        <w:spacing w:after="0" w:line="271"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industry over periods commensurate with our expected term assumption.</w:t>
      </w:r>
    </w:p>
    <w:p>
      <w:pPr>
        <w:spacing w:after="0" w:line="59" w:lineRule="exact"/>
        <w:rPr>
          <w:rFonts w:ascii="Arial" w:cs="Arial" w:eastAsia="Arial" w:hAnsi="Arial"/>
          <w:sz w:val="18"/>
          <w:szCs w:val="18"/>
          <w:color w:val="auto"/>
        </w:rPr>
      </w:pPr>
    </w:p>
    <w:p>
      <w:pPr>
        <w:ind w:left="960" w:right="180" w:hanging="216"/>
        <w:spacing w:after="0" w:line="253"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The expected term of the options granted is derived using the “simplified” method (that is, estimating the expected term as the mid-point between the vesting date and the end of the contractual term for each option).</w:t>
      </w:r>
    </w:p>
    <w:p>
      <w:pPr>
        <w:spacing w:after="0" w:line="74" w:lineRule="exact"/>
        <w:rPr>
          <w:rFonts w:ascii="Arial" w:cs="Arial" w:eastAsia="Arial" w:hAnsi="Arial"/>
          <w:sz w:val="18"/>
          <w:szCs w:val="18"/>
          <w:color w:val="auto"/>
        </w:rPr>
      </w:pPr>
    </w:p>
    <w:p>
      <w:pPr>
        <w:ind w:left="960" w:right="60" w:hanging="216"/>
        <w:spacing w:after="0" w:line="271"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59" w:lineRule="exact"/>
        <w:rPr>
          <w:rFonts w:ascii="Arial" w:cs="Arial" w:eastAsia="Arial" w:hAnsi="Arial"/>
          <w:sz w:val="18"/>
          <w:szCs w:val="18"/>
          <w:color w:val="auto"/>
        </w:rPr>
      </w:pPr>
    </w:p>
    <w:p>
      <w:pPr>
        <w:ind w:left="960" w:right="100" w:hanging="216"/>
        <w:spacing w:after="0" w:line="271"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to pay dividends for the foreseeable future.</w:t>
      </w:r>
    </w:p>
    <w:p>
      <w:pPr>
        <w:spacing w:after="0" w:line="176" w:lineRule="exact"/>
        <w:rPr>
          <w:sz w:val="20"/>
          <w:szCs w:val="20"/>
          <w:color w:val="auto"/>
        </w:rPr>
      </w:pPr>
    </w:p>
    <w:p>
      <w:pPr>
        <w:ind w:left="200" w:right="120" w:firstLine="551"/>
        <w:spacing w:after="0" w:line="257" w:lineRule="auto"/>
        <w:rPr>
          <w:sz w:val="20"/>
          <w:szCs w:val="20"/>
          <w:color w:val="auto"/>
        </w:rPr>
      </w:pPr>
      <w:r>
        <w:rPr>
          <w:rFonts w:ascii="Arial" w:cs="Arial" w:eastAsia="Arial" w:hAnsi="Arial"/>
          <w:sz w:val="17"/>
          <w:szCs w:val="17"/>
          <w:color w:val="auto"/>
        </w:rPr>
        <w:t>We recorded stock-based compensation expense of $6.0 million and $7.7 million for the years ended December 31, 2016 and 2017, respectively. We recorded stock-based compensation expense of $3.8 million and $4.5 million for the six months ended June 30, 2017 and 2018, respectively. As of June 30, 2018, we had unrecognized stock-based compensation cost related to options granted to employees and directors of $15.2 million, net of forfeitures, which is expected to be recognized as expense over approximately 2.6 years.</w:t>
      </w:r>
    </w:p>
    <w:p>
      <w:pPr>
        <w:spacing w:after="0" w:line="189"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 xml:space="preserve">Historically,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Given the absence of a public trading market for our common stock, our board of directors exercised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have utilized the probability-weighted expected return method, or PWERM, alone or in combination with the option pricing method, or OPM, as a hybrid method, or Hybrid Method, each an accepted valuation method under the AICPA Practice Guide, for determining the fair value of our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and series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In connection with our preparation for filing a registration statement with the SEC, we evaluated whether or not in retrospect the valuation of our common stock as of the date of each option grant over the previous 12 months was appropriate for accounting purposes.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The dates of our contemporaneous valuations have not always coincided with the dates of our stock option grants. In determining the exercise prices of the stock options, our board of directors considered, among other things, the most recent contemporaneous valuations of our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research and development, our operating and financial performance and current business conditions.</w:t>
      </w:r>
    </w:p>
    <w:p>
      <w:pPr>
        <w:spacing w:after="0" w:line="205"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After the completion of this offering, the fair market value of each share of underlying common stock will be determined based on the closing price of our common stock as reported by the Nasdaq Global Market on the date of grant.</w:t>
      </w:r>
    </w:p>
    <w:p>
      <w:pPr>
        <w:spacing w:after="0" w:line="197" w:lineRule="exact"/>
        <w:rPr>
          <w:sz w:val="20"/>
          <w:szCs w:val="20"/>
          <w:color w:val="auto"/>
        </w:rPr>
      </w:pPr>
    </w:p>
    <w:p>
      <w:pPr>
        <w:ind w:left="200" w:right="420" w:firstLine="551"/>
        <w:spacing w:after="0"/>
        <w:rPr>
          <w:sz w:val="20"/>
          <w:szCs w:val="20"/>
          <w:color w:val="auto"/>
        </w:rPr>
      </w:pPr>
      <w:r>
        <w:rPr>
          <w:rFonts w:ascii="Arial" w:cs="Arial" w:eastAsia="Arial" w:hAnsi="Arial"/>
          <w:sz w:val="18"/>
          <w:szCs w:val="18"/>
          <w:color w:val="auto"/>
        </w:rPr>
        <w:t>Based on an assumed initial public offering price of $ per share, the midpoint of the price range set forth on the cover page of this prospectus, the intrinsic value of stock options outstanding at December 31, 2017 was $ million, of which $ million and $ million related to stock options that were vested and unvested, respectively, at that date.</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time to comply with new or revised accounting standards as applicable to public companies. We are choosing to elect the extended transition period for complying with new or revised accounting standards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will remain an emerging growth company until the earlier to occur of (1) (a) the last day of the fiscal year following the fifth anniversary of the completion of this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prior June 30th, and (2) the date on which we have issued more than $1.0 billion in non-convertible debt during the prior three-year period.</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88"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 Based Payment Accounting as part of the FASB simplification initiative</w:t>
      </w:r>
      <w:r>
        <w:rPr>
          <w:rFonts w:ascii="Arial" w:cs="Arial" w:eastAsia="Arial" w:hAnsi="Arial"/>
          <w:sz w:val="18"/>
          <w:szCs w:val="18"/>
          <w:color w:val="auto"/>
        </w:rPr>
        <w:t>.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5"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w:t>
      </w:r>
      <w:r>
        <w:rPr>
          <w:rFonts w:ascii="Arial" w:cs="Arial" w:eastAsia="Arial" w:hAnsi="Arial"/>
          <w:sz w:val="18"/>
          <w:szCs w:val="18"/>
          <w:i w:val="1"/>
          <w:iCs w:val="1"/>
          <w:color w:val="auto"/>
        </w:rPr>
        <w:t>— 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4" w:lineRule="exact"/>
        <w:rPr>
          <w:sz w:val="20"/>
          <w:szCs w:val="20"/>
          <w:color w:val="auto"/>
        </w:rPr>
      </w:pPr>
    </w:p>
    <w:p>
      <w:pPr>
        <w:ind w:left="200" w:right="20" w:firstLine="551"/>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60"/>
          </w:cols>
          <w:pgMar w:left="240" w:top="459" w:right="5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are among the largest unmet medical needs globally and represent leading causes of morbidity and mortality and a significant burden for healthcare systems. Since the commencement of our operations in 2008, we have generated a robust portfolio of seven product candidates, five of which are in clinical testing. Our most advanced product candidate, NGM282, is wholly-owned and will enter Phase 2b development for the treatment of non-alcoholic steatohepatitis, or NASH, in the first quarter of 2019. In an ongoing Phase 2 clinical trial, NGM282 demonstrated the ability to rapidly improve NASH and reverse liver fibrosis at 12 weeks.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 Our executives, directors and advisors have extensive track records of successfully discovering, developing and delivering to patients first-in-class drugs, which positions us well to maximize the potential of our drug discovery approach.</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2015, we entered into a five-year research collaboration, product development and license agreement with Merck Sharp &amp; Dohme Corp., or Merck. The collaboration includes an exclusive worldwide license to our growth differentiation factor 15, or GDF15, program. Under the agreement, we also granted Merck options to take exclusive, worldwide licenses for the programs in our research and development pipeline on a program-by-program basis. Merck generally has a one-time right to exercise its option when a program completes a human proof-of-concept trial.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 We excluded our fibroblast growth factor 19, or FGF19, program, including NGM282, from the agreement and it remains wholly-owned by us.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Our most advanced programs have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fibroblast growth factor receptor 1c-beta-klotho, or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We are currently advancing seven proprietary product candidates,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96840" cy="3353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96840" cy="335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focused on the following programs:</w:t>
      </w:r>
    </w:p>
    <w:p>
      <w:pPr>
        <w:spacing w:after="0" w:line="117" w:lineRule="exact"/>
        <w:rPr>
          <w:sz w:val="20"/>
          <w:szCs w:val="20"/>
          <w:color w:val="auto"/>
        </w:rPr>
      </w:pPr>
    </w:p>
    <w:p>
      <w:pPr>
        <w:ind w:left="960" w:hanging="216"/>
        <w:spacing w:after="0" w:line="23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NGM282 is an engineered variant of the human hormone known as FGF19, which we are developing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NGM282 by demonstrating statistically significant reductions in liver fat, liver transaminases and biomarkers of fibrosis, which has translated into improvements in liver histology and fibrosis at 12 weeks. We expect interim data in the second half of 2019 from our ongoing placebo-controlled Phase 2 clinical trial cohort assessing the histological effects of NGM282 after 24 weeks of treatment. We plan to commence testing of NGM282 in a Phase 2b dose range-finding clinical trial for the treatment of NASH patients with F2 and F3 liver fibrosis in the first quarter of 2019. We expect to complete our Phase 2b clinical trial of NGM282 in 2020. We excluded our FGF19 program, including NGM282, from our Merck collaboration, and it remains wholly-owned by us.</w:t>
      </w:r>
    </w:p>
    <w:p>
      <w:pPr>
        <w:spacing w:after="0" w:line="111"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NGM313 is an agonistic antibody binding KLB and has the potential as an insulin sensitizer to be a treatment for type 2 diabetes and NASH. NGM313 works by selectively activating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37" w:lineRule="auto"/>
        <w:rPr>
          <w:sz w:val="20"/>
          <w:szCs w:val="20"/>
          <w:color w:val="auto"/>
        </w:rPr>
      </w:pPr>
      <w:r>
        <w:rPr>
          <w:rFonts w:ascii="Arial" w:cs="Arial" w:eastAsia="Arial" w:hAnsi="Arial"/>
          <w:sz w:val="18"/>
          <w:szCs w:val="18"/>
          <w:color w:val="auto"/>
        </w:rPr>
        <w:t>FGFR1c/KLB co-receptor complex, which regulates energy expenditure and glucose uptake in fat cells and other tissues. We are developing NGM313 as a once-monthly injection to treat type 2 diabetes and NASH. Preliminary data from a Phase 1b early proof-of-concept clinical trial in obese insulin resistant subjects with nonalcoholic fatty liver disease, or NAFLD demonstrated that a single dose of NGM313 resulted in a statistically significant reduction in liver fat content and improvements in multiple metabolic parameters. We expect to receive interim Phase 1b data in the fourth quarter of 2018. Merck has a one-time option to license NGM313 upon our completion of a proof-of-concept study in humans.</w:t>
      </w:r>
    </w:p>
    <w:p>
      <w:pPr>
        <w:spacing w:after="0" w:line="111" w:lineRule="exact"/>
        <w:rPr>
          <w:sz w:val="20"/>
          <w:szCs w:val="20"/>
          <w:color w:val="auto"/>
        </w:rPr>
      </w:pPr>
    </w:p>
    <w:p>
      <w:pPr>
        <w:ind w:left="960" w:right="120" w:hanging="216"/>
        <w:spacing w:after="0" w:line="23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NGM386 and NGM395 are engineered variants of the human hormone known as GDF15, which we are developing with Merck for the treatment of obesity. We discovered that metabolic activity of GDF15 is mediated by glial cell-derived neurotrophic factor receptor alpha-like, or GFRAL, which is located in a region of the brain stem outside the blood-brain barrier. NGM386, a once-daily injection, and NGM395, a once-weekly or less frequent injection, are designed to stimulate a pathway that modulates the autonomic nervous system and, possibly, the neuroendocrine axis to modify body weight and fat levels in the body. Merck licensed this GDF15 agonist program and is currently conducting a Phase 1 clinical trial of NGM386 in overweight or obese but otherwise healthy adults. We expect Merck to initiate Phase 2a clinical trials of NGM386 in obese adults and Phase 1 clinical trials of NGM395 in overweight or obese but otherwise healthy adults in 2019.</w:t>
      </w:r>
    </w:p>
    <w:p>
      <w:pPr>
        <w:spacing w:after="0" w:line="113" w:lineRule="exact"/>
        <w:rPr>
          <w:rFonts w:ascii="Arial" w:cs="Arial" w:eastAsia="Arial" w:hAnsi="Arial"/>
          <w:sz w:val="18"/>
          <w:szCs w:val="18"/>
          <w:color w:val="auto"/>
        </w:rPr>
      </w:pPr>
    </w:p>
    <w:p>
      <w:pPr>
        <w:ind w:left="960" w:right="20" w:hanging="216"/>
        <w:spacing w:after="0" w:line="23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NGM120 is an antagonistic antibody binding glial cell-derived neurotrophic factor receptor alpha-like, or GFRAL, that is designed to inhibit the effects of elevated GDF15 levels on cancer anorexia/cachexia syndrome, or CACS, and possibly, cancer. NGM120 works by selectively inhibiting the interaction between GDF15 and its cognate receptor, GFRAL, through which the autonomic nervous system and, possibly, the neuroendocrine axis influence the body’s fuel flux to propel the cachectic state, and, possibly, the cancer itself, in cancer patients that have high serum levels of GDF15. We are currently testing NGM120 in healthy volunteers in a Phase 1 clinical trial to assess its safety, tolerability and pharmacokinetic profile. We expect to initiate a Phase 1b clinical trial of NGM120 in cancer patients with CACS in the first half of 2019. Merck has a one-time option to license NGM120 upon our completion of a proof-of-concept study in humans.</w:t>
      </w:r>
    </w:p>
    <w:p>
      <w:pPr>
        <w:spacing w:after="0" w:line="113" w:lineRule="exact"/>
        <w:rPr>
          <w:rFonts w:ascii="Arial" w:cs="Arial" w:eastAsia="Arial" w:hAnsi="Arial"/>
          <w:sz w:val="18"/>
          <w:szCs w:val="18"/>
          <w:color w:val="auto"/>
        </w:rPr>
      </w:pPr>
    </w:p>
    <w:p>
      <w:pPr>
        <w:ind w:left="960" w:right="200" w:hanging="216"/>
        <w:spacing w:after="0" w:line="239"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designed to restore pancreatic islet function and increase insulin production in patients with diabetes. NGM217 is in a Phase 1 clinical trial in adults with diabetes, where we are assessing its ability to increase levels of C-peptide, a biomarker of insulin production. Merck has a one-time option to license NGM217 upon our completion of a proof-of-concept study in humans.</w:t>
      </w:r>
    </w:p>
    <w:p>
      <w:pPr>
        <w:spacing w:after="0" w:line="107" w:lineRule="exact"/>
        <w:rPr>
          <w:rFonts w:ascii="Arial" w:cs="Arial" w:eastAsia="Arial" w:hAnsi="Arial"/>
          <w:sz w:val="18"/>
          <w:szCs w:val="18"/>
          <w:color w:val="auto"/>
        </w:rPr>
      </w:pPr>
    </w:p>
    <w:p>
      <w:pPr>
        <w:ind w:left="960" w:right="240" w:hanging="216"/>
        <w:spacing w:after="0" w:line="238"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NGM621 is an antibody binding an undisclosed target, designed to decrease levels of a protein implicated in the dry form of age-related macular degeneration, or dry AMD. NGM621 is in IND-enabling studies, and we expect to begin a Phase 1 safety, tolerability and pharmacokinetics clinical trial in patients with geographic atrophy, or GA, an advanced form of dry AMD, in the second half of 2019. Merck has a one-time option to license NGM621 upon our completion of a proof-of-concept study in humans.</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lead candidate generation. Discovery activity in selected therapeutic areas beyond cardio-metabolic, liver, oncologic and ophthalmic diseases is ongoing and in various stages of research.</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Our management, scientists, board members and advisors have long track records of identifying multiple, class-defining drugs with meaningful clinical and commercial impact. Our scientific values and guiding principles have grown out of our team’s experience and involvement at companies that have built prolific drug discovery and development platforms, particularly Amgen Inc., Genentech, Inc. and Tularik Inc. We believe that this collective experience uniquely positions our team to execute on our strategy.</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00" w:right="300" w:firstLine="551"/>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to patients first-in-class medicines. Key elements of our strategy are:</w:t>
      </w:r>
    </w:p>
    <w:p>
      <w:pPr>
        <w:spacing w:after="0" w:line="86" w:lineRule="exact"/>
        <w:rPr>
          <w:sz w:val="20"/>
          <w:szCs w:val="20"/>
          <w:color w:val="auto"/>
        </w:rPr>
      </w:pPr>
    </w:p>
    <w:p>
      <w:pPr>
        <w:ind w:left="96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NGM282, Our Wholly-Owned Compound, as the Leading Treatment for NASH Patients with Moderate to Advanced Fibrosis: </w:t>
      </w:r>
      <w:r>
        <w:rPr>
          <w:rFonts w:ascii="Arial" w:cs="Arial" w:eastAsia="Arial" w:hAnsi="Arial"/>
          <w:sz w:val="18"/>
          <w:szCs w:val="18"/>
          <w:color w:val="auto"/>
        </w:rPr>
        <w:t>In Phase 2 clinical trials in NASH, patients taking NGM282 have experienced rapid and robust reductions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liver fat, liver transaminases, hepatocellular ballooning and fibrosis. These results suggest that NGM282 has the potential to resolve disease and reverse fibrosis in NASH patients with moderate to advanced fibrosis. We plan to initiate a Phase 2b clinical trial of NGM282 in NASH patients with fibrosis stage F2 and F3 in the first quarter of 2019, which will inform dose selection for a Phase 3 clinical trial to support a filing for initial marketing approval. As part of our life cycle management strategy, we intend to also develop a version of NGM282 with an extended half-life, or exposure duration in the blood, which will enable less frequent dosing.</w:t>
      </w:r>
    </w:p>
    <w:p>
      <w:pPr>
        <w:spacing w:after="0" w:line="86" w:lineRule="exact"/>
        <w:rPr>
          <w:rFonts w:ascii="Arial" w:cs="Arial" w:eastAsia="Arial" w:hAnsi="Arial"/>
          <w:sz w:val="18"/>
          <w:szCs w:val="18"/>
          <w:color w:val="auto"/>
        </w:rPr>
      </w:pPr>
    </w:p>
    <w:p>
      <w:pPr>
        <w:ind w:left="960" w:right="20" w:hanging="216"/>
        <w:spacing w:after="0" w:line="244"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NGM282. Our option to elect a cost and profit share for collaboration products preserves our substantial economic participation in such programs.</w:t>
      </w:r>
    </w:p>
    <w:p>
      <w:pPr>
        <w:spacing w:after="0" w:line="82" w:lineRule="exact"/>
        <w:rPr>
          <w:rFonts w:ascii="Arial" w:cs="Arial" w:eastAsia="Arial" w:hAnsi="Arial"/>
          <w:sz w:val="18"/>
          <w:szCs w:val="18"/>
          <w:color w:val="auto"/>
        </w:rPr>
      </w:pPr>
    </w:p>
    <w:p>
      <w:pPr>
        <w:ind w:left="960" w:right="40" w:hanging="216"/>
        <w:spacing w:after="0" w:line="242"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Extend Our Therapeutic Areas of Focus: </w:t>
      </w:r>
      <w:r>
        <w:rPr>
          <w:rFonts w:ascii="Arial" w:cs="Arial" w:eastAsia="Arial" w:hAnsi="Arial"/>
          <w:sz w:val="18"/>
          <w:szCs w:val="18"/>
          <w:color w:val="auto"/>
        </w:rPr>
        <w:t>Our initial research focus is on the biology underlying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patients and NGM621 for dry AMD, and plan to continue growing our pipeline of product candidates at our historical rate, with the goal of identifying high-impact therapeutics that are first-in-class.</w:t>
      </w:r>
    </w:p>
    <w:p>
      <w:pPr>
        <w:spacing w:after="0" w:line="84" w:lineRule="exact"/>
        <w:rPr>
          <w:rFonts w:ascii="Arial" w:cs="Arial" w:eastAsia="Arial" w:hAnsi="Arial"/>
          <w:sz w:val="18"/>
          <w:szCs w:val="18"/>
          <w:color w:val="auto"/>
        </w:rPr>
      </w:pPr>
    </w:p>
    <w:p>
      <w:pPr>
        <w:ind w:left="960" w:right="100" w:hanging="216"/>
        <w:spacing w:after="0" w:line="242"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 product candidate, NGM282. If approved, we intend to bring NGM282 to market by building our own specialty salesforce in the United States targeting hepatologists and may seek to expand our reach by leveraging partners’ commercial capabilities. We believe a targeted salesforce would have the ability to deliver NGM282 to the majority of the initial target population of NASH patients with moderate to advanced fibrosis. For our other programs, our collaboration with Merck provides us the option to participate in commercializing in the United States.</w:t>
      </w:r>
    </w:p>
    <w:p>
      <w:pPr>
        <w:spacing w:after="0" w:line="84" w:lineRule="exact"/>
        <w:rPr>
          <w:rFonts w:ascii="Arial" w:cs="Arial" w:eastAsia="Arial" w:hAnsi="Arial"/>
          <w:sz w:val="18"/>
          <w:szCs w:val="18"/>
          <w:color w:val="auto"/>
        </w:rPr>
      </w:pPr>
    </w:p>
    <w:p>
      <w:pPr>
        <w:ind w:left="960" w:right="380" w:hanging="216"/>
        <w:spacing w:after="0" w:line="25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productive research and development engines in the biopharmaceutical industry. In the last decade, our team of experienced scientists and drug developers has designated seven molecules for development, five of which are in clinical</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rPr>
          <w:sz w:val="20"/>
          <w:szCs w:val="20"/>
          <w:color w:val="auto"/>
        </w:rPr>
      </w:pPr>
      <w:r>
        <w:rPr>
          <w:rFonts w:ascii="Arial" w:cs="Arial" w:eastAsia="Arial" w:hAnsi="Arial"/>
          <w:sz w:val="18"/>
          <w:szCs w:val="18"/>
          <w:color w:val="auto"/>
        </w:rPr>
        <w:t>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99" w:lineRule="exact"/>
        <w:rPr>
          <w:sz w:val="20"/>
          <w:szCs w:val="20"/>
          <w:color w:val="auto"/>
        </w:rPr>
      </w:pPr>
    </w:p>
    <w:p>
      <w:pPr>
        <w:ind w:left="1180" w:right="20" w:hanging="206"/>
        <w:spacing w:after="0" w:line="251"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97" w:lineRule="exact"/>
        <w:rPr>
          <w:rFonts w:ascii="Arial" w:cs="Arial" w:eastAsia="Arial" w:hAnsi="Arial"/>
          <w:sz w:val="18"/>
          <w:szCs w:val="18"/>
          <w:color w:val="auto"/>
        </w:rPr>
      </w:pPr>
    </w:p>
    <w:p>
      <w:pPr>
        <w:ind w:left="1180" w:right="20" w:hanging="206"/>
        <w:spacing w:after="0" w:line="246"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or SNPs, that correlate with a particular phenotype associated with disease; and</w:t>
      </w:r>
    </w:p>
    <w:p>
      <w:pPr>
        <w:spacing w:after="0" w:line="102" w:lineRule="exact"/>
        <w:rPr>
          <w:rFonts w:ascii="Arial" w:cs="Arial" w:eastAsia="Arial" w:hAnsi="Arial"/>
          <w:sz w:val="18"/>
          <w:szCs w:val="18"/>
          <w:color w:val="auto"/>
        </w:rPr>
      </w:pPr>
    </w:p>
    <w:p>
      <w:pPr>
        <w:ind w:left="1180" w:right="180" w:hanging="206"/>
        <w:spacing w:after="0" w:line="246"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79"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or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initially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 discovery efforts in cardio-metabolic disease and enabled us to identify novel pathways that demonstrate profound metabolic effects.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126"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207"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distinguishes our drug discovery approach from many others applied in our industry today.</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 human growth hormone, tissue plasminogen activator and interferon alpha and gamma, as well as metreleptin and evolocumab (Repatha).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Cardio-metabolic and liver diseases, including NASH, diabetes and obesity, are among the largest unmet medical needs globally, and represent a leading cause of morbidity and mortality, a significant burden for healthcare systems and an area of relative underinvestment by the pharmaceutical industry. Metabolic syndrome is exhibited by 34% of adults in the United States and is believed to be at the center of this health epidemic. Metabolic syndrome comprises a constellation of co-morbid conditions, including type 2 diabetes, obesity, high blood pressure, poorly regulated lipids and non-alcoholic fatty liver disease, or NAFLD, a precursor condition to NASH. Despite a wave of public health campaigns to promote better diet and exercise habits and a range of treatment options available for many of these cardio-metabolic diseases, morbidity and mortality rates remain high and more effective therapeutics are needed.</w:t>
      </w:r>
    </w:p>
    <w:p>
      <w:pPr>
        <w:spacing w:after="0" w:line="203"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 -metabolic disease including NASH, type 2 diabetes and obesity. Each of these drug candidates stem from novel insights we have made in understanding hormone pathways that regulate cardio-metabolic processes. NGM282 is our lead product candidate in development for treating NASH, a cardio-metabolic liver disease. As explained below, the clinically</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validated, dual mechanism of action of NGM282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NGM282 program. The five most advanced clinical candidates currently subject to our Merck collaboration—NGM313, NGM386, NGM120, NGM217 and NGM395—are notable because their preclinical profiles suggest the potential to broadly impact the drivers of various diseases with an underlying metabolic dysregulation. These programs are in human clinical trials or preparing to enter human clinical trials.</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Focus Areas</w:t>
      </w:r>
    </w:p>
    <w:p>
      <w:pPr>
        <w:spacing w:after="0" w:line="234"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2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Our Programs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NGM282: A Rapid and Potent Approach to Treating NASH</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NGM282 is wholly-owned, and it is not subject to our collaboration with Merck.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122" w:lineRule="exact"/>
        <w:rPr>
          <w:sz w:val="20"/>
          <w:szCs w:val="20"/>
          <w:color w:val="auto"/>
        </w:rPr>
      </w:pPr>
    </w:p>
    <w:p>
      <w:pPr>
        <w:jc w:val="both"/>
        <w:ind w:left="200" w:right="200" w:firstLine="551"/>
        <w:spacing w:after="0" w:line="238" w:lineRule="auto"/>
        <w:rPr>
          <w:sz w:val="20"/>
          <w:szCs w:val="20"/>
          <w:color w:val="auto"/>
        </w:rPr>
      </w:pPr>
      <w:r>
        <w:rPr>
          <w:rFonts w:ascii="Arial" w:cs="Arial" w:eastAsia="Arial" w:hAnsi="Arial"/>
          <w:sz w:val="18"/>
          <w:szCs w:val="18"/>
          <w:color w:val="auto"/>
        </w:rPr>
        <w:t>NASH is a life 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by certain NAFLD patients to NASH by developing a necroinflammatory state in the liver that ultimately drives scarring, also known as fibrosis, and, for many, progresses to liver failure, also known as cirrhosis.</w:t>
      </w:r>
    </w:p>
    <w:p>
      <w:pPr>
        <w:spacing w:after="0" w:line="203" w:lineRule="exact"/>
        <w:rPr>
          <w:sz w:val="20"/>
          <w:szCs w:val="20"/>
          <w:color w:val="auto"/>
        </w:rPr>
      </w:pPr>
    </w:p>
    <w:p>
      <w:pPr>
        <w:ind w:left="200" w:right="200" w:firstLine="551"/>
        <w:spacing w:after="0" w:line="237"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By 2020, NASH is expected to supplant hepatitis C as the leading cause for liver transplantation, and liver-related deaths in the NAFLD population are expected to increase by more than 150% in the next 15 years. The annual economic burden associated with NAFLD and NASH in the United States was estimated to have been over $100 billion in 2016.</w:t>
      </w:r>
    </w:p>
    <w:p>
      <w:pPr>
        <w:spacing w:after="0" w:line="205" w:lineRule="exact"/>
        <w:rPr>
          <w:sz w:val="20"/>
          <w:szCs w:val="20"/>
          <w:color w:val="auto"/>
        </w:rPr>
      </w:pPr>
    </w:p>
    <w:p>
      <w:pPr>
        <w:ind w:left="200" w:right="580" w:firstLine="551"/>
        <w:spacing w:after="0" w:line="246"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88585" cy="2049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858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or NAS.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 below describes the scoring criteria of the two systems:</w:t>
      </w:r>
    </w:p>
    <w:p>
      <w:pPr>
        <w:spacing w:after="0" w:line="1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166370</wp:posOffset>
            </wp:positionV>
            <wp:extent cx="4373880" cy="2126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7388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166370</wp:posOffset>
            </wp:positionV>
            <wp:extent cx="4399280" cy="12179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9928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 death.</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FDA Preliminary Recommendations on NASH Drug Development and Endpoints</w:t>
      </w:r>
    </w:p>
    <w:p>
      <w:pPr>
        <w:spacing w:after="0" w:line="122"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There are no FDA-approved therapeutics for NASH. The FDA has provided preliminary recommendations to the industry regarding acceptable development pathways for investigational NASH agents as follows:</w:t>
      </w:r>
    </w:p>
    <w:p>
      <w:pPr>
        <w:spacing w:after="0" w:line="102" w:lineRule="exact"/>
        <w:rPr>
          <w:sz w:val="20"/>
          <w:szCs w:val="20"/>
          <w:color w:val="auto"/>
        </w:rPr>
      </w:pPr>
    </w:p>
    <w:p>
      <w:pPr>
        <w:ind w:left="960" w:right="600" w:hanging="216"/>
        <w:spacing w:after="0" w:line="24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must be tested in NASH patients typically characterized as having a NAS of four or greater and at least one point in each component, with F2, F3 or F4 fibrosis;</w:t>
      </w:r>
    </w:p>
    <w:p>
      <w:pPr>
        <w:spacing w:after="0" w:line="102"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marketing confirmatory outcomes study is then required to be conducted to maintain licensure; and</w:t>
      </w:r>
    </w:p>
    <w:p>
      <w:pPr>
        <w:spacing w:after="0" w:line="117" w:lineRule="exact"/>
        <w:rPr>
          <w:sz w:val="20"/>
          <w:szCs w:val="20"/>
          <w:color w:val="auto"/>
        </w:rPr>
      </w:pPr>
    </w:p>
    <w:p>
      <w:pPr>
        <w:ind w:left="960" w:right="640" w:hanging="216"/>
        <w:spacing w:after="0" w:line="24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 Subpart H/E approval, two biopsy-based surrogate endpoints are endorsed by the FDA, defined as the proportion of patients that achieve:</w:t>
      </w:r>
    </w:p>
    <w:p>
      <w:pPr>
        <w:spacing w:after="0" w:line="102" w:lineRule="exact"/>
        <w:rPr>
          <w:rFonts w:ascii="Arial" w:cs="Arial" w:eastAsia="Arial" w:hAnsi="Arial"/>
          <w:sz w:val="18"/>
          <w:szCs w:val="18"/>
          <w:color w:val="auto"/>
        </w:rPr>
      </w:pPr>
    </w:p>
    <w:p>
      <w:pPr>
        <w:ind w:left="1180" w:right="600" w:hanging="206"/>
        <w:spacing w:after="0" w:line="246" w:lineRule="auto"/>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88" w:lineRule="exact"/>
        <w:rPr>
          <w:rFonts w:ascii="Arial" w:cs="Arial" w:eastAsia="Arial" w:hAnsi="Arial"/>
          <w:sz w:val="18"/>
          <w:szCs w:val="18"/>
          <w:color w:val="auto"/>
        </w:rPr>
      </w:pPr>
    </w:p>
    <w:p>
      <w:pPr>
        <w:ind w:left="1180" w:hanging="206"/>
        <w:spacing w:after="0"/>
        <w:tabs>
          <w:tab w:leader="none" w:pos="11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³1 stage improvement in fibrosis with no worsening of NASH.</w:t>
      </w:r>
    </w:p>
    <w:p>
      <w:pPr>
        <w:spacing w:after="0" w:line="239"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believe many agents in development for NASH will opt for a Subpart H/E pathway and rely on the surrogate endpoints for initial approval. As detailed further below, fibrosis stage is currently the only measurement that is correlated to liver outcomes and therefore, the potential for many agents that will rely only on the resolution of NASH surrogate endpoint to demonstrate clinical benefit will remain uncertain until a confirmatory outcomes study is successfully completed.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 20% will progress to NASH over time. Of these NASH patients, approximately 10%–15% will progress to cirrhosis by advancing one fibrosis stage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fibrosis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Treatments</w:t>
      </w:r>
    </w:p>
    <w:p>
      <w:pPr>
        <w:spacing w:after="0" w:line="12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3"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Treatments in Development</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122"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impinging on the complex process of hepatocellular death and fibrosis from collagen deposition by intervention through a single pathway.</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To date, drug candidates with multiple mechanisms of activity have shown the most promising effect on NASH. The FXR agonist, obeticholic acid, or OCA, demonstrated improvements in the NAS and fibrosis but not resolution of NASH as defined by the Phase 2 study protocol.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has been associated with pruritus, or whole body itching. There are multiple FXR agonists in preclinical or clinical development seeking to improve on the properties of OCA; however, we believe their activity on NASH will be limited by their inability to sufficiently elevate FGF19 levels over a sustained period of time.</w:t>
      </w:r>
    </w:p>
    <w:p>
      <w:pPr>
        <w:spacing w:after="0" w:line="207"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To our knowledge, we are the only program in clinical development for NASH directly activating the native FGF19 pathway to drive both a regression of fibrosis and resolution of NASH.</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A rapid and potent approach to treating NASH</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NGM282, an engineered version of human hormone FGF19 that is administered through a once daily subcutaneous injection, has demonstrated the ability to rapidly improve NASH and reverse liver fibrosis in clinical and preclinical studies. We believe the combination of breadth, magnitude and speed of effect demonstrated by NGM282 in these studies results in an agent that, if ultimately approved, could provide a needed medicine for physicians to treat NASH patients with moderate to advanced fibrosis. We have tested NGM282 in over 400 subjects, including more than 150 NASH patients, and we expect to initiate a Phase 2b clinical trial in NASH patients in the first quarter of 2019. We obtained Fast Track designation for NGM282 for the treatment of NASH and PBC in adults. See “Government Regulation and Product Approval—Accelerated Approval Requirements.” NGM282 is wholly-owned, and it is not subject to our collaboration with Merck.</w:t>
      </w:r>
    </w:p>
    <w:p>
      <w:pPr>
        <w:spacing w:after="0" w:line="208"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In a recent study, gastric bypass surgery has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spectrum of activities ascribed to FGF19 appear to be mediated primarily through two different receptor complexes: FGFR4/KLB and FGFR1c/KLB. FGFR4/KLB receptor complexes are found primarily in the liver and FGFR1c/KLB receptor complexes are found primarily in adipose tissue and the central nervous system. When activated, FGFR4/KLB inhibits the expression of the cholesterol 7alpha-hydroxylase 1, or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 acids. As NASH patients progress to F2 and F3 fibrosis stages, serum levels of bile acids double as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 xml:space="preserve">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2"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designed NGM282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NGM282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146685</wp:posOffset>
            </wp:positionV>
            <wp:extent cx="4948555" cy="3404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4855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Extensive Clinical Experience with NGM282</w:t>
      </w:r>
    </w:p>
    <w:p>
      <w:pPr>
        <w:spacing w:after="0" w:line="12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clinical development program for NGM282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202"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After a Phase 1 clinical trial to assess safety and tolerability, we conducted a Phase 2 clinical trial in type 2 diabetes patients to assess the impact of NGM282 on insulin resistance and blood glucose levels. Although they were not histologically confirmed for NASH, the characteristics of many of the patients enrolled in this study are consistent with a population of presumptive NASH patients as they demonstrated many of the hallmarks of NASH, including elevated levels of the liver transaminases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57" w:lineRule="auto"/>
        <w:rPr>
          <w:sz w:val="20"/>
          <w:szCs w:val="20"/>
          <w:color w:val="auto"/>
        </w:rPr>
      </w:pPr>
      <w:r>
        <w:rPr>
          <w:rFonts w:ascii="Arial" w:cs="Arial" w:eastAsia="Arial" w:hAnsi="Arial"/>
          <w:sz w:val="17"/>
          <w:szCs w:val="17"/>
          <w:color w:val="auto"/>
        </w:rPr>
        <w:t>known as alanine transaminase, or ALT, and aspartate transaminase, or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NGM282, which suggested the agent may be having a beneficial effect on liver health and, therefore, have application in the treatment of NASH.</w:t>
      </w:r>
    </w:p>
    <w:p>
      <w:pPr>
        <w:spacing w:after="0" w:line="189"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have also explored the utility of NGM282-mediated bile acid synthesis inhibition in two cholestatic diseases, primary biliary cholangitis, or PBC, and primary sclerosing cholangitits, or PSC, but have decided not to pursue further development of NGM282 in these diseases at this time. Although we do not currently intend to pursue NGM282 for the treatment of PBC or PSC, we previously obtained orphan drug designations for NGM282 for the treatment of PBC in adults in the United States and PBC and PSC in adults in the European Union. See “Government Regulation and Product Approval—Orphan Drug Designation.” Both of these conditions are believed to have a strong bile acid component underlying the disease. NGM282 achieved a significant reduction in alkaline phosphatase, or ALP, an FDA-validated biomarker of disease in PBC, however, we determined the once -daily injectable nature of the product and competitive landscape compared to other development paths for the drug was not optimal. Similarly, in PSC, NGM282 treatment resulted in sustained reductions in a biomarker of fibrogenesis (PRO-C3),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liver fat content level and the indication of fibrosis improvement in this population supports a role for the activity of a bile acid inhibitor, such as NGM282, as an anti-fibrotic in the liver.</w:t>
      </w:r>
    </w:p>
    <w:p>
      <w:pPr>
        <w:spacing w:after="0" w:line="205" w:lineRule="exact"/>
        <w:rPr>
          <w:sz w:val="20"/>
          <w:szCs w:val="20"/>
          <w:color w:val="auto"/>
        </w:rPr>
      </w:pPr>
    </w:p>
    <w:p>
      <w:pPr>
        <w:ind w:left="200" w:right="260" w:firstLine="551"/>
        <w:spacing w:after="0" w:line="238" w:lineRule="auto"/>
        <w:rPr>
          <w:sz w:val="20"/>
          <w:szCs w:val="20"/>
          <w:color w:val="auto"/>
        </w:rPr>
      </w:pPr>
      <w:r>
        <w:rPr>
          <w:rFonts w:ascii="Arial" w:cs="Arial" w:eastAsia="Arial" w:hAnsi="Arial"/>
          <w:sz w:val="18"/>
          <w:szCs w:val="18"/>
          <w:color w:val="auto"/>
        </w:rPr>
        <w:t>A consistent tolerability observation across each trial has been dose-dependent gastrointestinal, or GI, adverse events that manifest in both the upper and lower GI tract. We conducted a Phase 1b trial in patients with chronic constipation and determined that NGM282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Trial in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was comprised of an initial double-blind placebo-controlled cohort (cohort 1), followed by a series of adaptive, open-label, single-blind cohorts (cohorts 2 and 3). We are also currently enrolling an additional expansion cohort (cohort 4) under this study to test NGM282 in a double blind, placebo-controlled setting with liver biopsies at baseline and following 24 weeks of treatment. Cohort 1 was designed to measure liver fat content by magnetic resonance imaging proton density fat fraction, or MRI-PDFF, and serum biomarker data at 12 weeks. This portion of the study generated distinct signals of therapeutic benefit and appropriate tolerability characteristics, which subsequently informed the adaptive cohorts 2 and 3. The open-label, single-blind cohorts (cohorts 2 and 3) were designed to explore additional dose levels of NGM282, as well as confirm the impact of NGM282 on liver histology, as defined by improvements in fibrosis and NAS. Additionally, the protocol was amended to study statin use for those patients that experienced a low density lipoprotein, or LDL, cholesterol increase during the first two weeks of NGM282 treatment, as further described below.</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999"/>
        <w:spacing w:after="0"/>
        <w:rPr>
          <w:sz w:val="20"/>
          <w:szCs w:val="20"/>
          <w:color w:val="auto"/>
        </w:rPr>
      </w:pPr>
      <w:r>
        <w:rPr>
          <w:rFonts w:ascii="Arial" w:cs="Arial" w:eastAsia="Arial" w:hAnsi="Arial"/>
          <w:sz w:val="18"/>
          <w:szCs w:val="18"/>
          <w:b w:val="1"/>
          <w:bCs w:val="1"/>
          <w:u w:val="single" w:color="auto"/>
          <w:color w:val="auto"/>
        </w:rPr>
        <w:t>Components of the NGM282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166370</wp:posOffset>
            </wp:positionV>
            <wp:extent cx="5213985" cy="2195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219"/>
          </w:cols>
          <w:pgMar w:left="240" w:top="459" w:right="1440"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NGM282 activity has been measured across a variety of imaging and serum biomarker measures, or non-invasive measures, as well as histological measures in order to provide a comprehensive assessment of the drug’s activity on NASH disease pathology. For each of cohorts 1, 2 and 3, the primary endpoint was the absolute change from baseline to week 12 in liver fat content. Responders were defined as patients who achieved a 5% or larger reduction in absolute liver fat content, or LFC, as measured by MRI-PDFF. Key secondary endpoints included assessments of the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sub-population of patients (3 mg dose group in cohorts 2 and 3). The table below summarizes the preliminary data generated to date and demonstrates the consistent effect across each of the non-invasive measure of NASH in each of cohorts 1, 2 and 3 of our Phase 2 clinical trial, followed by a matrix explaining the significance of each of the metrics and biopsy measurements:</w:t>
      </w:r>
    </w:p>
    <w:p>
      <w:pPr>
        <w:spacing w:after="0" w:line="185" w:lineRule="exact"/>
        <w:rPr>
          <w:sz w:val="20"/>
          <w:szCs w:val="20"/>
          <w:color w:val="auto"/>
        </w:rPr>
      </w:pPr>
    </w:p>
    <w:p>
      <w:pPr>
        <w:ind w:left="2000"/>
        <w:spacing w:after="0"/>
        <w:rPr>
          <w:sz w:val="20"/>
          <w:szCs w:val="20"/>
          <w:color w:val="auto"/>
        </w:rPr>
      </w:pPr>
      <w:r>
        <w:rPr>
          <w:rFonts w:ascii="Arial" w:cs="Arial" w:eastAsia="Arial" w:hAnsi="Arial"/>
          <w:sz w:val="18"/>
          <w:szCs w:val="18"/>
          <w:b w:val="1"/>
          <w:bCs w:val="1"/>
          <w:u w:val="single" w:color="auto"/>
          <w:color w:val="auto"/>
        </w:rPr>
        <w:t>NGM282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166370</wp:posOffset>
            </wp:positionV>
            <wp:extent cx="5213985" cy="37992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3985"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A description of the key non-invasive and histological measurements collected in our NASH Phase 2 clinical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13985" cy="18783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NGM282 to enable an assessment of any improvements in histological measures of NASH, such as fibrosis. Preliminary data from both the 3 mg dose group of cohort 2 and the 1 mg group of cohort 3 demonstrated that NGM282 has an impact on fibrosis regression in NASH subjects, with 42% and 25%, respectively, registering at least a one-stage improvement in fibrosis. We believe these histology results offer compelling support for NGM282’s potential as a rapidly-acting agent for NASH patients with moderate to advanced fibrosis.</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1</w:t>
      </w:r>
    </w:p>
    <w:p>
      <w:pPr>
        <w:spacing w:after="0" w:line="122" w:lineRule="exact"/>
        <w:rPr>
          <w:sz w:val="20"/>
          <w:szCs w:val="20"/>
          <w:color w:val="auto"/>
        </w:rPr>
      </w:pPr>
    </w:p>
    <w:p>
      <w:pPr>
        <w:ind w:left="200" w:right="160" w:firstLine="551"/>
        <w:spacing w:after="0" w:line="243" w:lineRule="auto"/>
        <w:rPr>
          <w:sz w:val="20"/>
          <w:szCs w:val="20"/>
          <w:color w:val="auto"/>
        </w:rPr>
      </w:pPr>
      <w:r>
        <w:rPr>
          <w:rFonts w:ascii="Arial" w:cs="Arial" w:eastAsia="Arial" w:hAnsi="Arial"/>
          <w:sz w:val="18"/>
          <w:szCs w:val="18"/>
          <w:color w:val="auto"/>
        </w:rPr>
        <w:t>In the double-blind cohort of the Phase 2 clinical trial (cohort 1), 82 subjects with biopsy-confirmed NASH were randomized to NGM282 clinical doses of 3 mg or 6 mg (n = 55) or placebo (n = 27), administered as a daily subcutaneous injection for 12 weeks. Histologic inclusion criteria included biopsy-proven NASH with a NAS ³ 4 (at least 1 point in each component), F1 to F3 fibrosis and ³ 8% LFC.</w:t>
      </w:r>
    </w:p>
    <w:p>
      <w:pPr>
        <w:spacing w:after="0" w:line="184"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³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NGM282 treated subjects achieved a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or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-151130</wp:posOffset>
            </wp:positionV>
            <wp:extent cx="984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425" cy="8890"/>
                    </a:xfrm>
                    <a:prstGeom prst="rect">
                      <a:avLst/>
                    </a:prstGeom>
                    <a:noFill/>
                  </pic:spPr>
                </pic:pic>
              </a:graphicData>
            </a:graphic>
          </wp:anchor>
        </w:drawing>
      </w:r>
    </w:p>
    <w:p>
      <w:pPr>
        <w:spacing w:after="0" w:line="185"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Greater reductions from baseline in mean absolute ALT levels were observed for both NGM282 3 mg (-35 international units, or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12-week study treatment period. The mean relative percentage decreases in ALT levels from baseline to week 12 were also significant in both the doses, ranging from 43% to 44% (p&lt;0.001). ALT levels achieved normalization (defined as &lt;19 IU in females and &lt; 30 IU in males) in 24% of NGM282-treated patients by week 2 and 36% of treated subjects by week 12. Similarly, treatment with NGM282 resulted in significant mean absolute reductions in AST levels from baseline to week 12 as compared with placebo, with the majority of subjects decreasing below 40 IU as early as two weeks after starting treatment.</w:t>
      </w:r>
    </w:p>
    <w:p>
      <w:pPr>
        <w:spacing w:after="0" w:line="190"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7a-hydroxy-4-cholesten-3-one, or C4, is an intermediate in the classical bile acid synthesis pathway that is produced by the rate-limiting enzyme, CYP7A1. When activated, FGFR4 leads to a reduction in serum C4 levels. C4 levels were measured in patients to track target engagement by NGM282 and to determine how levels of C4 correspond to measures of therapeutic effect, such as reductions in liver transaminase levels. At both the 3 mg and 6 mg dose levels, serum concentrations of C4 were significantly reduced relative to placebo after one week of treatment, with more than 65% of patients at or below the limit of detection in the C4 assay. Levels of liver ALT and AST released from injured or dead hepatocytes are significantly elevated in NASH patients and can be measured as serum biomarkers of liver health. Reductions in serum levels of ALT and AST follow a similar time course as C4 reduction. We believe the potent and sustained inhibitory effect that NGM282 has on the classical bile acid synthesis pathway is important to achieving its therapeutic effect. FXR agonists can only elevate FGF19 to the upper end of normal physiological levels, which we believe is insufficient to achieve the complete and sustained inhibition of the classical bile acid pathway.</w:t>
      </w:r>
    </w:p>
    <w:p>
      <w:pPr>
        <w:spacing w:after="0" w:line="208" w:lineRule="exact"/>
        <w:rPr>
          <w:sz w:val="20"/>
          <w:szCs w:val="20"/>
          <w:color w:val="auto"/>
        </w:rPr>
      </w:pPr>
    </w:p>
    <w:p>
      <w:pPr>
        <w:ind w:left="200" w:right="20" w:firstLine="551"/>
        <w:spacing w:after="0" w:line="241" w:lineRule="auto"/>
        <w:rPr>
          <w:sz w:val="20"/>
          <w:szCs w:val="20"/>
          <w:color w:val="auto"/>
        </w:rPr>
      </w:pPr>
      <w:r>
        <w:rPr>
          <w:rFonts w:ascii="Arial" w:cs="Arial" w:eastAsia="Arial" w:hAnsi="Arial"/>
          <w:sz w:val="18"/>
          <w:szCs w:val="18"/>
          <w:color w:val="auto"/>
        </w:rPr>
        <w:t>PRO-C3 levels, as well as levels of propeptide of type III procollagen, or PIIINP, and TIMP metallopeptidase inhibitor 1, or TIMP-1, which are components of the Enhanced Liver Fibrosis, or ELF, score, were reduced in the treated subjects, supporting a potential anti-fibrotic effect. Notably, more than 74% of NGM282-treated subjects achieved a reduction in PRO-C3 levels of ³15% at 12 weeks, as compared to 24% of placebo-treated subjects. The overall ELF score for the 3 mg- and 6 mg-treated subjects was reduced by an average of 0.3 and 0.2, respectively, compared to no change for the placebo group.</w:t>
      </w:r>
    </w:p>
    <w:p>
      <w:pPr>
        <w:spacing w:after="0" w:line="203"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Triglyceride level decreases were consistent with FGFR1c/KLB activity triggered by NGM282, while significant LDL cholesterol increases reflect potent FGFR4/KLB-mediated CYP7A1 inhibition. There were highly significant correlations between decreases in LFC and reductions in the serum levels of ALT, AST and C4.</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and 3 Imaging and Biomarker Results</w:t>
      </w:r>
    </w:p>
    <w:p>
      <w:pPr>
        <w:spacing w:after="0" w:line="12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Based on the profound impact seen with NGM282 in NASH patients across the measured non-invasive parameters assessed in cohort 1, an adaptive, open-label, single-blind cohort of three dosing groups known as cohort 2 was added to evaluate: 1) lower doses of NGM282 (0.3 and 1 mg); 2) histologic response at 12 weeks in a 3 mg dose group; and 3) the ability of concomitant statin use to mitigate drug-induced LDL cholesterol elevations.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 2 were similar to those in cohort 1. Preliminary data from cohort 2 demonstrates that a significant amount of the decrease in LFC occurs by week 6 and further consolidates towards normalization at week 12 in the 1 mg and 3 mg dosing groups. The 1 mg and 3 mg dose groups in cohort 2 showed similar reductions of LFC and ALT levels, and were consistent with the week 12 changes observed with the 3 mg dose in cohort 1. Serum levels of C4 were</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24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significantly decreased at week 12, with the 3 mg dose group demonstrating reduction of 93% from baseline (p&lt;0.0001). Preliminary data from cohort 2 indicates that the 1 mg and 3 mg dose groups also had statistically significant reductions from baseline in PRO-C3 levels (-4.7 and -11.1 ng/ml, respectively, p&lt;0.05) and PIIINP (-2.2 and -3.0 ng/ml, respectively, p&lt;0.01) and TIMP-1 (-35.8 and -38.5 ng/ml, respectively, p&lt;0.01) components of the ELF score at week 12. The 0.3 mg dose group in cohort 2 demonstrated a reduced treatment response overall as compared to the 1 mg and 3 mg cohorts, based on the reductions in LFC, levels of ALT and the fibrosis markers. Preliminary data indicates that, six weeks after the end of NGM282 treatment, the relative levels of LFC and ALT levels remained suppressed, with reductions approximately 20% to 39% and 16% to 44% below baseline levels across doses evaluated in cohorts 2 and 3, respectively. Similarly, reductions in PRO-C3 levels and ELF score components in NGM282-treated patients were sustained six weeks after the end of NGM282 treatment.</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 in NASH Patients: Cohort 2 (3 mg) and Cohort 3 Preliminary Histology Results</w:t>
      </w:r>
    </w:p>
    <w:p>
      <w:pPr>
        <w:spacing w:after="0" w:line="122" w:lineRule="exact"/>
        <w:rPr>
          <w:sz w:val="20"/>
          <w:szCs w:val="20"/>
          <w:color w:val="auto"/>
        </w:rPr>
      </w:pPr>
    </w:p>
    <w:p>
      <w:pPr>
        <w:ind w:left="200" w:right="180" w:firstLine="551"/>
        <w:spacing w:after="0" w:line="234"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w:t>
      </w:r>
    </w:p>
    <w:p>
      <w:pPr>
        <w:spacing w:after="0" w:line="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At 12 weeks, NGM282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cohort 3, respectively. We anticipate that an increased proportion of patients could achieve resolution of NASH over a longer treatment duration beyond 12 weeks. In conjunction with the fibrosis improvement described above, these data support the notion that NGM282, as a single agent, has the potential to improve NASH and fibrosis to a larger degree and in a shorter period of time than other investigative agents have demonstrated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146685</wp:posOffset>
            </wp:positionV>
            <wp:extent cx="4639310" cy="26244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3931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Increases in Serum Levels of LDL Cholesterol in NASH Patients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 byproduct of NGM282’s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NGM282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have not observed the same magnitude of LDL cholesterol elevations with NGM282 in trials we have conducted in cholestatic disease patients, such as PBC and PSC.</w:t>
      </w:r>
    </w:p>
    <w:p>
      <w:pPr>
        <w:spacing w:after="0" w:line="207"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believe elevated serum LDL cholesterol is a confirmatory indication of NGM282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and 3 of our Phase 2 clinical trial, we have demonstrated the ability of concomitant statin use to mitigate the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serum LDL cholesterol elevations driven by NGM282 activity. The figure below illustrates the mean LDL cholesterol levels over time for patients in cohort 2. Per protocol, the patients’ LDL cholesterol levels were measured at baseline and then re-measured after two weeks of NGM282 treatment. If an elevation of LDL cholesterol of at least 10 mg/dl was recorded, patients were directed to take 20 mg of rosuvastatin daily for the remainder of the trial. Nearly all of the treated patients required statin use in cohorts 2 and 3. Where required, patients were elevated to 40 mg rosuvastatin to adequately control their LDL cholesterol while on treatment. Notably, approximately 80% of cohort 2 and 87% of cohort 3 at enrollment were not previously receiving statin treatment and, on average, the cohorts had baseline LDL cholesterol levels at or above recommended levels recommended by the American Association of Clinical Endocrinologists and the European Society of Cardiology/European Atherosclerotic Society, suggesting a statin would already be prescribed as standard of care. For each dose level in cohorts 2 and 3,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NGM282-induced serum LDL cholesterol manifests as large and potentially less atherogenic lipoproteins, as opposed to the small dense lipoparticles that are thought to be more atherogenic. We believe concomitant statin use, along with NGM282’s triglyceride lowering and high density lipoprotein, or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13985" cy="21526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Phase 2 Clinical Trial in NASH: Safety and Tolerability Profile</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most common adverse events in cohorts 1, 2 and 3 included increased stool frequency, loose stools, nausea and injection site erythema, with the majority being Grade 1 (mild). 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No serious adverse events were reported in cohort 3. Preliminary data indicates that there were no tolerability signals identified in this population. The tolerability in cohorts 1, 2 and 3 was consistent with that observed in other study populations, including type 2 diabetes, PBC and PSC.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Future Clinical Development Plans</w:t>
      </w:r>
    </w:p>
    <w:p>
      <w:pPr>
        <w:spacing w:after="0" w:line="122"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In addition to our ongoing cohort 4, we are planning to begin, in the first quarter of 2019, a Phase 2b clinical trial that will test two additional dose levels of NGM282 in NASH patients with F2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F3 fibrosis. The Phase 2b clinical trial will be a multi-center, double-blind, placebo-controlled study administering 0.3 mg or 3 mg of NGM282 or placebo, once daily, subcutaneously for 24 weeks. We expect approximately 150 patients will be enrolled across 30 sites in the United States. Patients will receive liver biopsies to qualify for the trial and at end of treatment. The primary objective of this 24-week trial will be to measure the treatment effect of NGM282 dosing on liver histology according to preliminary FDA recommended Phase 3 endpoints of resolution of NASH with no worsening of fibrosis, and fibrosis improvement with no worsening of NASH, as defined above. Enrollment criteria and study conduct will be similar to cohorts 3 and 4 of the NASH Phase 2 clinical trial.</w:t>
      </w:r>
    </w:p>
    <w:p>
      <w:pPr>
        <w:spacing w:after="0" w:line="205"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Our development strategy is to generate the results of our 24-week double-blind, placebo-controlled cohort 4 trial in 2019 and leverage these results to inform Phase 3 planning and design. We expect our Phase 2b clinical trial results in 2020 will provide further information to compile a detailed package for the regulatory agencies to support a pivotal, single dose level, Phase 3 program to enable a BLA filing.</w:t>
      </w:r>
    </w:p>
    <w:p>
      <w:pPr>
        <w:spacing w:after="0" w:line="202"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We are also planning to initiate a clinical program testing NGM282 in a population of NASH patients with compensated cirrhosis. The objective of this trial is to evaluate whether the fibrosis regression and NAS improvements we have observed in patients with F2 and F3 fibrosis can also be achieved in early, or compensated, cirrhotic NASH patients, for which liver mortality rates are high and liver transplant is the only option. In 2030, the population of compensated cirrhotic NASH patients in the United States and EU is expected to reach 4.9 million.</w:t>
      </w:r>
    </w:p>
    <w:p>
      <w:pPr>
        <w:spacing w:after="0" w:line="203"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Future Commercial Positioning of NGM282 as a Therapeutic in the NASH Market</w:t>
      </w:r>
    </w:p>
    <w:p>
      <w:pPr>
        <w:spacing w:after="0" w:line="122"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believe the clinical data produced with NGM282 in NASH patients to date suggests a potential drug profile that is unique in the current landscape of NASH therapeutics in development. Our preliminary data suggests NGM282 is capable of improving fibrosis in patients after only 12 weeks of treatment, while also exerting a positive impact on the other parameters of NASH, including steatosis, lobular inflammation and hepatocellular ballooning. We believe that NGM282’s initial signals of activity observed after 12 weeks of treatment with NGM282, while significant in effect, will lead to further improvement after 24 weeks of treatment. In particular, we believe NAS and fibrosis improvement are enabled by the liver’s natural regenerative properties once the multiple insults of toxic fatty and bile acids are diminished. Our clinical results have shown that markers of liver steatosis and inflammation are reduced in a broad set of patients in the first few weeks of treatment. After only 12 weeks, this environment has allowed the liver to begin healing, but patient healing rates may vary and we believe the process has not reached its full potential. These properties are in contrast to other agents in development that, after 24 weeks or longer treatment, have either only shown impact on NAS components or a modest effect on fibrosis, and may have tolerability or safety issues.</w:t>
      </w:r>
    </w:p>
    <w:p>
      <w:pPr>
        <w:spacing w:after="0" w:line="20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If our initial signals of activity continue in later-stage clinical development, we believe that NGM282, as a once-daily injectable medication, will be well suited to treat NASH patients with F2, F3 and, potentially, early F4 fibrosis. Together, these target patient populations were believed to encompass approximately 6.7 million patients in the United States alone in 2015, and are expected to grow to 14.1 million by 2030. As diagrammed below, our goal is to position NGM282,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 NASH population, the majority of whom have not yet been diagnosed. We expect other agents in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40"/>
        <w:spacing w:after="0" w:line="246" w:lineRule="auto"/>
        <w:rPr>
          <w:sz w:val="20"/>
          <w:szCs w:val="20"/>
          <w:color w:val="auto"/>
        </w:rPr>
      </w:pPr>
      <w:r>
        <w:rPr>
          <w:rFonts w:ascii="Arial" w:cs="Arial" w:eastAsia="Arial" w:hAnsi="Arial"/>
          <w:sz w:val="18"/>
          <w:szCs w:val="18"/>
          <w:color w:val="auto"/>
        </w:rPr>
        <w:t>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142875</wp:posOffset>
            </wp:positionV>
            <wp:extent cx="5213985" cy="2452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drug product format of NGM282 for our clinical trials to date has been a pre-filled single-use glass syringe. Our manufacturing group is developing a formulation of the agent to enable testing a more commercially-attractive format in the form of a multi-use auto-injector pen, similar to the devices currently delivering injectable type 2 diabetes treatments. We expect that the multi-dose auto-injector pen format will be available for parallel testing in Phase 3 development and, therefore, validated for product launch, if the agent is approved. Our objective is to present a multi-dose pen with needle gauge 29 or smaller, which will be familiar to the large number of NASH patients with type 2 diabetes who also require injections of insulin or GLP-1 products.</w:t>
      </w:r>
    </w:p>
    <w:p>
      <w:pPr>
        <w:spacing w:after="0" w:line="97" w:lineRule="exact"/>
        <w:rPr>
          <w:sz w:val="20"/>
          <w:szCs w:val="20"/>
          <w:color w:val="auto"/>
        </w:rPr>
      </w:pPr>
    </w:p>
    <w:p>
      <w:pPr>
        <w:jc w:val="both"/>
        <w:ind w:left="200" w:right="320" w:firstLine="551"/>
        <w:spacing w:after="0"/>
        <w:rPr>
          <w:sz w:val="20"/>
          <w:szCs w:val="20"/>
          <w:color w:val="auto"/>
        </w:rPr>
      </w:pPr>
      <w:r>
        <w:rPr>
          <w:rFonts w:ascii="Arial" w:cs="Arial" w:eastAsia="Arial" w:hAnsi="Arial"/>
          <w:sz w:val="18"/>
          <w:szCs w:val="18"/>
          <w:color w:val="auto"/>
        </w:rPr>
        <w:t>Longer term, we are pursuing a life -cycle management strategy to develop a longer half-life version of NGM282 that will require less frequent dosing. At present, we have programs investigating delayed-release technologies and protein modification to support this strategy. These efforts are currently at the research stage.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Early NGM282 Clinical Development and Preclinical Development</w:t>
      </w:r>
    </w:p>
    <w:p>
      <w:pPr>
        <w:spacing w:after="0" w:line="122" w:lineRule="exact"/>
        <w:rPr>
          <w:sz w:val="20"/>
          <w:szCs w:val="20"/>
          <w:color w:val="auto"/>
        </w:rPr>
      </w:pPr>
    </w:p>
    <w:p>
      <w:pPr>
        <w:jc w:val="both"/>
        <w:ind w:left="200" w:right="220" w:firstLine="551"/>
        <w:spacing w:after="0"/>
        <w:rPr>
          <w:sz w:val="20"/>
          <w:szCs w:val="20"/>
          <w:color w:val="auto"/>
        </w:rPr>
      </w:pPr>
      <w:r>
        <w:rPr>
          <w:rFonts w:ascii="Arial" w:cs="Arial" w:eastAsia="Arial" w:hAnsi="Arial"/>
          <w:sz w:val="18"/>
          <w:szCs w:val="18"/>
          <w:color w:val="auto"/>
        </w:rPr>
        <w:t>Our development program for NGM282 in NASH has been informed by several precursor and parallel clinical studies, as well as preclinical findings in a variety of NASH animal models. In all clinical trials, NGM282 had an acceptable tolerability profile. A summary of the studies conducted with NGM282 are listed below:</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w:t>
      </w:r>
    </w:p>
    <w:p>
      <w:pPr>
        <w:spacing w:after="0" w:line="122"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We conducted a Phase 1 randomized, double-blind, placebo-controlled, single ascending dose, or SAD, and multiple ascending dose, or MAD, study to evaluate the safety, tolerability and pharmacokinetics of NGM282 in healthy adult participants.</w:t>
      </w:r>
    </w:p>
    <w:p>
      <w:pPr>
        <w:spacing w:after="0" w:line="197"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Our Phase 1 clinical trial with NGM282, which is emblematic of our overall drug discovery approach in that we design early clinical trials to assess the translatability of preclinical studies to</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humans, demonstrated a favorable tolerability profile, with signs of biological activity consistent with FGF19-like activity related to FGFR1c and FGFR4 signaling, suggesting potential utility as a treatment for NASH.</w:t>
      </w:r>
    </w:p>
    <w:p>
      <w:pPr>
        <w:spacing w:after="0" w:line="197"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In this blinded, placebo-controlled, Phase 1 clinical trial, 119 overweight or obese but otherwise healthy adults were randomized to receive NGM282 or placebo as a daily subcutaneous injection in escalating doses. A rapid and dose-proportional reduction of serum C4 concentrations indicated that NGM282 has a statistically significant effect on bile acid synthesis at the 0.3 mg, 1 mg and 3 mg doses. A mean reduction of approximately 94% in serum C4 concentrations was noted at 3 mg when compared with pre-dose levels. This rapid reduction in C4 levels supports the potential biological activity of NGM282 as an inhibitor of CYP7A1-mediated bile acid synthesis.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96840" cy="2126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9684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Laboratory analysis of blood samples collected from subjects receiving NGM282 in the Phase 1 MAD trial showed that administration of the drug for seven days was associated with statistically significant reductions in triglyceride levels at doses of 1 mg and greater (-55, -50, -68 and -89 mg/d, respectively, for the 1, 3, 10 and 20 mg dose groups: p&lt;0.05), and a statistically significant increase in total cholesterol concentrations (12, 40, 22 and 24 mg/d, respectively, for the 1, 3, 10 and 20 mg dose groups: p&lt;0.05).</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In both the SAD and MAD trials, NGM282 was well tolerated and exhibited approximately linear pharmacokinetics with no immunogenicity. There were no serious adverse events. The most frequently observed adverse events were diarrhea, vomiting, nausea and injection site reactions. Also, there were no laboratory changes in NGM282-treated subjects that would indicate an abnormality in any organ system, as determined by the Safety Data Monitoring Committee for the study, nor were anti-drug antibodies, or ADAs, observed.</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2a Clinical Trial (Type 2 Diabetes)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conducted a 28-day, randomized, double-blind, multi-center trial to evaluate NGM282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liver transaminases, such as ALT and AST, enzyme levels. Three doses of NGM282 were tested to assess changes from baseline in biochemical markers associated with type 2 diabetes, such as fasting plasma glucose and stimulated glucose/insulin.</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NGM282 subjects as compared to the control arm, there were trends towards improvement in insulin sensitivity, as measured by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NGM282 in type 2 diabetes. The trial did establish that NGM282 demonstrated improvements in both metabolic and liver health in a patient population that closely resembles NASH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149860</wp:posOffset>
            </wp:positionV>
            <wp:extent cx="4999990" cy="21094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9999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Overall, NGM282 was well-tolerated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NGM282 that appear to cross-react with FGF19. This subject did not demonstrate any biochemical or clinical safety concerns while in the study, and we have not identified any safety concerns while monitoring the subject following the study.</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2 Clinical Trials in Cholestatic Diseases: PBC and PSC</w:t>
      </w:r>
    </w:p>
    <w:p>
      <w:pPr>
        <w:spacing w:after="0" w:line="12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NGM282 for 28 days, and followed it with a 52-week extension study to assess longer-term safety and tolerability of daily NGM282.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NGM282.</w:t>
      </w:r>
    </w:p>
    <w:p>
      <w:pPr>
        <w:spacing w:after="0" w:line="20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NGM282 was well tolerated at each dose and showed no evidence of drug-induced pruritus. The majority of adverse events were mild or moderate. In the 28-day study, one subject reported a serious adverse event (dizziness) deemed unrelated to drug. In the 52-week extension study, three subjects reported a total of five serious adverse events: community acquired pneumonia, iron deficiency anemia (2) and fractured finger, deemed unrelated to study drug; and pneumonitis/alveolitis, which was considered unlikely related to study drug. A statistically significant elevation of LDL cholesterol concentration was not observed in this patient population.</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We also conducted an exploratory Phase 2 clinical trial in PSC patients with NGM282. Unlike PBC, there are currently no approved medications for PSC and, similarly, there are no validated clinical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endpoints accepted by the FDA for approval. NGM282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NGM282 in PSC until a development path is more specifically defined in the indication. However, the results of the study also provide utility in understanding the mechanism of NGM282 across the diseases tested. Notably, PRO-C3 and ELF levels, which are markers of fibrosis, improved significantly in the treatment group, suggesting that NGM282 may also have a direct impact on fibrosis that is independent from its metabolic activity, as the PSC patient population does not have elevated liver fat content. Furthermore, a statistically significant elevation of LDL cholesterol concentration was not observed in this patient population.</w:t>
      </w:r>
    </w:p>
    <w:p>
      <w:pPr>
        <w:spacing w:after="0" w:line="207"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The majority of adverse events were mild or moderate and resolved on treatment. Five total serious adverse events were reported in three subjects: increased bilirubin, cholangitis, PSC progression and intervertebral discitis, deemed unrelated to study drug; and bowel obstruction, deemed possibly related to NGM282 treatment.</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Phase 1 Clinical Trial in GI Motility</w:t>
      </w:r>
    </w:p>
    <w:p>
      <w:pPr>
        <w:spacing w:after="0" w:line="122"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NGM282 to dose-related abdominal cramping and increased stool frequency. To further investigate and characterize these gastrointestinal effects, we conducted a randomized, placebo-controlled, 14-day study in patients with functional constipation that tested two doses of NGM282, 1 mg once daily and 6 mg once daily. The objective of the study was to evaluate the effects of NGM282 on colonic transit, stool frequency and consistency, hepatic bile acid synthesis, fecal fat and bile acid levels. Thirty one patients with functional constipation were randomized on a 1:1:1 basis to placebo (n=10), 1 mg NGM282 (n=10) and 6 mg NGM282 (n=11) arm. Participants underwent tests measuring baseline colonic transit at 24 hours, baseline 48 hour stool fat and bile acid measurement after eating a high fat diet for four days. Patients then received once-daily treatment with NGM282 or placebo for 14 days with transit measurements and fecal fat and bile acid content collected during the last week of the study. Four patients discontinued the trial in the 6 mg cohort (three due to diarrhea and one due to injection site reactions) and no patients discontinued treatment in the placebo or 1 mg NGM282 cohorts. Overall, NGM282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NGM282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NGM282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 Engineered to Create a Non-tumorigenic Form of FGF19</w:t>
      </w:r>
    </w:p>
    <w:p>
      <w:pPr>
        <w:spacing w:after="0" w:line="104" w:lineRule="exact"/>
        <w:rPr>
          <w:sz w:val="20"/>
          <w:szCs w:val="20"/>
          <w:color w:val="auto"/>
        </w:rPr>
      </w:pPr>
    </w:p>
    <w:p>
      <w:pPr>
        <w:ind w:left="200" w:right="300" w:firstLine="551"/>
        <w:spacing w:after="0" w:line="272" w:lineRule="auto"/>
        <w:rPr>
          <w:sz w:val="20"/>
          <w:szCs w:val="20"/>
          <w:color w:val="auto"/>
        </w:rPr>
      </w:pPr>
      <w:r>
        <w:rPr>
          <w:rFonts w:ascii="Arial" w:cs="Arial" w:eastAsia="Arial" w:hAnsi="Arial"/>
          <w:sz w:val="17"/>
          <w:szCs w:val="17"/>
          <w:color w:val="auto"/>
        </w:rPr>
        <w:t xml:space="preserve">Human FGF19 is only about 50% identical to its mouse ortholog, known as FGF15.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have shown that transgenic mice expressing the human FGF19 hormone at proportionally greater levels than levels expressed in healthy humans develop HCC. NGM282 is a variant of FGF19, engineered to remove the tumorigenic properties of human FGF19 in mice while retaining its beneficial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color w:val="auto"/>
        </w:rPr>
        <w:t xml:space="preserve">effects. Prior to designating NGM282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NGM282 is approximately 95% identical to the naturally-occurring human FGF19, with three amino acid substitutions and a five-amino acid deletion from the amino terminus.</w:t>
      </w:r>
    </w:p>
    <w:p>
      <w:pPr>
        <w:spacing w:after="0" w:line="202"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 xml:space="preserve">NGM282 retains the metabolic activity of FGF19 through the FGFR1c/KLB receptor complex and the bile acid activity of FGF19 through the FGFR4/KLB receptor complex. Importantly, NGM282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NGM282 and FGF19 via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NGM282 blocked the ability of FGF19 to occupy the relevant receptor and signal in such a way as to cause HCC. We have also explored the biological mechanism that drives the FGF19 oncogenic signal in mice and have determined that the interleukin-6, or IL-6/STAT3 axis is essential for the activity. The elements of the IL-6/STAT3 axis that drive the FGF19 oncogenic signal in mice are not activated with NGM282.</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NGM282’s Therapeutic Potential Supported by Preclinical Animal Models of NASH</w:t>
      </w:r>
    </w:p>
    <w:p>
      <w:pPr>
        <w:spacing w:after="0" w:line="122"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We have assessed the therapeutic potential of NGM282 in multiple animal models of NASH and have observed a consistent pattern of disease prevention and improvement. The animal models in which we have tested NGM282 and the corresponding results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146685</wp:posOffset>
            </wp:positionV>
            <wp:extent cx="3996055" cy="25984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9960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In addition to testing NGM282 in these animal models of NASH, we tested a variant of FGF19 that only activates FGFR4 and does not activate FGFR1c. The purpose of creating this variant was to develop a tool by which we could understand the relative contribution of FGFR4 and FGFR1c signaling to the therapeutic effects of FGF19. In the diet-induced, high fat, high fructose, high cholesterol, or HFFC, mouse model of NASH, study animals were administered viral vectors expressing either: (1) an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analog of FGF19 that activates both FGFR4 and FGFR1c signaling; (2) an analog of FGF19 that activates only FGFR4 signaling; or (3) a control protein, green fluorescent protein, or GFP. After 24 weeks of treatment, the degree of liver fibrosis was compared across the study groups by means of Sirius red staining, which is a common method of identifying fibrosis. The results demonstrated that the mice that received the analog of FGF19 that activated only FGFR4 showed nearly as much fibrosis improvement compared to the compound that activated both FGFR4 and FGFR1c.</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believe these preclinical results show that inhibiting bile acid synthesis through the FGFR4 pathway enables NGM282 to have a more rapid and direct impact on fibrosis as compared to other agents that only address the metabolic dysfunction of NASH. These data, now further supported by our Phase 2 results in biopsy-confirmed NASH patients, show the spectrum of activity enabled by mimicking the native FGF19 hormone at pharmacological levels has a potent therapeutic benefit on multiple disease drivers of NASH.</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NGM313 is a proprietary, agonistic antibody selectively activating FGFR1c/KLB that we believe has the potential to be a once-monthly injectable insulin sensitizer for the treatment of type 2 diabetes and NASH. In Phase 1 clinical testing, NGM313 has demonstrated favorable tolerability and preliminary data has shown the agent is capable of reducing liver fat content and improving metabolic biomarkers in obese insulin resistant subjects with NAFLD after a single dose. The program is subject to an option by Merck to license upon completion of a proof-of-concept study in humans. We believe that NGM313 has the potential to be a treatment for those patients with both type 2 diabetes and NASH with early to moderate fibrosis.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Type 2 Diabetes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According to the Centers for Disease Control and Prevention, or CDC,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be $ 327 billion in 2017. Given the large patient population and high unmet need, pharmaceutical companies have developed multiple classes of therapies. The most recent classes include GLP-1 analogs, SGLT2 inhibitors and DPP-IV inhibitors, which, according to EvaluatePharma, collectively sold over $21 billion worldwide in 2017 and are expected to sell as much as $33 billion by 2022. According to EvaluatePharma, insulin, for which the recombinant human version was first introduced in 1982, and insulin analogues sold approximately $21 billion in 2017 worldwide.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currently available types of treatments include:</w:t>
      </w:r>
    </w:p>
    <w:p>
      <w:pPr>
        <w:spacing w:after="0" w:line="117" w:lineRule="exact"/>
        <w:rPr>
          <w:sz w:val="20"/>
          <w:szCs w:val="20"/>
          <w:color w:val="auto"/>
        </w:rPr>
      </w:pPr>
    </w:p>
    <w:p>
      <w:pPr>
        <w:ind w:left="960" w:right="180" w:hanging="216"/>
        <w:spacing w:after="0" w:line="246"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108"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like GLP-1 analogs, and DPP-IV inhibitors; and</w:t>
      </w:r>
    </w:p>
    <w:p>
      <w:pPr>
        <w:spacing w:after="0" w:line="102" w:lineRule="exact"/>
        <w:rPr>
          <w:rFonts w:ascii="Arial" w:cs="Arial" w:eastAsia="Arial" w:hAnsi="Arial"/>
          <w:sz w:val="18"/>
          <w:szCs w:val="18"/>
          <w:color w:val="auto"/>
        </w:rPr>
      </w:pPr>
    </w:p>
    <w:p>
      <w:pPr>
        <w:ind w:left="960" w:right="12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or TZDs.</w:t>
      </w:r>
    </w:p>
    <w:p>
      <w:pPr>
        <w:spacing w:after="0" w:line="197"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or HbA1c levels. However, the clinical use of TZDs has been limited by the risk of adverse events, including congestive heart failure, for which there is a FDA boxed warning, weight gain, peripheral edema/fluid retention, bone fractures and an association with bladder cancer for pioglitazone.</w:t>
      </w:r>
    </w:p>
    <w:p>
      <w:pPr>
        <w:spacing w:after="0" w:line="20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122"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 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203" w:lineRule="exact"/>
        <w:rPr>
          <w:sz w:val="20"/>
          <w:szCs w:val="20"/>
          <w:color w:val="auto"/>
        </w:rPr>
      </w:pPr>
    </w:p>
    <w:p>
      <w:pPr>
        <w:jc w:val="both"/>
        <w:ind w:left="200" w:right="100" w:firstLine="551"/>
        <w:spacing w:after="0" w:line="239"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7"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Mechanism of Action</w:t>
      </w:r>
    </w:p>
    <w:p>
      <w:pPr>
        <w:spacing w:after="0" w:line="122"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or less frequent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208"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liver fat content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Our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Phase 1b Early Proof-of-Concept Clinical Trial</w:t>
      </w:r>
    </w:p>
    <w:p>
      <w:pPr>
        <w:spacing w:after="0" w:line="122"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is an ongoing study evaluating the ability of NGM313 to decrease LFC to support the clinical development 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primary objectives of the study are to evaluate changes from baseline in LFC as measured by MRI-PDFF at day 36 and changes from baseline in whole body insulin sensitivity at day 29 in subjects treated with NGM313 as compared to pioglitazone. Preliminary results indicated that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mean decrease from baseline of 0.24% in HbA1c at day 36,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serum concentrations of fasting glucose, ALT, AST, triglycerides and LDL cholesterol, and a statistically significant increase in HDL cholesterol levels at day 28 (p&lt;0.05),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-6985</wp:posOffset>
            </wp:positionV>
            <wp:extent cx="4073525" cy="25215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7352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Preliminary data indicates that NGM313-treated patients had an increase from baseline in body weight of 1.6 kg at day 36, as compared to a 2.4 kg increase from baseline in body weight with pioglitazone. This study indicated that NGM313 was well-tolerated, with no serious adverse events. All adverse events observed during the course of the study were deemed mild, with increased appetite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being the only adverse event reported in at least 10% of NGM313-treated subjects. Additional data from this study is expected by the end of 2018.</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Preliminary 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 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believe that the data from the Phase 1 program, once complete, will enable initiation of a six-month histology study in NASH subjects. If NGM313 is approved for the treatment of NASH, we expect that the drug would be used predominantly in NASH patients with early to moderate fibrosis and type 2 diabetes. We anticipate that the NASH patients with more advanced fibrosis could be treated with NGM282 in order to more quickly reverse fibrosis and bring back the liver to a healthier state, whereas NGM313 could subsequently be used to halt the progression of disease by addressing the metabolic drivers of NASH. Under our collaboration, Merck has a one-time right to exercise an option to license NGM313 following the demonstration of human proof of concept.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NGM313 Phase 1 SAD/MAD Clinical Trial</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 In the SAD portion of the study, where single doses of 3 mg up to 360 mg of NGM313 were tested, higher doses resulted in small but statistically significant (p&lt;0.05) mean reductions from baseline in HbA1c, fasting glucose levels, fasting insulin levels and HOMA-IR at day 29, as compared to placebo. The magnitude of change in glucose parameters is consistent with what would be expected with an insulin sensitizer in these subjects with normal glycemic control. In a dose dependent fashion, total adiponectin levels, a potential biomarker of insulin sensitivity, increased by approximately 140% at the 240 mg and 360 mg doses of NGM313. The statistically significant increases in adiponectin relative to placebo remained persistent through day 57 and day 85 after a single dose of 240 mg and 360 mg of NGM313 (p&lt;0.01), respectively. Dose dependent changes in the lipid profile were also apparent at day 29, with observed increases in levels of HDL cholesterol, lower levels of LDL cholesterol and decreased levels of triglycerides that were statistically significant at the higher doses (p&lt;0.05).</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MAD portion of the study, three once-monthly doses of between 10 mg and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that received the highest dose level of NGM313, respectively.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11430</wp:posOffset>
            </wp:positionV>
            <wp:extent cx="5222875" cy="2452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2287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both the SAD and MAD cohorts, NGM313 was well tolerated. There were three serious adverse events reported (adjustment disorder in the placebo group; lower gastrointestinal hemorrhage and cholecystitis in the NGM313 groups), and they were considered to be unrelated to study drug. The majority of adverse events were mild to moderate in severity, and treatment-related events with the greatest proportion of subjects were gastrointestinal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NGM386/NGM395: Engineered Variants of GDF15 for the Potential Treatment of Obesity</w:t>
      </w:r>
    </w:p>
    <w:p>
      <w:pPr>
        <w:spacing w:after="0" w:line="126"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NGM386 and NGM395, also known as MK-4820 and MK-3606, respectively, are proprietary, engineered variants of the hormone GDF15 that we are developing with Merck as once-daily and once-weekly, or less frequent, subcutaneous injections for the treatment of obesity. In 2015, we granted Merck a worldwide license to further research, develop and commercialize NGM386, NGM395 and other GDF15 agonists pursuant to our collaboration agreement. Merck is currently conducting a Phase 1 MAD clinical trial with NGM386 and is expected to initiate a Phase 1 clinical trial of NGM395 in 2019.</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Obesity</w:t>
      </w:r>
    </w:p>
    <w:p>
      <w:pPr>
        <w:spacing w:after="0" w:line="12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Our preclinical data with NGM386 and NGM395 suggests these may be powerful agents to promote weight loss and, therefore, also have potential to improve related cardio-metabolic diseases, including type 2 diabetes and NASH. According to the CDC, in 2015 to 2016, 40% of the U.S. adult population and 18.5% of U.S. children are classified as obese, resulting in an estimated $190 billion of annual medical cost. The CDC declared obesity to be associated with the leading causes of death in the United States and worldwide, including diabetes, heart attacks, stroke and some types of cancer. In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recognition of the rise in obesity rates and the increasing appreciation for the range of diseases associated with obesity, several medical associations, including the American Heart Association and the American Medical Association, have updated their clinical practice guidelines to recommend the use of pharmacotherapy in support of weight loss by diet and exercise in obese patients with at least one co-morbid condition. Unfortunately, existing weight loss medications in combination with diet and exercise have shown an average of only single-digit percentage weight loss in humans with lack of durable effect and are prone to safety and tolerability issues. Our drug discovery efforts have identified the GDF15 pathway as a powerful and distinct mechanism for weight loss compared to other obesity drugs in development. We believe that NGM386 and NGM395, as first-in-class analogs of GDF15, hold the potential to achieve meaningful and clinically relevant weight loss in humans.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 xml:space="preserve">GDF15, also known as MIC-1 and NAG-1, is expressed in peripheral tissues relevant to metabolic function. We identified GDF15 in an unbiased screen of putative secretory factors using our rAAV gene delivery approach in diet-induced obese, or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brainstem-restricted receptor for GDF15 in 2013 and, in 2017, published a landmark paper in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describing its discovery and the elucidation of its crystal structure by our scientists.</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or AP, and nucleus tractus solitarius, or NTS,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149860</wp:posOffset>
            </wp:positionV>
            <wp:extent cx="4511040" cy="19983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1104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117" w:lineRule="exact"/>
        <w:rPr>
          <w:sz w:val="20"/>
          <w:szCs w:val="20"/>
          <w:color w:val="auto"/>
        </w:rPr>
      </w:pPr>
    </w:p>
    <w:p>
      <w:pPr>
        <w:ind w:left="960" w:right="140" w:hanging="21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108"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02" w:lineRule="exact"/>
        <w:rPr>
          <w:rFonts w:ascii="Arial" w:cs="Arial" w:eastAsia="Arial" w:hAnsi="Arial"/>
          <w:sz w:val="18"/>
          <w:szCs w:val="18"/>
          <w:color w:val="auto"/>
        </w:rPr>
      </w:pPr>
    </w:p>
    <w:p>
      <w:pPr>
        <w:ind w:left="960" w:right="60" w:hanging="216"/>
        <w:spacing w:after="0" w:line="239"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 treatment with an engineered variant of GDF15 and, unlike their normal counterparts, the animals continued to show elevated body weight and increased food intake. This suggests that GFRAL is the only receptor through which GDF15 acts to achieve its metabolic effects; and</w:t>
      </w:r>
    </w:p>
    <w:p>
      <w:pPr>
        <w:spacing w:after="0" w:line="107" w:lineRule="exact"/>
        <w:rPr>
          <w:rFonts w:ascii="Arial" w:cs="Arial" w:eastAsia="Arial" w:hAnsi="Arial"/>
          <w:sz w:val="18"/>
          <w:szCs w:val="18"/>
          <w:color w:val="auto"/>
        </w:rPr>
      </w:pPr>
    </w:p>
    <w:p>
      <w:pPr>
        <w:ind w:left="960" w:right="260" w:hanging="216"/>
        <w:spacing w:after="0" w:line="234"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surgical procedure that cuts nerves in the sympathetic nervous system traveling through the vagus nerve, known as a vagotomy, reduces GDF15-induced body weight loss but does not affect GDF15-induced anorexia. This suggests that GDF15 controls body weight through two pathways: a central pathway regulating food intake; and a peripheral, vagal-</w:t>
      </w:r>
    </w:p>
    <w:p>
      <w:pPr>
        <w:spacing w:after="0" w:line="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dependent pathway modulating fat utilization.</w:t>
      </w:r>
    </w:p>
    <w:p>
      <w:pPr>
        <w:spacing w:after="0" w:line="212"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NGM386 and NGM395, Engineered Protein Variants of GDF15</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NGM386 and NGM395 as optimized GDF15 variants that exhibit significantly improved pharmaceutical properties. Since 2015, Merck has been responsible for the development and manufacturing of NGM386 and NGM395. NGM386 is an engineered protein variant of GDF15 that has a pharmacokinetic profile suitable as a once-daily subcutaneous injection. Merck has completed long-term toxicology studies with NGM386 in two species with no treatment-related changes in organ weight, cell morphology or clinical pathology noted beyond body weight loss and injection site reactions. Merck initiated first-in-human studies of NGM386 in 2016, and NGM386 is currently in a Phase 1 MAD clinical trial. We expect that Merck will initiate a Phase 2a proof-of-concept clinical trial if the results from Phase 1 are supportive.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Efficacy on NGM386 in DIO Mice (n=6/group)</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 xml:space="preserve">Change in Body Weight after 28 Days </w:t>
      </w:r>
      <w:r>
        <w:rPr>
          <w:rFonts w:ascii="Arial" w:cs="Arial" w:eastAsia="Arial" w:hAnsi="Arial"/>
          <w:sz w:val="18"/>
          <w:szCs w:val="18"/>
          <w:b w:val="1"/>
          <w:bCs w:val="1"/>
          <w:i w:val="1"/>
          <w:iCs w:val="1"/>
          <w:u w:val="single" w:color="auto"/>
          <w:color w:val="auto"/>
        </w:rPr>
        <w:t>qd</w:t>
      </w:r>
      <w:r>
        <w:rPr>
          <w:rFonts w:ascii="Arial" w:cs="Arial" w:eastAsia="Arial" w:hAnsi="Arial"/>
          <w:sz w:val="18"/>
          <w:szCs w:val="18"/>
          <w:b w:val="1"/>
          <w:bCs w:val="1"/>
          <w:u w:val="single" w:color="auto"/>
          <w:color w:val="auto"/>
        </w:rPr>
        <w:t xml:space="preserv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152400</wp:posOffset>
            </wp:positionV>
            <wp:extent cx="3841750" cy="21526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4175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NGM395, a long-acting fusion protein variant of GDF15, demonstrated results similar to NGM386, but with weekly dosing, in preclinical studies conducted in multiple species. NGM395 is currently in preclinical development, and has completed three-month studies in two species with no observation of treatment-related changes in organ weight, cell morphology, neurobehavior or clinical pathology that were not attributable to excessive body weight loss. We expect that Merck will initiate first-in-human studies of NGM395 in 2019. We believe that Merck will evaluate the candidates in early phase trials conducted in overweight or obese but otherwise healthy adults, and that these studies could demonstrate early proof of concept of GDF15 as a potential treatment for obesity and, potentially, other cardio-metabolic diseases, such as type 2 diabetes and NASH.</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126"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NGM120 is a proprietary, antagonistic antibody binding GFRAL that is designed to inhibit the effects of elevated GDF15 levels in cancer patients. GDF15 is believed to contribute to uncontrolled weight loss in these patients, also known as cancer anorexia and cachexia syndrome, or CACS, and possibly to the cancer itself. NGM120 is currently in Phase 1 trials to assess safety, tolerability and pharmacokinetics.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CACS—Cancer Anorexia/Cachexia Syndrome</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122"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We believe that antagonistic antibodies blocking the interaction between GFRAL and GDF15 could provide a novel approach to developing treatments for anorexia, CACS and, potentially, cancer.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Mice grafted with human tumors overexpressing GDF15 became cachectic, and this weight loss was found to be reversible by treatment with monoclonal antibodies to GDF15. In addition, in a study where Lewis Lung Carcinoma cells that were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83" w:lineRule="exact"/>
        <w:rPr>
          <w:sz w:val="20"/>
          <w:szCs w:val="20"/>
          <w:color w:val="auto"/>
        </w:rPr>
      </w:pPr>
    </w:p>
    <w:p>
      <w:pPr>
        <w:ind w:left="2260"/>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166370</wp:posOffset>
            </wp:positionV>
            <wp:extent cx="3576320" cy="20497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7632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large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122"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146685</wp:posOffset>
            </wp:positionV>
            <wp:extent cx="3816350" cy="1800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1635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right="400" w:firstLine="551"/>
        <w:spacing w:after="0"/>
        <w:rPr>
          <w:sz w:val="20"/>
          <w:szCs w:val="20"/>
          <w:color w:val="auto"/>
        </w:rPr>
      </w:pPr>
      <w:r>
        <w:rPr>
          <w:rFonts w:ascii="Arial" w:cs="Arial" w:eastAsia="Arial" w:hAnsi="Arial"/>
          <w:sz w:val="18"/>
          <w:szCs w:val="18"/>
          <w:color w:val="auto"/>
        </w:rPr>
        <w:t>NGM120 is in Phase 1 clinical trials to assess safety, tolerability and pharmacokinetics. Both the SAD and MAD portions of the Phase 1 clinical trial are ongoing. In extensive preclinical testing, including three-month safety and toxicology studies in non-human primates and rats, NGM120 was well tolerated.</w:t>
      </w:r>
    </w:p>
    <w:p>
      <w:pPr>
        <w:spacing w:after="0" w:line="203" w:lineRule="exact"/>
        <w:rPr>
          <w:sz w:val="20"/>
          <w:szCs w:val="20"/>
          <w:color w:val="auto"/>
        </w:rPr>
      </w:pPr>
    </w:p>
    <w:p>
      <w:pPr>
        <w:ind w:left="200" w:right="380" w:firstLine="551"/>
        <w:spacing w:after="0" w:line="238" w:lineRule="auto"/>
        <w:rPr>
          <w:sz w:val="20"/>
          <w:szCs w:val="20"/>
          <w:color w:val="auto"/>
        </w:rPr>
      </w:pPr>
      <w:r>
        <w:rPr>
          <w:rFonts w:ascii="Arial" w:cs="Arial" w:eastAsia="Arial" w:hAnsi="Arial"/>
          <w:sz w:val="18"/>
          <w:szCs w:val="18"/>
          <w:color w:val="auto"/>
        </w:rPr>
        <w:t>Our next study of NGM120 will be in cancer patients selected for high expression levels of GDF15, such as castration-resistant prostate cancer and pancreatic cancer. We will assess whether treatment with NGM120 leads to complete or partial responses or stabilizes disease, in addition to secondary endpoints such as CACS-related quality of life and body weight composition. Antagonistic antibodies targeting the GDF15 receptor pathway are not included in the Merck license to GDF15 analogs and are subject to Merck’s future option upon completion of a human proof-of-concept study.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NGM217 is a humanized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or LADA; and patients with type 2 diabetes that are inadequately controlled with insulin treatment. In the United States, there are approximately 1.5 million adults with type 1 diabetes, and their beta cells produce little to no insulin. LADA is characterized by the slow, progressive autoimmune destruction of beta cells and approximately 10% of patients ages 40 to 75 in the United States with type 2 diabetes have LADA. These patients often become unresponsive to oral type 2</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There also exists a population of late-stage type 2 diabetics who have inadequate glycemic control despite being on intensive daily insulin treatment. These patients will ultimately progress to a point where they become non-responsive to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122" w:lineRule="exact"/>
        <w:rPr>
          <w:sz w:val="20"/>
          <w:szCs w:val="20"/>
          <w:color w:val="auto"/>
        </w:rPr>
      </w:pPr>
    </w:p>
    <w:p>
      <w:pPr>
        <w:ind w:left="200" w:right="200" w:firstLine="551"/>
        <w:spacing w:after="0" w:line="237" w:lineRule="auto"/>
        <w:rPr>
          <w:sz w:val="20"/>
          <w:szCs w:val="20"/>
          <w:color w:val="auto"/>
        </w:rPr>
      </w:pPr>
      <w:r>
        <w:rPr>
          <w:rFonts w:ascii="Arial" w:cs="Arial" w:eastAsia="Arial" w:hAnsi="Arial"/>
          <w:sz w:val="18"/>
          <w:szCs w:val="18"/>
          <w:color w:val="auto"/>
        </w:rPr>
        <w:t>Preclinical studies assessing the safety of monthly injections of NGM217 demonstrated desirable pharmacokinetics and was well tolerated at doses that substantially exceeded the doses to be tested in humans. We have commenced a Phase 1 clinical trial to obtain safety and tolerability data, including rate of hypoglycemia, as well as selecting the proper dose for future clinical studies. Thereafter, we plan to commence a Phase 1b/2a proof-of-concept clinical trial in 2020 that investigates the ability of NGM217 to increase stimulated C-peptide, a marker of insulin production, as well as to reduce insulin requirements and improvements in glycemic control with no worsening of hypoglycemia.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NGM621 is a humanized monoclonal antibody against an undisclosed target that has supportive human genetics data to suggest that inhibition of this pathway can effectively slow the progression of vision loss in dry AMD. AMD remains the leading cause of vision loss and blindness in people 65 years of age and over in the United States. Prevalence of AMD increases with age, and it is estimated that approximately 3 million people 40 years of age and older will be affected by AMD in the United States by 2020. AMD is a gradually progressive disease that involves the damage and degeneration of cells under the retina and, in the advanced stages, patients can develop either or both of the wet and dry form of AMD. Geographic atrophy, or GA, is an advanced form of dry AMD characterized by deposits under the retina and damage and dysfunction of retinal cells, resulting in single or multiple regions that become impaired in the central area of the retina called the macula. These patches of GA gradually enlarge to cause permanent loss of central vision. GA is prevalent in about 1 million people in the United States and over 5 million people worldwide in 2017 and occurs bilaterally, or in both eyes, in approximately 50% of patients within seven years of diagnosis.</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While wet AMD is treated with anti-vascular endothelial growth factor, or anti-VEGF, therapeutics, there are currently no approved treatments for dry AMD and GA. Multiple modalities and classes of therapies are under investigation for GA, including APL-2, which is being developed by Apellis and is expected to enter Phase 3 clinical trials in 2018, and Zimura, which is in Phase 2b clinical trials and being developed by Ophthotech. In 2017, Roche announced that lampalizumab failed to meet the primary endpoint in two Phase 3 trials in GA and, to date, no investigative treatment for GA has shown efficacy in Phase 3. Both APL-2 and Zimura are being developed as intravitreal injections that are administered once monthly or once every two months by retinal specialists, consistent with the current practice for wet AMD treatment. Given the significant unmet medical need and the importance of dosing convenience for GA patients, we believe that NGM621 has the potential to provide a desirable treatment option with improved efficacy with respect to slowing the rate of disease progression and less frequent dosing.</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Planned Phase 1 Clinical Trial</w:t>
      </w:r>
    </w:p>
    <w:p>
      <w:pPr>
        <w:spacing w:after="0" w:line="122"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We expect to complete preclinical studies in cynomolgus monkeys to assess the safety of NGM621 intravitreal injections by the first half of 2019 to enable the planned Phase 1 and future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clinical trials. Following submission of an IND to the FDA in the first half of 2019, we plan to initiate a Phase 1 SAD clinical trial in the second half of 2019 to evaluate the safety, tolerability and pharmacokinetic profile of single doses of intravitreal injections of NGM621 in GA patients.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Collaboration with Merck</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in the future,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w:t>
      </w:r>
    </w:p>
    <w:p>
      <w:pPr>
        <w:spacing w:after="0" w:line="20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collaboration includes an exclusive worldwide license to our GDF15 program.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These options are in place through March 17, 2020; however, Merck has the option to extend our research collaboration, and thereby preserve their license option, through March 17, 2022 and thereafter to extend it again through March 17, 2024. Merck is required to inform of their intent to extend the collaboration one year prior to the expiration of a particular term. The first notification must be given by March 17, 2019. In addition, we excluded the NGM282 program from the agreement and it remains wholly owned and controlled by us.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95" w:lineRule="exact"/>
        <w:rPr>
          <w:sz w:val="20"/>
          <w:szCs w:val="20"/>
          <w:color w:val="auto"/>
        </w:rPr>
      </w:pPr>
    </w:p>
    <w:p>
      <w:pPr>
        <w:ind w:left="960" w:hanging="216"/>
        <w:spacing w:after="0" w:line="238"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agreement, Merck paid us an upfront cash licensing fee of $94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$106 million of our Series E convertible preferred stock in 2015. In addition to the upfront cash component, Merck has committed to provide us research and development reimbursement of up to $50 million per year for at least five years. If our research and development expenses exceed $50 million in a given year and we are conducting IND-enabling or later-staged activities, Merck is required to elect either to reimburse up to an additional $25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w:t>
      </w:r>
    </w:p>
    <w:p>
      <w:pPr>
        <w:ind w:left="960"/>
        <w:spacing w:after="0"/>
        <w:rPr>
          <w:rFonts w:ascii="Arial" w:cs="Arial" w:eastAsia="Arial" w:hAnsi="Arial"/>
          <w:sz w:val="18"/>
          <w:szCs w:val="18"/>
          <w:color w:val="auto"/>
        </w:rPr>
      </w:pPr>
      <w:r>
        <w:rPr>
          <w:rFonts w:ascii="Arial" w:cs="Arial" w:eastAsia="Arial" w:hAnsi="Arial"/>
          <w:sz w:val="18"/>
          <w:szCs w:val="18"/>
          <w:color w:val="auto"/>
        </w:rPr>
        <w:t>$189 million of research and development reimbursement.</w:t>
      </w:r>
    </w:p>
    <w:p>
      <w:pPr>
        <w:spacing w:after="0" w:line="95" w:lineRule="exact"/>
        <w:rPr>
          <w:rFonts w:ascii="Arial" w:cs="Arial" w:eastAsia="Arial" w:hAnsi="Arial"/>
          <w:sz w:val="18"/>
          <w:szCs w:val="18"/>
          <w:color w:val="auto"/>
        </w:rPr>
      </w:pPr>
    </w:p>
    <w:p>
      <w:pPr>
        <w:ind w:left="960" w:right="80" w:hanging="216"/>
        <w:spacing w:after="0" w:line="242"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39" w:lineRule="auto"/>
        <w:rPr>
          <w:sz w:val="20"/>
          <w:szCs w:val="20"/>
          <w:color w:val="auto"/>
        </w:rPr>
      </w:pPr>
      <w:r>
        <w:rPr>
          <w:rFonts w:ascii="Arial" w:cs="Arial" w:eastAsia="Arial" w:hAnsi="Arial"/>
          <w:sz w:val="18"/>
          <w:szCs w:val="18"/>
          <w:color w:val="auto"/>
        </w:rPr>
        <w:t>the cost and profit share, Merck will owe us milestone payments and royalties as a percentage of global net sales in the low double digits to mid-teens upon commercialization. To date Merck has licensed NGM386 and NGM395 from our pipeline as part of the collaboration and our option to participate in the late-stage development and commercialization of the programs has not been triggered yet.</w:t>
      </w:r>
    </w:p>
    <w:p>
      <w:pPr>
        <w:spacing w:after="0" w:line="85" w:lineRule="exact"/>
        <w:rPr>
          <w:sz w:val="20"/>
          <w:szCs w:val="20"/>
          <w:color w:val="auto"/>
        </w:rPr>
      </w:pPr>
    </w:p>
    <w:p>
      <w:pPr>
        <w:ind w:left="960" w:right="240" w:hanging="216"/>
        <w:spacing w:after="0" w:line="24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79" w:lineRule="exact"/>
        <w:rPr>
          <w:rFonts w:ascii="Arial" w:cs="Arial" w:eastAsia="Arial" w:hAnsi="Arial"/>
          <w:sz w:val="18"/>
          <w:szCs w:val="18"/>
          <w:color w:val="auto"/>
        </w:rPr>
      </w:pPr>
    </w:p>
    <w:p>
      <w:pPr>
        <w:ind w:left="960" w:right="80" w:hanging="216"/>
        <w:spacing w:after="0" w:line="244"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program through human proof-of-concept testing, allowing our research team the freedom to seek the most promising candidates and flexibility to terminate or de-prioritize projects. In addition, we excluded NGM282 from the Merck collaboration to retain an independent clinical program and as a means to potentially enable full integration of our capabilities to position us for long-term success.</w:t>
      </w:r>
    </w:p>
    <w:p>
      <w:pPr>
        <w:spacing w:after="0" w:line="199" w:lineRule="exact"/>
        <w:rPr>
          <w:sz w:val="20"/>
          <w:szCs w:val="20"/>
          <w:color w:val="auto"/>
        </w:rPr>
      </w:pPr>
    </w:p>
    <w:p>
      <w:pPr>
        <w:ind w:left="200" w:right="380" w:firstLine="551"/>
        <w:spacing w:after="0" w:line="239"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amongst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area while still retaining significant economic ownership of the programs.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Detailed Description of the Merck Collaboration</w:t>
      </w:r>
    </w:p>
    <w:p>
      <w:pPr>
        <w:spacing w:after="0" w:line="126"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covering the discovery, development and commercialization of novel therapies across a range of therapeutic areas. The collaboration includes an exclusive worldwide license to our GDF15 program, comprising NGM386 and NGM395 and other GDF15 analogs. These compounds are being evaluated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 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the European Union and Japan of up to an aggregate of $449.0 million.</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122" w:lineRule="exact"/>
        <w:rPr>
          <w:sz w:val="20"/>
          <w:szCs w:val="20"/>
          <w:color w:val="auto"/>
        </w:rPr>
      </w:pPr>
    </w:p>
    <w:p>
      <w:pPr>
        <w:ind w:left="200" w:right="800" w:firstLine="551"/>
        <w:spacing w:after="0" w:line="246" w:lineRule="auto"/>
        <w:rPr>
          <w:sz w:val="20"/>
          <w:szCs w:val="20"/>
          <w:color w:val="auto"/>
        </w:rPr>
      </w:pPr>
      <w:r>
        <w:rPr>
          <w:rFonts w:ascii="Arial" w:cs="Arial" w:eastAsia="Arial" w:hAnsi="Arial"/>
          <w:sz w:val="18"/>
          <w:szCs w:val="18"/>
          <w:color w:val="auto"/>
        </w:rPr>
        <w:t>Under the agreement, we are conducting an extensive research and early development program, the goal of which is the identification, research and development, through human proof-of-concept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studies, of multiple product candidates for various therapeutic areas. Included in this program are all NGM research and development programs that existed when we entered into the agreement with Merck, with the exception of the following: NGM282,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 Under this research and early development program, we also are responsible for the preclinical development of NGM386 and NGM395. Upon completion of those activities, we will transfer the GDF15 program to Merck, which will be responsible for all human clinical trials for these compounds.</w:t>
      </w:r>
    </w:p>
    <w:p>
      <w:pPr>
        <w:spacing w:after="0" w:line="207"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and Merck has the right to extend this period until March 17, 2022 and thereafter to extend it again until March 17, 2024. We refer to this five, seven or nine-year period as the research phase of the collaboration.</w:t>
      </w:r>
    </w:p>
    <w:p>
      <w:pPr>
        <w:spacing w:after="0" w:line="203" w:lineRule="exact"/>
        <w:rPr>
          <w:sz w:val="20"/>
          <w:szCs w:val="20"/>
          <w:color w:val="auto"/>
        </w:rPr>
      </w:pPr>
    </w:p>
    <w:p>
      <w:pPr>
        <w:ind w:left="200" w:right="160" w:firstLine="551"/>
        <w:spacing w:after="0" w:line="236" w:lineRule="auto"/>
        <w:rPr>
          <w:sz w:val="20"/>
          <w:szCs w:val="20"/>
          <w:color w:val="auto"/>
        </w:rPr>
      </w:pPr>
      <w:r>
        <w:rPr>
          <w:rFonts w:ascii="Arial" w:cs="Arial" w:eastAsia="Arial" w:hAnsi="Arial"/>
          <w:sz w:val="18"/>
          <w:szCs w:val="18"/>
          <w:color w:val="auto"/>
        </w:rPr>
        <w:t>Under the agreement, Merck reimburses the internal and external costs of our research and early development activities in an amount up to $ 50 million per year during the initial five-year term, based on an estimated annual budget. If we exceed this budget in a particular year, and if the program is such that we are at that time performing IND-enabling studies, Merck is required to elect either to reimburse up to an additional $25 million for use in funding IND-enabling or later-staged activities or to provide us with the equivalent value in in-kind services for preclinical and clinical development activities. The total Merck reimbursement for our research and development activities could therefore reach $75 million per year through the first five years of the research phase. From inception of the collaboration through June 30, 2018, Merck has paid us $189 million of research and development reimbursement. If Merck elects to extend the research phase by either or both of the two-year extensions, the level of funding that Merck will provide to us during each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March 2020. Those two exceptions are: (i) if we are acquired by a third party; or (ii) if we are in material uncured breach of our obligations under the research and early development program.</w:t>
      </w:r>
    </w:p>
    <w:p>
      <w:pPr>
        <w:spacing w:after="0" w:line="20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 during the tail period.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Merck Option to License NGM Programs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which we refer to as an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We also retain all rights to programs which have not completed proof-of-concept studies by the end of the research phase, or the tail period, if there is one.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Merck exercises its license option, then at the point where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ascending thresholds, depending on the term of the research phase of the agreement, in the low single digit billions of dollars, we will not be able to exercise our option on any further licensed compounds that Merck takes forward, unless and until at the time of option exercise with respect to such further licensed compound the sum of such actual costs, prospective costs and costs we elect to incur with respect to the compound do not equal or exceed such limits.</w:t>
      </w:r>
    </w:p>
    <w:p>
      <w:pPr>
        <w:spacing w:after="0" w:line="20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12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detailing, to up to 25% of prescribers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40"/>
        <w:spacing w:after="0" w:line="246" w:lineRule="auto"/>
        <w:rPr>
          <w:sz w:val="20"/>
          <w:szCs w:val="20"/>
          <w:color w:val="auto"/>
        </w:rPr>
      </w:pPr>
      <w:r>
        <w:rPr>
          <w:rFonts w:ascii="Arial" w:cs="Arial" w:eastAsia="Arial" w:hAnsi="Arial"/>
          <w:sz w:val="18"/>
          <w:szCs w:val="18"/>
          <w:color w:val="auto"/>
        </w:rPr>
        <w:t>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Governance</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or JRC,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A separate joint committee exists to oversee the research and early development of compounds within the GDF15 program. For any Optioned Program or, in the case of GDF15, when a compound from that program completes a proof-of-concept clinical trial, a joint late development committee will oversee and coordinate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GDF15 program matters and late development and commercialization matters following the exercise of its option for a particular program.</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Diligence</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Exclusivity</w:t>
      </w:r>
    </w:p>
    <w:p>
      <w:pPr>
        <w:spacing w:after="0" w:line="122" w:lineRule="exact"/>
        <w:rPr>
          <w:sz w:val="20"/>
          <w:szCs w:val="20"/>
          <w:color w:val="auto"/>
        </w:rPr>
      </w:pPr>
    </w:p>
    <w:p>
      <w:pPr>
        <w:ind w:left="200" w:right="120" w:firstLine="551"/>
        <w:spacing w:after="0" w:line="261" w:lineRule="auto"/>
        <w:rPr>
          <w:sz w:val="20"/>
          <w:szCs w:val="20"/>
          <w:color w:val="auto"/>
        </w:rPr>
      </w:pPr>
      <w:r>
        <w:rPr>
          <w:rFonts w:ascii="Arial" w:cs="Arial" w:eastAsia="Arial" w:hAnsi="Arial"/>
          <w:sz w:val="17"/>
          <w:szCs w:val="17"/>
          <w:color w:val="auto"/>
        </w:rPr>
        <w:t>During the initial research phase, plus an additional limited period of time, neither we nor Merck may directly or indirectly research, develop, manufacture or commercialize any large or small molecule product outside our collaboration with specified activity against the hormones or receptors that are the focus of the GDF15 program, for any indication. During the research phase, we may not directly or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Terms</w:t>
      </w:r>
    </w:p>
    <w:p>
      <w:pPr>
        <w:spacing w:after="0" w:line="122"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 million and purchased approximately $106 million of our Series E convertible preferred stock. We will receive an extension payment from Merck if it chooses to extend the initial research phase of the collaboration until March 17, 2022 and a second extension payment if it chooses to further extend the extended research phase until March 17, 2024.</w:t>
      </w:r>
    </w:p>
    <w:p>
      <w:pPr>
        <w:spacing w:after="0" w:line="202"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 million for each licensed program. Merck does not owe us an option fee on the GDF15 program, as that is already licensed to Merck as of the effective date of our agreement, but we nonetheless have an option to enter into a cost and profit sharing arrangement with Merck as described above for any products, including NGM386 and NGM395, and other compounds resulting from the GDF15 program.</w:t>
      </w:r>
    </w:p>
    <w:p>
      <w:pPr>
        <w:spacing w:after="0" w:line="20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any compound in our GDF15 program), we are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the European Union and Japan.</w:t>
      </w:r>
    </w:p>
    <w:p>
      <w:pPr>
        <w:spacing w:after="0" w:line="203"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We are also eligible to receive commercial milestone payments of up to $125 million payable for such licensed product. We are also eligible to receive royalties at ascending low double digit to mid-teen percentage rates, depending on the level of net sales Merck achieves worldwide for each licensed compound.</w:t>
      </w:r>
    </w:p>
    <w:p>
      <w:pPr>
        <w:spacing w:after="0" w:line="203"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and we take compounds in that program forward, we also owe Merck royalties on sales of those compounds, at low single digit rates.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w:t>
      </w:r>
    </w:p>
    <w:p>
      <w:pPr>
        <w:spacing w:after="0" w:line="122"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After the research phase, Merck may terminate the overall agreement for convenience upon written notice. Subject to certain limitations, Merck may partially terminate the agreement for convenience as it relates to the GDF15 program, or to any Optioned Program, on written notice. It may also terminate the agreement as it relates to its rights to research and develop small molecule compounds.</w:t>
      </w:r>
    </w:p>
    <w:p>
      <w:pPr>
        <w:spacing w:after="0" w:line="203" w:lineRule="exact"/>
        <w:rPr>
          <w:sz w:val="20"/>
          <w:szCs w:val="20"/>
          <w:color w:val="auto"/>
        </w:rPr>
      </w:pPr>
    </w:p>
    <w:p>
      <w:pPr>
        <w:ind w:left="200" w:right="420" w:firstLine="551"/>
        <w:spacing w:after="0"/>
        <w:rPr>
          <w:sz w:val="20"/>
          <w:szCs w:val="20"/>
          <w:color w:val="auto"/>
        </w:rPr>
      </w:pPr>
      <w:r>
        <w:rPr>
          <w:rFonts w:ascii="Arial" w:cs="Arial" w:eastAsia="Arial" w:hAnsi="Arial"/>
          <w:sz w:val="18"/>
          <w:szCs w:val="18"/>
          <w:color w:val="auto"/>
        </w:rPr>
        <w:t>Either we or Merck may terminate the agreement with respect to the GDF15 program or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participate in global cost and profit sharing if not yet exercised as of the time of termination, and lose our co-detailing option (whether or not exercised as of that time) for compounds arising from the GDF15 program or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 licensed compounds arising from the program as of the time of termination, the option would remain in effect.</w:t>
      </w:r>
    </w:p>
    <w:p>
      <w:pPr>
        <w:spacing w:after="0" w:line="205" w:lineRule="exact"/>
        <w:rPr>
          <w:sz w:val="20"/>
          <w:szCs w:val="20"/>
          <w:color w:val="auto"/>
        </w:rPr>
      </w:pPr>
    </w:p>
    <w:p>
      <w:pPr>
        <w:ind w:left="200" w:right="340" w:firstLine="551"/>
        <w:spacing w:after="0" w:line="238" w:lineRule="auto"/>
        <w:rPr>
          <w:sz w:val="20"/>
          <w:szCs w:val="20"/>
          <w:color w:val="auto"/>
        </w:rPr>
      </w:pPr>
      <w:r>
        <w:rPr>
          <w:rFonts w:ascii="Arial" w:cs="Arial" w:eastAsia="Arial" w:hAnsi="Arial"/>
          <w:sz w:val="18"/>
          <w:szCs w:val="18"/>
          <w:color w:val="auto"/>
        </w:rPr>
        <w:t>If we terminate the GDF15 program or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which has the same target 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Investments by Merck</w:t>
      </w:r>
    </w:p>
    <w:p>
      <w:pPr>
        <w:spacing w:after="0" w:line="122" w:lineRule="exact"/>
        <w:rPr>
          <w:sz w:val="20"/>
          <w:szCs w:val="20"/>
          <w:color w:val="auto"/>
        </w:rPr>
      </w:pPr>
    </w:p>
    <w:p>
      <w:pPr>
        <w:ind w:left="200" w:right="40" w:firstLine="551"/>
        <w:spacing w:after="0" w:line="234" w:lineRule="auto"/>
        <w:rPr>
          <w:sz w:val="20"/>
          <w:szCs w:val="20"/>
          <w:color w:val="auto"/>
        </w:rPr>
      </w:pPr>
      <w:r>
        <w:rPr>
          <w:rFonts w:ascii="Arial" w:cs="Arial" w:eastAsia="Arial" w:hAnsi="Arial"/>
          <w:sz w:val="18"/>
          <w:szCs w:val="18"/>
          <w:color w:val="auto"/>
        </w:rPr>
        <w:t>Concurrently with the execution of our collaboration with Merck, we entered into a stock purchase agreement with Merck for the purchase of 17,666,666 shares of our Series E convertible preferred stock, for an aggregate purchase price of approximately $106 million. Under a letter agreement entered in connection with this investment, Merck has the irrevocable option to purchase, and if it does not, we have the irrevocable option to require Merck to purchase, an additional amount of our shares of our common stock pursuant to a private placement conducted in parallel with this offering, up to a limit of the number of shares that will result in Merck owning approximately</w:t>
      </w:r>
    </w:p>
    <w:p>
      <w:pPr>
        <w:spacing w:after="0" w:line="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19.9% of our outstanding shares, at the same price per share as offered to the public. If Merck elects to extend the research phase of our collaboration until March 17, 2022, it has the option to purchase an additional $5 million of our common stock at a price per share equal to the last closing price of our shares on the date it notifies us of its desire to exercise such option, and if Merck elects again to extend the research phase until March 17, 2024, it has an option to purchase another $5 million of our common stock on the same terms; with both options subject to an overall cap on Merck’s ownership interest of 19.9%.</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Standstill, Lock-Up and Voting Agreements</w:t>
      </w:r>
    </w:p>
    <w:p>
      <w:pPr>
        <w:spacing w:after="0" w:line="122"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letter agreement also includes standstill provisions that provide that for the period that ends on the earlier of the end of our initial five-year research phase, the announcement of our intent to consummate a change in control transaction (subject to certain exceptions), or the termination of our collaboration agreement, neither Merck nor its representatives will, directly or indirectly, among other things, (i) acquire any of our securities to the extent it would result in Merck owning more than 19.9% of our shares, (ii) solicit proxies for our securities, (iii) participate in a business combination involving us, or take any action that might result in us having to make a public announcement about (i) or (ii), seek to influence our management or policies, except that Merck is not precluded from making confidential, non-public proposals to us or third parties with our express consent. In addition, during the period that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ends on the earlier of the end of our initial five-year research phase, the termination of the collaboration agreement, or the date on which Merck’s ownership of our securities drops below 5%, Merck has granted a proxy to the chairman of our board of directors to vote Merck’s shares in favor of any action recommended and approved by our board of directors, subject to certain exceptions. Merck has also agreed, subject to specified exceptions, and during the period of our five-year initial research phase, not to sell any of its shares of our capital stock (subject to certain limited exceptions).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4"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5"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02" w:lineRule="exact"/>
        <w:rPr>
          <w:sz w:val="20"/>
          <w:szCs w:val="20"/>
          <w:color w:val="auto"/>
        </w:rPr>
      </w:pPr>
    </w:p>
    <w:p>
      <w:pPr>
        <w:ind w:left="960" w:right="26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02" w:lineRule="exact"/>
        <w:rPr>
          <w:rFonts w:ascii="Arial" w:cs="Arial" w:eastAsia="Arial" w:hAnsi="Arial"/>
          <w:sz w:val="18"/>
          <w:szCs w:val="18"/>
          <w:color w:val="auto"/>
        </w:rPr>
      </w:pPr>
    </w:p>
    <w:p>
      <w:pPr>
        <w:ind w:left="960" w:right="10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2" w:lineRule="exact"/>
        <w:rPr>
          <w:rFonts w:ascii="Arial" w:cs="Arial" w:eastAsia="Arial" w:hAnsi="Arial"/>
          <w:sz w:val="18"/>
          <w:szCs w:val="18"/>
          <w:color w:val="auto"/>
        </w:rPr>
      </w:pPr>
    </w:p>
    <w:p>
      <w:pPr>
        <w:ind w:left="960" w:right="70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02"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 license application, or BLA, after completion of all pivotal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960" w:hanging="216"/>
        <w:spacing w:after="0" w:line="239"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current Good Clinical Practices, or cGCP; and</w:t>
      </w:r>
    </w:p>
    <w:p>
      <w:pPr>
        <w:spacing w:after="0" w:line="10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26" w:lineRule="exact"/>
        <w:rPr>
          <w:sz w:val="20"/>
          <w:szCs w:val="20"/>
          <w:color w:val="auto"/>
        </w:rPr>
      </w:pPr>
    </w:p>
    <w:p>
      <w:pPr>
        <w:ind w:left="200" w:right="700" w:firstLine="551"/>
        <w:spacing w:after="0" w:line="246" w:lineRule="auto"/>
        <w:rPr>
          <w:sz w:val="20"/>
          <w:szCs w:val="20"/>
          <w:color w:val="auto"/>
        </w:rPr>
      </w:pPr>
      <w:r>
        <w:rPr>
          <w:rFonts w:ascii="Arial" w:cs="Arial" w:eastAsia="Arial" w:hAnsi="Arial"/>
          <w:sz w:val="18"/>
          <w:szCs w:val="18"/>
          <w:color w:val="auto"/>
        </w:rPr>
        <w:t>Prior to beginning the first clinical trial with a product candidate, we must submit an IND to the FDA. An IND is a request for authorization from the FDA to administer an investigational new drug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8"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95" w:lineRule="exact"/>
        <w:rPr>
          <w:sz w:val="20"/>
          <w:szCs w:val="20"/>
          <w:color w:val="auto"/>
        </w:rPr>
      </w:pPr>
    </w:p>
    <w:p>
      <w:pPr>
        <w:ind w:left="960" w:right="200" w:hanging="216"/>
        <w:spacing w:after="0" w:line="24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79" w:lineRule="exact"/>
        <w:rPr>
          <w:rFonts w:ascii="Arial" w:cs="Arial" w:eastAsia="Arial" w:hAnsi="Arial"/>
          <w:sz w:val="18"/>
          <w:szCs w:val="18"/>
          <w:color w:val="auto"/>
        </w:rPr>
      </w:pPr>
    </w:p>
    <w:p>
      <w:pPr>
        <w:ind w:left="960" w:right="60" w:hanging="216"/>
        <w:spacing w:after="0" w:line="24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9" w:lineRule="exact"/>
        <w:rPr>
          <w:rFonts w:ascii="Arial" w:cs="Arial" w:eastAsia="Arial" w:hAnsi="Arial"/>
          <w:sz w:val="18"/>
          <w:szCs w:val="18"/>
          <w:color w:val="auto"/>
        </w:rPr>
      </w:pPr>
    </w:p>
    <w:p>
      <w:pPr>
        <w:ind w:left="960" w:right="200" w:hanging="216"/>
        <w:spacing w:after="0" w:line="247"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6"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 called Phase 4</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26"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5"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7"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firstLine="551"/>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1" w:lineRule="exact"/>
        <w:rPr>
          <w:sz w:val="20"/>
          <w:szCs w:val="20"/>
          <w:color w:val="auto"/>
        </w:rPr>
      </w:pPr>
    </w:p>
    <w:p>
      <w:pPr>
        <w:ind w:left="960" w:right="520" w:hanging="216"/>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0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5"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as amended by the Health Care and Education Reconciliation Act of 2010, or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or FCA (discussed below).</w:t>
      </w:r>
    </w:p>
    <w:p>
      <w:pPr>
        <w:spacing w:after="0" w:line="205"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The federal false claims and civil monetary penalty laws, including the FCA, which imposes significant penalties and can be enforced by private citizens through civil qui tam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24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208"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207"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Medicare reimbursement rates may also reflect budgetary constraints placed on the Medicare program.</w:t>
      </w:r>
    </w:p>
    <w:p>
      <w:pPr>
        <w:spacing w:after="0" w:line="212"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In addition,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spacing w:after="0" w:line="207"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 -party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96" w:lineRule="exact"/>
        <w:rPr>
          <w:sz w:val="20"/>
          <w:szCs w:val="20"/>
          <w:color w:val="auto"/>
        </w:rPr>
      </w:pPr>
    </w:p>
    <w:p>
      <w:pPr>
        <w:ind w:left="960" w:hanging="216"/>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204"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5"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108" w:lineRule="exact"/>
        <w:rPr>
          <w:sz w:val="20"/>
          <w:szCs w:val="20"/>
          <w:color w:val="auto"/>
        </w:rPr>
      </w:pPr>
    </w:p>
    <w:p>
      <w:pPr>
        <w:ind w:left="960" w:right="6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108" w:lineRule="exact"/>
        <w:rPr>
          <w:rFonts w:ascii="Arial" w:cs="Arial" w:eastAsia="Arial" w:hAnsi="Arial"/>
          <w:sz w:val="18"/>
          <w:szCs w:val="18"/>
          <w:color w:val="auto"/>
        </w:rPr>
      </w:pPr>
    </w:p>
    <w:p>
      <w:pPr>
        <w:ind w:left="960" w:right="8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108" w:lineRule="exact"/>
        <w:rPr>
          <w:rFonts w:ascii="Arial" w:cs="Arial" w:eastAsia="Arial" w:hAnsi="Arial"/>
          <w:sz w:val="18"/>
          <w:szCs w:val="18"/>
          <w:color w:val="auto"/>
        </w:rPr>
      </w:pPr>
    </w:p>
    <w:p>
      <w:pPr>
        <w:ind w:left="960" w:hanging="216"/>
        <w:spacing w:after="0" w:line="239"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will be increased to 70%, starting in 2019, off negotiated prices of applicable brand drugs to eligible beneficiaries during their coverage gap period, as a condition for the manufacturers’ outpatient drugs to be covered under Medicare Part D;</w:t>
      </w:r>
    </w:p>
    <w:p>
      <w:pPr>
        <w:spacing w:after="0" w:line="107"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02" w:lineRule="exact"/>
        <w:rPr>
          <w:rFonts w:ascii="Arial" w:cs="Arial" w:eastAsia="Arial" w:hAnsi="Arial"/>
          <w:sz w:val="18"/>
          <w:szCs w:val="18"/>
          <w:color w:val="auto"/>
        </w:rPr>
      </w:pPr>
    </w:p>
    <w:p>
      <w:pPr>
        <w:ind w:left="960" w:right="48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117" w:lineRule="exact"/>
        <w:rPr>
          <w:rFonts w:ascii="Arial" w:cs="Arial" w:eastAsia="Arial" w:hAnsi="Arial"/>
          <w:sz w:val="18"/>
          <w:szCs w:val="18"/>
          <w:color w:val="auto"/>
        </w:rPr>
      </w:pPr>
    </w:p>
    <w:p>
      <w:pPr>
        <w:ind w:left="960" w:right="80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2"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960" w:right="54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requirement to annually report certain information regarding drug samples that manufacturers and distributors provide to physicians;</w:t>
      </w:r>
    </w:p>
    <w:p>
      <w:pPr>
        <w:spacing w:after="0" w:line="102"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21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Some of the provisions of the Affordable Care Act have yet to be implemented, and there have been legal and political challenges to certain aspects of the Affordable Care Act. Since January 2017, President Trump has signed two executive orders and other directives designed to delay, circumvent, or loosen certain requirements mandated by the Affordable Care Act. In December 2017, Congress repealed the tax penalty for an individual’s failure to maintain Affordable Care Act-mandated health insurance as part of a tax reform bill. Further,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Moreover, the Bipartisan Budget Act of 2018, or the BBA, among other things, amends the Affordable Care Act, effective January 1, 2019, to close the coverage gap in most Medicare drug plans, commonly referred to as the “donut hole”. More recently, in July 2018, CMS announced that it is suspending further collections and payments to and from certain Affordable Care Act qualified health plans and health insurance issuers under the Affordable Care Act risk adjustment program pending the outcome of federal district court litigation regarding the method CMS uses to determine this risk adjustment. Congress is continuing to consider legislation that would alter other aspects of the Affordable Care Act. The ultimate content, timing or effect of any healthcare reform legislation on the U.S. healthcare industry is unclear.</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anticipate that the Affordable Care Act,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2027 unless additional Congressional action is taken. In January 2013, the American Taxpayer Relief Act of 2012 was signed into law, which, among other things, further reduced Medicare payments to several types of providers,</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including hospitals, imaging centers and cancer treatment centers, and increased the statute of limitations period for the government to recover overpayments to providers from three to five years.</w:t>
      </w:r>
    </w:p>
    <w:p>
      <w:pPr>
        <w:spacing w:after="0" w:line="197" w:lineRule="exact"/>
        <w:rPr>
          <w:sz w:val="20"/>
          <w:szCs w:val="20"/>
          <w:color w:val="auto"/>
        </w:rPr>
      </w:pPr>
    </w:p>
    <w:p>
      <w:pPr>
        <w:ind w:left="200" w:firstLine="551"/>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26"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leading position in research into cardio-metabolic disease and NASH,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efficacy, safety and tolerability profile, reliability, convenience of dosing, price, the level of generic competition and reimbursement.</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similar to our products. A number of pharmaceutical companies, including Abbvie, Allergan, AstraZeneca/MedImmune, Bayer, Bristol-Myers Squibb, Eisai, Eli Lilly, GlaxoSmithKline, Johnson &amp; Johnson, Merck, Novartis, Novo Nordisk, Pfizer, Roche, Sanofi and Takeda, as well as large and small biotechnology companies such as Akero, Albireo, Amgen, Cirius, Conatus, Cymabay, Enanta, Galectin, Galmed, Genfit, Gilead, Intarcia, Intercept, Madrigal, MannKind, MediciNova, Metacrine, Nalpropion, Terns, Viking, Vivus and Zafgen,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If NGM282 or NGM313 were approved for the treatment of NASH, future competition could also arise from products currently in development, including: cenicriviroc, an immunomodulator that blocks CCR2 and CCR5 from Allergan; GS-0976, an ACC inhibitor, GS-9674, an FXR agonist, and selonsertib, an ASK1 inhibitor, from Gilead; OCA from Intercept; MGL-3196, a beta-thyroid hormone receptor agonist from Madrigal; elobixibat, an IBAT-inhibitor, a FXR agonist, from Albireo; a caspase protease inhibitor from Conatus; a Galectin-3 inhibitor from Galectin; a synthetic conjugate of cholic acid and arachidic acid from Galmed; an FXR agonist from Metacrine; FXR agonists from Novartis; and a PPAR alpha/delta agonist from Genfit. The foregoing competitive risks apply to NGM282 and NGM313 and any variants of NGM282 and NGM313 we may commercialize, including the second-generation, half-life extended version of FGF19 we are currently developing.</w:t>
      </w:r>
    </w:p>
    <w:p>
      <w:pPr>
        <w:spacing w:after="0" w:line="208"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 xml:space="preserve">If NGM386 or NGM395 were approved for the treatment of obesity, these products would face competition from currently approved and marketed products, including </w:t>
      </w:r>
      <w:r>
        <w:rPr>
          <w:rFonts w:ascii="Arial" w:cs="Arial" w:eastAsia="Arial" w:hAnsi="Arial"/>
          <w:sz w:val="18"/>
          <w:szCs w:val="18"/>
          <w:i w:val="1"/>
          <w:iCs w:val="1"/>
          <w:color w:val="auto"/>
        </w:rPr>
        <w:t>Saxenda</w:t>
      </w:r>
      <w:r>
        <w:rPr>
          <w:rFonts w:ascii="Arial" w:cs="Arial" w:eastAsia="Arial" w:hAnsi="Arial"/>
          <w:sz w:val="18"/>
          <w:szCs w:val="18"/>
          <w:color w:val="auto"/>
        </w:rPr>
        <w:t xml:space="preserve"> (liraglutide), </w:t>
      </w:r>
      <w:r>
        <w:rPr>
          <w:rFonts w:ascii="Arial" w:cs="Arial" w:eastAsia="Arial" w:hAnsi="Arial"/>
          <w:sz w:val="18"/>
          <w:szCs w:val="18"/>
          <w:i w:val="1"/>
          <w:iCs w:val="1"/>
          <w:color w:val="auto"/>
        </w:rPr>
        <w:t>Contrave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 xml:space="preserve">(bupropion and naltrexone), </w:t>
      </w:r>
      <w:r>
        <w:rPr>
          <w:rFonts w:ascii="Arial" w:cs="Arial" w:eastAsia="Arial" w:hAnsi="Arial"/>
          <w:sz w:val="18"/>
          <w:szCs w:val="18"/>
          <w:i w:val="1"/>
          <w:iCs w:val="1"/>
          <w:color w:val="auto"/>
        </w:rPr>
        <w:t>Qsymia</w:t>
      </w:r>
      <w:r>
        <w:rPr>
          <w:rFonts w:ascii="Arial" w:cs="Arial" w:eastAsia="Arial" w:hAnsi="Arial"/>
          <w:sz w:val="18"/>
          <w:szCs w:val="18"/>
          <w:color w:val="auto"/>
        </w:rPr>
        <w:t xml:space="preserve"> (phentermine and topiramate extended-release), </w:t>
      </w:r>
      <w:r>
        <w:rPr>
          <w:rFonts w:ascii="Arial" w:cs="Arial" w:eastAsia="Arial" w:hAnsi="Arial"/>
          <w:sz w:val="18"/>
          <w:szCs w:val="18"/>
          <w:i w:val="1"/>
          <w:iCs w:val="1"/>
          <w:color w:val="auto"/>
        </w:rPr>
        <w:t>Belviq</w:t>
      </w:r>
      <w:r>
        <w:rPr>
          <w:rFonts w:ascii="Arial" w:cs="Arial" w:eastAsia="Arial" w:hAnsi="Arial"/>
          <w:sz w:val="18"/>
          <w:szCs w:val="18"/>
          <w:color w:val="auto"/>
        </w:rPr>
        <w:t xml:space="preserve"> (lorcaserin HCL) 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Zafgen’s ZGN-1061 or ZGN-1258 (MetAP2) product candidates and various FGF21 ligands in development.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then our clinical programs or have already received regulatory approval.</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Thiazolidinediones (TZDs); Alpha-glucosidase inhibitors (AGIs); Dipeptidyl peptidase 4 (DPP4) inhibitors; Glucagon-like peptide-1 (GLP-1) analogues; SGLT2 inhibitors; and Insulins, including injectable and inhaled versions. Further competition could arise from products currently in development, including: 11 beta HSD (Incyte, Japan Tobacco, Roche); GPR40 (Connexios, Takeda); oral GLP-1 mimetics (Novo Nordisk); and MetAP2 (Zafgen). Some of these programs have been advanced further in clinical development than our product candidates and could receive approval before our product candidates are approved, if they are approved at all.</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jc w:val="both"/>
        <w:ind w:left="200" w:right="100" w:firstLine="551"/>
        <w:spacing w:after="0"/>
        <w:rPr>
          <w:sz w:val="20"/>
          <w:szCs w:val="20"/>
          <w:color w:val="auto"/>
        </w:rPr>
      </w:pPr>
      <w:r>
        <w:rPr>
          <w:rFonts w:ascii="Arial" w:cs="Arial" w:eastAsia="Arial" w:hAnsi="Arial"/>
          <w:sz w:val="18"/>
          <w:szCs w:val="18"/>
          <w:color w:val="auto"/>
        </w:rPr>
        <w:t>We currently use third-party manufacturers to manufacture clinical quantities of NGM282, NGM313, NGM386, NGM395, NGM217 and NGM120, and in the future for NGM621. As we advance our product candidates through clinical development and greater quantities of our biological molecules are required, we plan to continue to use third parties to manufacture our product candidates.</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collaborations that are approved for commercial sale, we must either develop a sales and marketing infrastructure or collaborate with third parties that have sales and marketing experience.</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w:t>
      </w:r>
    </w:p>
    <w:p>
      <w:pPr>
        <w:spacing w:after="0" w:line="203"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large sales and marketing force. In these cases, we might seek to promote our products in collaboration with marketing partners or rely on relationships with one or more companies with large established sales forces and distribution systems.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Licensing Arrangements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October 2014, we entered into a Multi-Product Licence Agreement, or the Lonza License, with Lonza Sales AG, or Lonza, under which we obtained from Lonza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w:t>
      </w:r>
    </w:p>
    <w:p>
      <w:pPr>
        <w:spacing w:after="0" w:line="203" w:lineRule="exact"/>
        <w:rPr>
          <w:sz w:val="20"/>
          <w:szCs w:val="20"/>
          <w:color w:val="auto"/>
        </w:rPr>
      </w:pPr>
    </w:p>
    <w:p>
      <w:pPr>
        <w:jc w:val="both"/>
        <w:ind w:left="200" w:firstLine="551"/>
        <w:spacing w:after="0" w:line="239" w:lineRule="auto"/>
        <w:rPr>
          <w:sz w:val="20"/>
          <w:szCs w:val="20"/>
          <w:color w:val="auto"/>
        </w:rPr>
      </w:pPr>
      <w:r>
        <w:rPr>
          <w:rFonts w:ascii="Arial" w:cs="Arial" w:eastAsia="Arial" w:hAnsi="Arial"/>
          <w:sz w:val="18"/>
          <w:szCs w:val="18"/>
          <w:color w:val="auto"/>
        </w:rPr>
        <w:t>We are also required to pay low single-digit royalties to Lonza based on net sales of the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if a party other than Lonza, we, our affiliates or our strategic partners (including Merck) manufactures the product for commercial activities.</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126"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As of August 1, 2018, we owned 24 issued U.S. patents and 30 pending U.S. patent applications (six of which are provisional applications) along with 25 issued patents and approximately 217 corresponding patent applications in foreign jurisdictions (six of which are Patent Cooperation Treaty, or PCT, applications), associated with the treatment of, cardio-metabolic, liver, ophthalmic and bile acid</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NGM282 Patent Portfolio</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NGM282 product candidate, and related compositions-of-matter and methods of use, are covered by fifteen U.S. patents, as well as issued patents in the following foreign countries: Australia, Japan, Malaysia, Mexico, New Zealand, Peru, and South Africa; and is disclosed and claimed in other applications that are pending in the United States and the following foreign countries and regions: Australia, Brazil, Canada, Chile, China, Egypt, the European Patent Office, or EPO, Hong Kong, India, Indonesia, Israel, Japan, Republic of Korea, Mexico, New Zealand, Philippines, Russian Federation, Singapore, South Africa, Ukraine, United Arab Emirates and Vietnam. The earliest expected expiration date for these patents and patent applications is June 2032, exclusive of possible patent term extensions or adjustments. Any changes we make to the NGM282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NGM282 is based, is crowded, and there can be no assurance that we would be able to secure patent protection that would adequately cover an alternative to our NGM282 molecule, including the half-life extended variant of FGF19 that we are developing.</w:t>
      </w: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NGM313 Patent Portfolio</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NGM313 product candidate, and related compositions-of-matter and methods of use, are covered by one issued U.S. patent and one issued Colombia patent; and is disclosed and claimed in other applications that are pending in the United States and the following foreign countries: Australia, Brazil, Canada, Chile, China, the EPO, Hong Kong, India, Indonesia, Israel, Japan, Republic of Korea, Malaysia, Mexico, New Zealand, Peru, Philippines, Russian Federation, Singapore, South Africa, Ukraine and Vietnam. The earliest expected expiration date for these patents and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we would be able to secure patent protection that would adequately cover an alternative to our NGM313 molecule.</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NGM386 Patent Portfolio</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NGM386 product candidate, and related compositions-of-matter and methods of use, are covered by one issued U.S. patent and one issued Lebanese patent; and is disclosed and claimed in other applications that are pending in the United States and the following foreign countries and regions: the African Regional Intellectual Property Organization, Algeria, Argentina, Australia, Barbados, Belize, Brunei Darussalam, Brazil, Canada, Chile, China, Colombia, Costa Rica, Dominican Republic, El Salvador, Ecuador, Egypt, the Eurasian Patent Office, the EPO, Georgia, Guatemala, Gulf Cooperation Council, Honduras, Hong Kong, India, Indonesia, Iran, Israel, Jamaica, Japan, Jordan, Republic of Korea, Malaysia, Mexico, Republic of Moldova, Mongolia, New Zealand, Nicaragua, Nigeria, Pakistan, Panama, Peru, Philippines, Singapore, Sri Lanka, South Africa, Taiwan R.O.C., Thailand, Trinidad and Tobago, Tunisia, Ukraine, Venezuela and Vietnam. The earliest expected expiration date for these patents and patent applications is July 2035, exclusive of possible patent term extensions or adjustments. Any changes we make to the NGM386 molecule to cause it to have what we view as more advantageous properties may not be covered by our existing patents and patent applications, and we may be required to file new applications and/or seek other forms of protection for any such</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altered molecule. The patent landscape surrounding GDF15, the naturally-occurring hormone upon which NGM386 is based, is crowded, and there can be no assurance that we would be able to secure patent protection that would adequately cover an alternative to our NGM386 molecule.</w:t>
      </w:r>
    </w:p>
    <w:p>
      <w:pPr>
        <w:spacing w:after="0" w:line="29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NGM395 Patent Portfolio</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NGM395 product candidate, and related compositions-of-matter and methods of use, are covered by one issued U.S. patent and one issued Lebanese patent; and is disclosed and claimed in other applications that are pending in the United States and the following foreign countries and regions: the African Regional Intellectual Property Organization, Algeria, Argentina, Australia, Barbados, Belize, Brazil, Brunei Darussalam, Canada, Chile, China, Colombia, Costa Rica, Dominican Republic, El Salvador, Ecuador, Egypt, the Eurasian Patent Office, the EPO, Georgia, Guatemala, Gulf Cooperation Council, Honduras, Hong Kong, India, Indonesia, Iran, Israel, Jamaica, Japan, Jordan, Republic of Korea, Malaysia, Republic of Moldova, Mongolia, Mexico, New Zealand, Nicaragua, Nigeria, Pakistan, Panama, Peru, Philippines, Singapore, Sri Lanka, South Africa, Taiwan R.O.C., Thailand, Trinidad and Tobago, Tunisia, Ukraine, Venezuela and Vietnam. The earliest expected expiration date for these patents and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we would be able to secure patent protection that would adequately cover an alternative to our NGM395 molecule.</w:t>
      </w:r>
    </w:p>
    <w:p>
      <w:pPr>
        <w:spacing w:after="0" w:line="29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NGM120 Patent Portfolio</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NGM120 product candidate. However, our NGM120 product candidate, and related compositions-of-matter and methods of use, are disclosed and claimed in pending United States, Taiwan and PCT applications. The earliest expected expiration date for any patents issuing from these patent applications is October 2037, exclusive of possible patent term extensions or adjustments. Any changes we make to the NGM120 molecule to cause it to have what we view as more advantageous properties may not be covered by our existing patent applications, and we may be required to file new applications and/or seek other forms of protection for any such altered molecule. The patent landscape surrounding antibodies to GFRAL is crowded, and there can be no assurance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NGM217 Patent Portfolio</w:t>
      </w:r>
    </w:p>
    <w:p>
      <w:pPr>
        <w:spacing w:after="0" w:line="12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The earliest expected expiration date for any patents issuing from these patent applications is August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NGM621 Patent Portfolio</w:t>
      </w:r>
    </w:p>
    <w:p>
      <w:pPr>
        <w:spacing w:after="0" w:line="122"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208"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our priority date with respect to our provisional patent applications and any patent protection on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 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following commercialization, thereby reducing the usefulness of the patent.</w:t>
      </w:r>
    </w:p>
    <w:p>
      <w:pPr>
        <w:spacing w:after="0" w:line="206" w:lineRule="exact"/>
        <w:rPr>
          <w:sz w:val="20"/>
          <w:szCs w:val="20"/>
          <w:color w:val="auto"/>
        </w:rPr>
      </w:pPr>
    </w:p>
    <w:p>
      <w:pPr>
        <w:ind w:left="200" w:right="920" w:firstLine="551"/>
        <w:spacing w:after="0" w:line="246"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agreements may be breached, and we may not have adequate remedies for any breach. In addition, our trade secrets may otherwise become known or be independently discovered by competitors. To the extent that our employees, consultants or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As of August 1, 2018, we had 156 employees. Approximately 128 employees are engaged in research and development, and the others are engaged in business development, finance and other administrative functions.</w:t>
      </w:r>
    </w:p>
    <w:p>
      <w:pPr>
        <w:spacing w:after="0" w:line="2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for our needs. We also believe we will be able to obtain additional space, as needed, on commercially reasonable terms.</w:t>
      </w:r>
    </w:p>
    <w:p>
      <w:pPr>
        <w:spacing w:after="0" w:line="28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20"/>
          </w:cols>
          <w:pgMar w:left="240" w:top="460" w:right="6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Directors and Executive Officers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September 13,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6680" w:type="dxa"/>
            <w:vAlign w:val="bottom"/>
            <w:gridSpan w:val="3"/>
          </w:tcPr>
          <w:p>
            <w:pPr>
              <w:ind w:left="74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William J. Rieflin</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Executive Chairman of the Board of Directors</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J. Woodhouse, Ph.D.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Chief Executive Officer, Acting Chief Financial Officer and 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Jin-Long Chen, Ph.D.</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Founder, Chief Scientific Officer and 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Aetna Wun Trombley, Ph.D.</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Non-Employee Directors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V. Goeddel, Ph.D.(1)</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Lead Independent 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Suzanne Sawochka Hooper(1)(2)</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Leschly(2)</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David Schnell, M.D.(3)</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w:t>
            </w:r>
          </w:p>
        </w:tc>
        <w:tc>
          <w:tcPr>
            <w:tcW w:w="66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Svennilson</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668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McHenry T. Tichenor, Jr.(2)(3)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68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9" w:lineRule="exact"/>
        <w:rPr>
          <w:sz w:val="20"/>
          <w:szCs w:val="20"/>
          <w:color w:val="auto"/>
        </w:rPr>
      </w:pPr>
    </w:p>
    <w:p>
      <w:pPr>
        <w:ind w:left="740" w:hanging="536"/>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740" w:hanging="536"/>
        <w:spacing w:after="0" w:line="234"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740" w:hanging="536"/>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8"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i w:val="1"/>
          <w:iCs w:val="1"/>
          <w:color w:val="auto"/>
        </w:rPr>
        <w:t xml:space="preserve">William J. Rieflin </w:t>
      </w:r>
      <w:r>
        <w:rPr>
          <w:rFonts w:ascii="Arial" w:cs="Arial" w:eastAsia="Arial" w:hAnsi="Arial"/>
          <w:sz w:val="18"/>
          <w:szCs w:val="18"/>
          <w:color w:val="auto"/>
        </w:rPr>
        <w:t>became executive chairman of our board of directors in September 2018, after having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FLX Bio, Inc. since 2015 and Kallyope Inc. since 2016. Mr. Rieflin received a B.S. from Cornell University, an M.B.A. from the University of Chicago Graduate School of Business and a J.D. from Stanford Law School. We believe that Mr. Rieflin’s extensive experience with us, which is a consequence of his tenure as Chief Executive Officer, brings necessary historic knowledge and continuity to our board of directors. In addition, we believe his experiences prior to joining us provided him with operational and industry expertise that are important to our board of directors.</w:t>
      </w:r>
    </w:p>
    <w:p>
      <w:pPr>
        <w:spacing w:after="0" w:line="189"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i w:val="1"/>
          <w:iCs w:val="1"/>
          <w:color w:val="auto"/>
        </w:rPr>
        <w:t xml:space="preserve">David J. Woodhouse, Ph.D. </w:t>
      </w:r>
      <w:r>
        <w:rPr>
          <w:rFonts w:ascii="Arial" w:cs="Arial" w:eastAsia="Arial" w:hAnsi="Arial"/>
          <w:sz w:val="18"/>
          <w:szCs w:val="18"/>
          <w:color w:val="auto"/>
        </w:rPr>
        <w:t>became our Chief Executive Officer, Acting Chief Financial Officer and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 Tuck School of Business at Dartmouth and a Ph.D. in molecular pharmacology from Stanford University School of Medicine. We believe Dr. Woodhouse’s experience with us, as well as his financial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179"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i w:val="1"/>
          <w:iCs w:val="1"/>
          <w:color w:val="auto"/>
        </w:rPr>
        <w:t>Jin-Long Chen, Ph.D.</w:t>
      </w:r>
      <w:r>
        <w:rPr>
          <w:rFonts w:ascii="Arial" w:cs="Arial" w:eastAsia="Arial" w:hAnsi="Arial"/>
          <w:sz w:val="18"/>
          <w:szCs w:val="18"/>
          <w:color w:val="auto"/>
        </w:rPr>
        <w:t>,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us,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85"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Aetna Wun Trombley, Ph.D.</w:t>
      </w:r>
      <w:r>
        <w:rPr>
          <w:rFonts w:ascii="Arial" w:cs="Arial" w:eastAsia="Arial" w:hAnsi="Arial"/>
          <w:sz w:val="18"/>
          <w:szCs w:val="18"/>
          <w:color w:val="auto"/>
        </w:rPr>
        <w:t>, became our President in September 2018 and has served as our Chief Operating Officer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2015. Prior to that, Dr. Trombley was our Vice President and Executive Director, Business Development between September 2011 and June 2015. She was most recently at Novartis in Basel, Switzerland, where she was Chief of Staff for the Chief Executive Officer and worked on key corporate initiatives and strategic projects across the company’s healthcare businesses. Earlier in her career, Dr. Trombley worked at XenoPort, Inc., and at McKinsey &amp; Company, where she advised pharmaceutical and medical device clients on strategic, commercial and operational issues. Dr. Trombley has served as a director of Carmot Therapeutics, Inc. since 2016. She received a B.S. in Chemistry from the University of California, San Diego and a Ph.D. in Chemistry from MIT.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108"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became lead independent director of our board of directors in September 2018, after having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January 2008 and served as our Chief Executive Officer from 2008 to 2010. Dr. Goeddel has been a Managing Partner of The Column Group, or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 traded and privately held life science companies and experience in founding and serving as President and Chief Executive Officer of a public biopharmaceutical company give him the qualifications, skills and financial expertise to serve on our board of directors.</w:t>
      </w:r>
    </w:p>
    <w:p>
      <w:pPr>
        <w:spacing w:after="0" w:line="187"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i w:val="1"/>
          <w:iCs w:val="1"/>
          <w:color w:val="auto"/>
        </w:rPr>
        <w:t xml:space="preserve">Suzanne Sawochka Hooper </w:t>
      </w:r>
      <w:r>
        <w:rPr>
          <w:rFonts w:ascii="Arial" w:cs="Arial" w:eastAsia="Arial" w:hAnsi="Arial"/>
          <w:sz w:val="18"/>
          <w:szCs w:val="18"/>
          <w:color w:val="auto"/>
        </w:rPr>
        <w:t>has served as a member of our board of directors since August 2018. Since March 2012, Ms. Hooper</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the Executive Vice President and General Counsel of Jazz Pharmaceuticals plc. From 1999 until February 2012, she was a partner in the law firm Cooley LLP. Ms. Hooper received a J.D. from the University of California, Berkeley, Boalt Hall School of Law and a B.A. in Political Science from the University of California, Santa Barbara. Ms. Hooper is a member of the State Bar of California. We believe Ms. Hooper’s legal and operational background and executive experience make her qualified to serve on our board of directors. In addition, Ms. Hooper’s experience as the executive vice president of a publicly traded pharmaceutical company provided her with operational expertise that is important to our board of directors.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551"/>
        <w:spacing w:after="0" w:line="255" w:lineRule="auto"/>
        <w:rPr>
          <w:sz w:val="20"/>
          <w:szCs w:val="20"/>
          <w:color w:val="auto"/>
        </w:rPr>
      </w:pPr>
      <w:r>
        <w:rPr>
          <w:rFonts w:ascii="Arial" w:cs="Arial" w:eastAsia="Arial" w:hAnsi="Arial"/>
          <w:sz w:val="17"/>
          <w:szCs w:val="17"/>
          <w:i w:val="1"/>
          <w:iCs w:val="1"/>
          <w:color w:val="auto"/>
        </w:rPr>
        <w:t xml:space="preserve">Mark Leschly </w:t>
      </w:r>
      <w:r>
        <w:rPr>
          <w:rFonts w:ascii="Arial" w:cs="Arial" w:eastAsia="Arial" w:hAnsi="Arial"/>
          <w:sz w:val="17"/>
          <w:szCs w:val="17"/>
          <w:color w:val="auto"/>
        </w:rPr>
        <w:t>has served as a member of our board of directors since January 2008. Since 2017, Mr. Leschly has been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CEO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several public company boards has given him experience in corporate governance matters, which is valuable in his position as a director.</w:t>
      </w:r>
    </w:p>
    <w:p>
      <w:pPr>
        <w:spacing w:after="0" w:line="175"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189" w:lineRule="exact"/>
        <w:rPr>
          <w:sz w:val="20"/>
          <w:szCs w:val="20"/>
          <w:color w:val="auto"/>
        </w:rPr>
      </w:pPr>
    </w:p>
    <w:p>
      <w:pPr>
        <w:ind w:left="200" w:right="120" w:firstLine="551"/>
        <w:spacing w:after="0" w:line="254" w:lineRule="auto"/>
        <w:rPr>
          <w:sz w:val="20"/>
          <w:szCs w:val="20"/>
          <w:color w:val="auto"/>
        </w:rPr>
      </w:pPr>
      <w:r>
        <w:rPr>
          <w:rFonts w:ascii="Arial" w:cs="Arial" w:eastAsia="Arial" w:hAnsi="Arial"/>
          <w:sz w:val="17"/>
          <w:szCs w:val="17"/>
          <w:i w:val="1"/>
          <w:iCs w:val="1"/>
          <w:color w:val="auto"/>
        </w:rPr>
        <w:t xml:space="preserve">Peter Svennilson </w:t>
      </w:r>
      <w:r>
        <w:rPr>
          <w:rFonts w:ascii="Arial" w:cs="Arial" w:eastAsia="Arial" w:hAnsi="Arial"/>
          <w:sz w:val="17"/>
          <w:szCs w:val="17"/>
          <w:color w:val="auto"/>
        </w:rPr>
        <w:t>has served as a member of our board of directors since January 2008. He founded and has been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of TCG since 2007. He also currently serves on the boards of Immune Design Corp., Constellation Pharmaceuticals, Inc., Gritstone Oncology, Inc., ORIC Pharmaceuticals, Inc. and Ribon Therapeutics, Inc. He was the Chairman of Aragon Pharmaceuticals before it was sold to Johnson &amp; Johnson in 2013 and was the Chairman of Seragon Pharmaceuticals, Inc. until it was sold to Genentech, Inc./F. Hoffman-La Roche AG in 2014. Mr. Svennilson was also a former director of PTC Therapeutics, Inc. Prior to TCG, he founded Three Crowns Capital and was a Managing Partner from 1996 to 2007. Prior to Three Crowns Capital, he was an Associate Managing Director at Nomura Securities from 1987 to 1993. Mr. Svennilson is currently a trustee for The Institute for Advanced Study in Princeton, New Jersey. Mr. Svennilson received an M.B.A. from the Stockholm School of Economics and Finance. We believe that Mr. Svennilson’s experience in venture capital and in fund raising for life sciences companies makes him qualified to serve on our board of directors.</w:t>
      </w:r>
    </w:p>
    <w:p>
      <w:pPr>
        <w:spacing w:after="0" w:line="177"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i w:val="1"/>
          <w:iCs w:val="1"/>
          <w:color w:val="auto"/>
        </w:rPr>
        <w:t xml:space="preserve">McHenry T. Tichenor, Jr. </w:t>
      </w:r>
      <w:r>
        <w:rPr>
          <w:rFonts w:ascii="Arial" w:cs="Arial" w:eastAsia="Arial" w:hAnsi="Arial"/>
          <w:sz w:val="18"/>
          <w:szCs w:val="18"/>
          <w:color w:val="auto"/>
        </w:rPr>
        <w:t>has served as a member of our board of directors since March 2010. He has also served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Tichenor Ventures, LLC since January 2010 and held a board observer role at Peloton Therapeutics, Inc. since October 2012.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the Executive Director of WWWW Foundation, Inc., a non-profit organization devoted, in part, to cancer research. From 2010 to 2018, Mr. Tichenor served as Board Chairman of the Sarcoma Alliance for Research through Collaboration, a non-profit sponsor of clinical trials for the prevention, treatment and cure of sarcomas. Mr. Tichenor earned a B.A. with Honors in Plan II and an M.B.A. from The University of Texas at Austin, and an M.S. in biotechnology from The University of Texas at Dallas. We believe Mr. Tichenor’s financial and scientific background, venture and executive experience, and multiple directorships make him qualified to serve on our board of directors. In addition, Mr. Tichenor’s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experience as the chief executive officer of a publicly traded company provided him with operational expertise that is important to our board of directors.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34" w:lineRule="exact"/>
        <w:rPr>
          <w:sz w:val="20"/>
          <w:szCs w:val="20"/>
          <w:color w:val="auto"/>
        </w:rPr>
      </w:pPr>
    </w:p>
    <w:p>
      <w:pPr>
        <w:jc w:val="both"/>
        <w:ind w:left="200" w:right="20" w:firstLine="551"/>
        <w:spacing w:after="0"/>
        <w:rPr>
          <w:sz w:val="20"/>
          <w:szCs w:val="20"/>
          <w:color w:val="auto"/>
        </w:rPr>
      </w:pPr>
      <w:r>
        <w:rPr>
          <w:rFonts w:ascii="Arial" w:cs="Arial" w:eastAsia="Arial" w:hAnsi="Arial"/>
          <w:sz w:val="18"/>
          <w:szCs w:val="18"/>
          <w:color w:val="auto"/>
        </w:rPr>
        <w:t>Our amended and restated bylaws provide that the size of our board of directors will be determined from time to time by resolution of our board of directors. Our board of directors currently consists of nine directors, six of whom qualify as independent directors under the rules and regulations of the Securities and Exchange Commission, or SEC, and Nasdaq Stock Market, LLC, or Nasdaq.</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3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for a classified board of directors consisting of three classes of directors. We will have three directors in each of Class I and Class II and two directors in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04"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Class I directors will be Mark Leschly, William J. Rieflin and Peter Svennilson, and their terms will expire at the annual meeting of</w:t>
      </w:r>
    </w:p>
    <w:p>
      <w:pPr>
        <w:ind w:left="960"/>
        <w:spacing w:after="0"/>
        <w:tabs>
          <w:tab w:leader="none" w:pos="3640" w:val="left"/>
        </w:tabs>
        <w:rPr>
          <w:sz w:val="20"/>
          <w:szCs w:val="20"/>
          <w:color w:val="auto"/>
        </w:rPr>
      </w:pPr>
      <w:r>
        <w:rPr>
          <w:rFonts w:ascii="Arial" w:cs="Arial" w:eastAsia="Arial" w:hAnsi="Arial"/>
          <w:sz w:val="18"/>
          <w:szCs w:val="18"/>
          <w:color w:val="auto"/>
        </w:rPr>
        <w:t>stockholders to be held in</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Class II directors will be Jin-Long Chen, David Schnell, M.D. and McHenry T. Tichenor, Jr., and their terms will expire at the</w:t>
      </w:r>
    </w:p>
    <w:p>
      <w:pPr>
        <w:ind w:left="960"/>
        <w:spacing w:after="0"/>
        <w:tabs>
          <w:tab w:leader="none" w:pos="5120" w:val="left"/>
        </w:tabs>
        <w:rPr>
          <w:sz w:val="20"/>
          <w:szCs w:val="20"/>
          <w:color w:val="auto"/>
        </w:rPr>
      </w:pPr>
      <w:r>
        <w:rPr>
          <w:rFonts w:ascii="Arial" w:cs="Arial" w:eastAsia="Arial" w:hAnsi="Arial"/>
          <w:sz w:val="18"/>
          <w:szCs w:val="18"/>
          <w:color w:val="auto"/>
        </w:rPr>
        <w:t>annual meeting of stockholders to be held in</w:t>
      </w:r>
      <w:r>
        <w:rPr>
          <w:sz w:val="20"/>
          <w:szCs w:val="20"/>
          <w:color w:val="auto"/>
        </w:rPr>
        <w:tab/>
      </w:r>
      <w:r>
        <w:rPr>
          <w:rFonts w:ascii="Arial" w:cs="Arial" w:eastAsia="Arial" w:hAnsi="Arial"/>
          <w:sz w:val="17"/>
          <w:szCs w:val="17"/>
          <w:color w:val="auto"/>
        </w:rPr>
        <w:t>; and</w:t>
      </w:r>
    </w:p>
    <w:p>
      <w:pPr>
        <w:spacing w:after="0" w:line="117" w:lineRule="exact"/>
        <w:rPr>
          <w:sz w:val="20"/>
          <w:szCs w:val="20"/>
          <w:color w:val="auto"/>
        </w:rPr>
      </w:pPr>
    </w:p>
    <w:p>
      <w:pPr>
        <w:ind w:left="960" w:right="60" w:hanging="219"/>
        <w:spacing w:after="0" w:line="246" w:lineRule="auto"/>
        <w:tabs>
          <w:tab w:leader="none" w:pos="940" w:val="left"/>
        </w:tabs>
        <w:rPr>
          <w:sz w:val="20"/>
          <w:szCs w:val="20"/>
          <w:color w:val="auto"/>
        </w:rPr>
      </w:pPr>
      <w:r>
        <w:rPr>
          <w:rFonts w:ascii="Arial" w:cs="Arial" w:eastAsia="Arial" w:hAnsi="Arial"/>
          <w:sz w:val="18"/>
          <w:szCs w:val="18"/>
          <w:color w:val="auto"/>
        </w:rPr>
        <w:t>•</w:t>
        <w:tab/>
        <w:t>Class III directors will be David V. Goeddel, Ph.D., Suzanne Sawochka Hooper and David J. Woodhouse, Ph.D., and their terms will expire at the annual meeting of stockholders to be held in .</w:t>
      </w:r>
    </w:p>
    <w:p>
      <w:pPr>
        <w:spacing w:after="0" w:line="19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234"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Upon the completion of this offering, we anticipate that our common stock will be listed on the Nasdaq Global Market. Rule 5605 of the Nasdaq Marketplace Rules, or the Nasdaq Listing Rules, requires that independent directors compose a majority of a listed company’s board of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Nasdaq Listing</w:t>
      </w:r>
    </w:p>
    <w:p>
      <w:pPr>
        <w:spacing w:after="0" w:line="4" w:lineRule="exact"/>
        <w:rPr>
          <w:sz w:val="20"/>
          <w:szCs w:val="20"/>
          <w:color w:val="auto"/>
        </w:rPr>
      </w:pPr>
    </w:p>
    <w:p>
      <w:pPr>
        <w:ind w:left="200" w:right="60"/>
        <w:spacing w:after="0" w:line="248" w:lineRule="auto"/>
        <w:rPr>
          <w:sz w:val="20"/>
          <w:szCs w:val="20"/>
          <w:color w:val="auto"/>
        </w:rPr>
      </w:pPr>
      <w:r>
        <w:rPr>
          <w:rFonts w:ascii="Arial" w:cs="Arial" w:eastAsia="Arial" w:hAnsi="Arial"/>
          <w:sz w:val="17"/>
          <w:szCs w:val="17"/>
          <w:color w:val="auto"/>
        </w:rPr>
        <w:t>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w:t>
      </w:r>
    </w:p>
    <w:p>
      <w:pPr>
        <w:ind w:left="480" w:hanging="276"/>
        <w:spacing w:after="0" w:line="237"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accept, directly or indirectly, any consulting, advisory or other compensatory fee from the listed company or any of its subsidiaries; or</w:t>
      </w:r>
    </w:p>
    <w:p>
      <w:pPr>
        <w:ind w:left="200" w:right="360" w:firstLine="4"/>
        <w:spacing w:after="0" w:line="246" w:lineRule="auto"/>
        <w:tabs>
          <w:tab w:leader="none" w:pos="4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 an affiliated person of the listed company or any of its subsidiaries. In addition to satisfying general independence requirements under the Nasdaq Listing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Person Transactions,” our board of directors determined that none of Drs. Goeddel and Schnell, Messrs. Leschly, Svennilson and Tichenor and Ms. Hooper, representing six of our nine directors, has a relationship that would interfere with the exercise of independent judgment in carrying out the responsibilities of a director and that each of these directors is “independent” as that term is defined under Rule 5605(a)(2) of the Nasdaq Listing Rules. Dr. Woodhouse is not considered independent because he currently serves as our Chief Executive Officer. Mr. Rieflin is not considered independent because he served as our Chief Executive Officer within the past three years. Dr. Chen is not considered independent because he currently serves as our Chief Scientific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The positions of our executive chairman of the board and chief executive officer are currently separated. Separating these positions allows our chief executive officer to focus on our day-to-day business, while allowing the chairman of the board to lead our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w:t>
      </w:r>
    </w:p>
    <w:p>
      <w:pPr>
        <w:spacing w:after="0" w:line="203" w:lineRule="exact"/>
        <w:rPr>
          <w:sz w:val="20"/>
          <w:szCs w:val="20"/>
          <w:color w:val="auto"/>
        </w:rPr>
      </w:pPr>
    </w:p>
    <w:p>
      <w:pPr>
        <w:ind w:left="200" w:right="180" w:firstLine="551"/>
        <w:spacing w:after="0" w:line="237" w:lineRule="auto"/>
        <w:rPr>
          <w:sz w:val="20"/>
          <w:szCs w:val="20"/>
          <w:color w:val="auto"/>
        </w:rPr>
      </w:pPr>
      <w:r>
        <w:rPr>
          <w:rFonts w:ascii="Arial" w:cs="Arial" w:eastAsia="Arial" w:hAnsi="Arial"/>
          <w:sz w:val="18"/>
          <w:szCs w:val="18"/>
          <w:color w:val="auto"/>
        </w:rPr>
        <w:t>Although our amended and restated bylaws that will be in effect upon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of the board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Our corporate governance guidelines to be in effect following this offering will provide that in the event that the chairman of the board of directors is not an independent director, our board may designate one of the independent directors to serve as lead independent director. Our board of directors has appointed Dr. Goeddel to serve as our lead independent director. As lead independent director, Dr. Goeddel, with the executive chairman, establishes the agenda for regular board meetings, presides over periodic meetings of our independent directors, serves as a liaison among our chief executive officer, our executive chairman and the independent directors and performs such additional duties as our board of directors or executive chairman may otherwise determine or delegate.</w:t>
      </w:r>
    </w:p>
    <w:p>
      <w:pPr>
        <w:spacing w:after="0" w:line="20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anticipate that our independent directors will meet alone in executive session at no less than four regular meetings of our board of directors each year. The chairman of our board may call additional executive sessions of the independent directors at any time, and the chairman of our board shall call an executive session at the request of a majority of the independent directors. The purpose of these executive sessions is to promote open and candid discussion among non-employee directors.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26"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We face a number of risks, including those described under the section titled “Risk Factors” included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audit committee, as part of its responsibilities, oversees the management of financial risks, including accounting matters, liquidity and credit risks, corporate tax positions, insurance coverage and cash investment strategy and results. The audit committee is also responsible for overseeing the management of risks relating to the performance of our internal audit function, if required, and our independent registered public accounting firm, as well as our system of internal control and disclosure controls and procedures. The compensation committee is responsible for overseeing the management of risks relating to our executive compensation and overall compensation and benefit strategies, plans, arrangements, practices and policies. The nominating and corporate governance committee oversees the management of risks associated with our overall compliance and corporate governance practices and the independence and composition of our board of directors. These committees provide regular reports, on at least a quarterly basis, to the full board of directors.</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Committees of the Board</w:t>
      </w:r>
    </w:p>
    <w:p>
      <w:pPr>
        <w:spacing w:after="0" w:line="234"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financial statements, the qualifications and independence of our independent registered public accounting firm and our internal financial and accounting controls. The audit committee has direct responsibility for the appointment, compensation, retention (including termination) and oversight of our independent registered public accounting firm, and our independent registered public accounting firm reports directly to the audit committee. The audit committee also prepares the audit committee report that the SEC requires to be included in our annual proxy statement.</w:t>
      </w:r>
    </w:p>
    <w:p>
      <w:pPr>
        <w:spacing w:after="0" w:line="205"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members of the audit committee are Messrs. Leschly and Tichenor and Ms. Hooper, and Mr. Tichenor serves as chair of the audit committee. All members of the audit committee qualify as an independent director under the corporate governance standards of the Nasdaq Listing Rules and the independence requirements of Rule 10A-3 of the Exchange Act. Our board of directors has determined that Mr. Tichenor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200" w:right="400" w:firstLine="551"/>
        <w:spacing w:after="0"/>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20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members of the compensation committee are Dr. Schnell and Mr. Tichenor, and Dr. Schnell serves as chair of the compensation committee. Each member of the compensation committee is a non-employee director within the meaning of Rule 16b-3 of the rules promulgated under the Exchange Act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200" w:right="340" w:firstLine="551"/>
        <w:spacing w:after="0" w:line="23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members of the nominating and corporate governance committee are Dr. Goeddel and Ms. Hooper, and Dr. Goeddel serves as chair of the nominating and corporate governance committee. Each member of the nominating and corporate governance committee is a non-employee director within the meaning of Rule 16b-3 of the rules promulgated under the Exchange Act and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None of the members of our compensation committee have ever been officers or employees of the company. None of our executive officers serves, or has served during the last three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The following table provides information regarding the compensation of our principal executive officer and each of our two other most highly compensated executive officers during the fiscal year ended December 31, 2017. Throughout this prospectus we refer to these executive officers as our named executive officers.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40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4840" w:type="dxa"/>
            <w:vAlign w:val="bottom"/>
            <w:gridSpan w:val="3"/>
            <w:vMerge w:val="continue"/>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420" w:type="dxa"/>
            <w:vAlign w:val="bottom"/>
          </w:tcPr>
          <w:p>
            <w:pPr>
              <w:spacing w:after="0"/>
              <w:rPr>
                <w:sz w:val="15"/>
                <w:szCs w:val="15"/>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8"/>
                <w:szCs w:val="18"/>
                <w:color w:val="auto"/>
              </w:rPr>
              <w:t>William J. Rieflin</w:t>
            </w:r>
          </w:p>
        </w:tc>
        <w:tc>
          <w:tcPr>
            <w:tcW w:w="28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545,000</w:t>
            </w:r>
          </w:p>
        </w:tc>
        <w:tc>
          <w:tcPr>
            <w:tcW w:w="4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1,199,498</w:t>
            </w:r>
          </w:p>
        </w:tc>
        <w:tc>
          <w:tcPr>
            <w:tcW w:w="4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65,400</w:t>
            </w:r>
          </w:p>
        </w:tc>
        <w:tc>
          <w:tcPr>
            <w:tcW w:w="4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1,809,898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Chief Executive Officer</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20" w:type="dxa"/>
            <w:vAlign w:val="bottom"/>
            <w:gridSpan w:val="2"/>
          </w:tcPr>
          <w:p>
            <w:pPr>
              <w:spacing w:after="0" w:line="184" w:lineRule="exact"/>
              <w:rPr>
                <w:sz w:val="20"/>
                <w:szCs w:val="20"/>
                <w:color w:val="auto"/>
              </w:rPr>
            </w:pPr>
            <w:r>
              <w:rPr>
                <w:rFonts w:ascii="Arial" w:cs="Arial" w:eastAsia="Arial" w:hAnsi="Arial"/>
                <w:sz w:val="18"/>
                <w:szCs w:val="18"/>
                <w:color w:val="auto"/>
              </w:rPr>
              <w:t>Jin-Long Chen, Ph.D.</w:t>
            </w:r>
          </w:p>
        </w:tc>
        <w:tc>
          <w:tcPr>
            <w:tcW w:w="700" w:type="dxa"/>
            <w:vAlign w:val="bottom"/>
          </w:tcPr>
          <w:p>
            <w:pPr>
              <w:jc w:val="right"/>
              <w:spacing w:after="0" w:line="184" w:lineRule="exact"/>
              <w:rPr>
                <w:sz w:val="20"/>
                <w:szCs w:val="20"/>
                <w:color w:val="auto"/>
              </w:rPr>
            </w:pPr>
            <w:r>
              <w:rPr>
                <w:rFonts w:ascii="Arial" w:cs="Arial" w:eastAsia="Arial" w:hAnsi="Arial"/>
                <w:sz w:val="18"/>
                <w:szCs w:val="18"/>
                <w:color w:val="auto"/>
              </w:rPr>
              <w:t>460,000</w:t>
            </w:r>
          </w:p>
        </w:tc>
        <w:tc>
          <w:tcPr>
            <w:tcW w:w="420" w:type="dxa"/>
            <w:vAlign w:val="bottom"/>
          </w:tcPr>
          <w:p>
            <w:pPr>
              <w:spacing w:after="0"/>
              <w:rPr>
                <w:sz w:val="15"/>
                <w:szCs w:val="15"/>
                <w:color w:val="auto"/>
              </w:rPr>
            </w:pPr>
          </w:p>
        </w:tc>
        <w:tc>
          <w:tcPr>
            <w:tcW w:w="880" w:type="dxa"/>
            <w:vAlign w:val="bottom"/>
          </w:tcPr>
          <w:p>
            <w:pPr>
              <w:jc w:val="right"/>
              <w:spacing w:after="0" w:line="184" w:lineRule="exact"/>
              <w:rPr>
                <w:sz w:val="20"/>
                <w:szCs w:val="20"/>
                <w:color w:val="auto"/>
              </w:rPr>
            </w:pPr>
            <w:r>
              <w:rPr>
                <w:rFonts w:ascii="Arial" w:cs="Arial" w:eastAsia="Arial" w:hAnsi="Arial"/>
                <w:sz w:val="18"/>
                <w:szCs w:val="18"/>
                <w:color w:val="auto"/>
              </w:rPr>
              <w:t>1,136,366</w:t>
            </w:r>
          </w:p>
        </w:tc>
        <w:tc>
          <w:tcPr>
            <w:tcW w:w="14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55,200</w:t>
            </w:r>
          </w:p>
        </w:tc>
        <w:tc>
          <w:tcPr>
            <w:tcW w:w="420" w:type="dxa"/>
            <w:vAlign w:val="bottom"/>
          </w:tcPr>
          <w:p>
            <w:pPr>
              <w:spacing w:after="0"/>
              <w:rPr>
                <w:sz w:val="15"/>
                <w:szCs w:val="15"/>
                <w:color w:val="auto"/>
              </w:rPr>
            </w:pPr>
          </w:p>
        </w:tc>
        <w:tc>
          <w:tcPr>
            <w:tcW w:w="1020" w:type="dxa"/>
            <w:vAlign w:val="bottom"/>
          </w:tcPr>
          <w:p>
            <w:pPr>
              <w:jc w:val="right"/>
              <w:spacing w:after="0" w:line="184" w:lineRule="exact"/>
              <w:rPr>
                <w:sz w:val="20"/>
                <w:szCs w:val="20"/>
                <w:color w:val="auto"/>
              </w:rPr>
            </w:pPr>
            <w:r>
              <w:rPr>
                <w:rFonts w:ascii="Arial" w:cs="Arial" w:eastAsia="Arial" w:hAnsi="Arial"/>
                <w:sz w:val="18"/>
                <w:szCs w:val="18"/>
                <w:color w:val="auto"/>
              </w:rPr>
              <w:t>750</w:t>
            </w:r>
          </w:p>
        </w:tc>
        <w:tc>
          <w:tcPr>
            <w:tcW w:w="420" w:type="dxa"/>
            <w:vAlign w:val="bottom"/>
          </w:tcPr>
          <w:p>
            <w:pPr>
              <w:spacing w:after="0"/>
              <w:rPr>
                <w:sz w:val="15"/>
                <w:szCs w:val="15"/>
                <w:color w:val="auto"/>
              </w:rPr>
            </w:pPr>
          </w:p>
        </w:tc>
        <w:tc>
          <w:tcPr>
            <w:tcW w:w="860" w:type="dxa"/>
            <w:vAlign w:val="bottom"/>
          </w:tcPr>
          <w:p>
            <w:pPr>
              <w:jc w:val="right"/>
              <w:spacing w:after="0" w:line="184" w:lineRule="exact"/>
              <w:rPr>
                <w:sz w:val="20"/>
                <w:szCs w:val="20"/>
                <w:color w:val="auto"/>
              </w:rPr>
            </w:pPr>
            <w:r>
              <w:rPr>
                <w:rFonts w:ascii="Arial" w:cs="Arial" w:eastAsia="Arial" w:hAnsi="Arial"/>
                <w:sz w:val="18"/>
                <w:szCs w:val="18"/>
                <w:color w:val="auto"/>
              </w:rPr>
              <w:t>1,652,316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40" w:type="dxa"/>
            <w:vAlign w:val="bottom"/>
            <w:gridSpan w:val="3"/>
          </w:tcPr>
          <w:p>
            <w:pPr>
              <w:spacing w:after="0"/>
              <w:rPr>
                <w:sz w:val="20"/>
                <w:szCs w:val="20"/>
                <w:color w:val="auto"/>
              </w:rPr>
            </w:pPr>
            <w:r>
              <w:rPr>
                <w:rFonts w:ascii="Arial" w:cs="Arial" w:eastAsia="Arial" w:hAnsi="Arial"/>
                <w:sz w:val="18"/>
                <w:szCs w:val="18"/>
                <w:i w:val="1"/>
                <w:iCs w:val="1"/>
                <w:color w:val="auto"/>
              </w:rPr>
              <w:t>Founder and Chief Scientific Officer</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2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Jeffrey D. Jonker</w:t>
            </w:r>
          </w:p>
        </w:tc>
        <w:tc>
          <w:tcPr>
            <w:tcW w:w="70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405,000</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694,446</w:t>
            </w:r>
          </w:p>
        </w:tc>
        <w:tc>
          <w:tcPr>
            <w:tcW w:w="1420" w:type="dxa"/>
            <w:vAlign w:val="bottom"/>
            <w:gridSpan w:val="2"/>
            <w:shd w:val="clear" w:color="auto" w:fill="CCEEFF"/>
          </w:tcPr>
          <w:p>
            <w:pPr>
              <w:jc w:val="right"/>
              <w:spacing w:after="0" w:line="184" w:lineRule="exact"/>
              <w:rPr>
                <w:sz w:val="20"/>
                <w:szCs w:val="20"/>
                <w:color w:val="auto"/>
              </w:rPr>
            </w:pPr>
            <w:r>
              <w:rPr>
                <w:rFonts w:ascii="Arial" w:cs="Arial" w:eastAsia="Arial" w:hAnsi="Arial"/>
                <w:sz w:val="18"/>
                <w:szCs w:val="18"/>
                <w:color w:val="auto"/>
              </w:rPr>
              <w:t>48,600</w:t>
            </w: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1,148,796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Former President</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740" w:right="120" w:hanging="536"/>
        <w:spacing w:after="0" w:line="234"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reflect the grant date fair value of option awards granted in 2017 measured pursuant to Financial Accounting Standard Board Accounting Standard Codification, Topic 718. For information regarding assumptions underlying the value of equity awards, see Note 2 to our consolidated financial statements and the discussion under “Management’s Discussion and Analysis of Financial Condition and Results of Operations—Critical Accounting Policies and Estimates—Stock-Based Compensation,” included elsewhere in this prospectus. These amounts do not reflect actual value that the named executive officers may realize.</w:t>
      </w:r>
    </w:p>
    <w:p>
      <w:pPr>
        <w:spacing w:after="0" w:line="3" w:lineRule="exact"/>
        <w:rPr>
          <w:rFonts w:ascii="Arial" w:cs="Arial" w:eastAsia="Arial" w:hAnsi="Arial"/>
          <w:sz w:val="18"/>
          <w:szCs w:val="18"/>
          <w:color w:val="auto"/>
        </w:rPr>
      </w:pPr>
    </w:p>
    <w:p>
      <w:pPr>
        <w:ind w:left="740" w:right="80" w:hanging="536"/>
        <w:spacing w:after="0" w:line="234"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represent the annual performance-based cash bonuses earned by our named executive officers based on the achievement of certain corporate performance objectives and individual performance during 2017. These amounts were paid to the named executive officers in early 2018. Please see the descriptions of the annual performance bonuses paid to our named executive officers under “2017 Performance Bonuses” below.</w:t>
      </w:r>
    </w:p>
    <w:p>
      <w:pPr>
        <w:spacing w:after="0" w:line="3" w:lineRule="exact"/>
        <w:rPr>
          <w:rFonts w:ascii="Arial" w:cs="Arial" w:eastAsia="Arial" w:hAnsi="Arial"/>
          <w:sz w:val="18"/>
          <w:szCs w:val="18"/>
          <w:color w:val="auto"/>
        </w:rPr>
      </w:pPr>
    </w:p>
    <w:p>
      <w:pPr>
        <w:ind w:left="740" w:right="40" w:hanging="536"/>
        <w:spacing w:after="0"/>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“—401(k) Plan and Matching Plan.”</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Performance Bonuses</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2017. Each of our named executive officers’ target bonus is expressed as a percentage of base salary that can be achieved by meeting corporate goals at target level. The 2017 annual bonuses for each of our named executive officers were targeted at 12% of their respective base salaries. The target bonuses of each of our named executive officers remained unchanged from their respective levels in 2016. Pursuant to the bonus program, we expect the same target bonuses for each of these officers in 2018 as in 2017.</w:t>
      </w:r>
    </w:p>
    <w:p>
      <w:pPr>
        <w:spacing w:after="0" w:line="203"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For 2017, our named executive officers were eligible to earn annual cash bonuses based on the achievement of certain corporate performance objectives approved by the compensation committee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rPr>
          <w:sz w:val="20"/>
          <w:szCs w:val="20"/>
          <w:color w:val="auto"/>
        </w:rPr>
      </w:pPr>
      <w:r>
        <w:rPr>
          <w:rFonts w:ascii="Arial" w:cs="Arial" w:eastAsia="Arial" w:hAnsi="Arial"/>
          <w:sz w:val="18"/>
          <w:szCs w:val="18"/>
          <w:color w:val="auto"/>
        </w:rPr>
        <w:t>and our board of directors, as well as individual performance. For 2017, our board of directors set corporate performance goals in the three broad strategic areas of advancing therapeutic programs through development, discovering new molecules through an active research program and building capability. Each area included specific performance objectives.</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In early 2018, the compensation committee reviewed and approved the achievement of our 2017 corporate goals and determined that the corporate goals were met. Based on this level of corporate achievement, the bonus pool for the company was fully funded.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Each of our named executive officers currently hold options or restricted stock. In 2017, Dr. Chen and Messrs. Jonker and Rieflin were granted options to purchase our common stock, in each case, pursuant to our 2008 Equity Incentive Plan.</w:t>
      </w:r>
    </w:p>
    <w:p>
      <w:pPr>
        <w:spacing w:after="0" w:line="19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In January 2017, our board of directors granted to Dr. Chen and Messrs. Jonker and Rieflin options to purchase 450,000, 275,000 and 475,000 shares of our common stock, respectively,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2017, subject to each executive officer’s continued service to us on each applicable vesting date. In addition, the options granted to Messrs. Jonker and Rieflin are subject to the accelerated vesting provisions set forth in their respective employment agreement, as described below under “Other Elements of Compensation—Potential Payments Upon Termination or Change of Control.”</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We intend to amend and restate our 2018 Equity Incentive Plan, or the Restated 2018 Plan, to facilitate the grant of cash and equity incentives to directors, employees (including our named executive officers) and consultants and to enable us to obtain and retain services of these individuals, which is essential to our long-term success. We expect that the Restated 2018 Plan will become effective immediately prior to the completion of this offering, subject to approval of such plan by our stockholders. For additional information about the Restated 2018 Plan, please see the section titled “Equity Incentive Plans” below.</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240" w:top="460" w:right="5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26"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The following table provides information regarding equity awards held by the named executive officers that were outstanding as of December 31, 2017.</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Option Awards(1)</w:t>
            </w: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3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Units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140" w:type="dxa"/>
            <w:vAlign w:val="bottom"/>
            <w:gridSpan w:val="3"/>
          </w:tcPr>
          <w:p>
            <w:pPr>
              <w:jc w:val="center"/>
              <w:ind w:left="183"/>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rPr>
              <w:t>Unexercised</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left="241"/>
              <w:spacing w:after="0"/>
              <w:rPr>
                <w:sz w:val="20"/>
                <w:szCs w:val="20"/>
                <w:color w:val="auto"/>
              </w:rPr>
            </w:pPr>
            <w:r>
              <w:rPr>
                <w:rFonts w:ascii="Arial" w:cs="Arial" w:eastAsia="Arial" w:hAnsi="Arial"/>
                <w:sz w:val="14"/>
                <w:szCs w:val="14"/>
                <w:b w:val="1"/>
                <w:bCs w:val="1"/>
                <w:color w:val="auto"/>
              </w:rPr>
              <w:t>Stock (#) That</w:t>
            </w:r>
          </w:p>
        </w:tc>
        <w:tc>
          <w:tcPr>
            <w:tcW w:w="3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3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3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162"/>
        </w:trPr>
        <w:tc>
          <w:tcPr>
            <w:tcW w:w="2940" w:type="dxa"/>
            <w:vAlign w:val="bottom"/>
            <w:gridSpan w:val="3"/>
            <w:vMerge w:val="continue"/>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Unexercisable</w:t>
            </w:r>
          </w:p>
        </w:tc>
        <w:tc>
          <w:tcPr>
            <w:tcW w:w="3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080" w:type="dxa"/>
            <w:vAlign w:val="bottom"/>
            <w:gridSpan w:val="2"/>
          </w:tcPr>
          <w:p>
            <w:pPr>
              <w:jc w:val="center"/>
              <w:ind w:left="243"/>
              <w:spacing w:after="0"/>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9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William J. Rieflin</w:t>
            </w:r>
          </w:p>
        </w:tc>
        <w:tc>
          <w:tcPr>
            <w:tcW w:w="124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1/24/2014(3)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76"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8,334</w:t>
            </w:r>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33,919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9/9/2015(4)</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93,750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381,563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1/31/2015(5)</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468,477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1/27/2016</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1/26/2026</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1/20/2017</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40" w:type="dxa"/>
            <w:vAlign w:val="bottom"/>
            <w:gridSpan w:val="3"/>
          </w:tcPr>
          <w:p>
            <w:pPr>
              <w:spacing w:after="0"/>
              <w:rPr>
                <w:sz w:val="20"/>
                <w:szCs w:val="20"/>
                <w:color w:val="auto"/>
              </w:rPr>
            </w:pPr>
            <w:r>
              <w:rPr>
                <w:rFonts w:ascii="Arial" w:cs="Arial" w:eastAsia="Arial" w:hAnsi="Arial"/>
                <w:sz w:val="16"/>
                <w:szCs w:val="16"/>
                <w:color w:val="auto"/>
              </w:rPr>
              <w:t>Jin-Long Chen, Ph.D.</w:t>
            </w:r>
          </w:p>
        </w:tc>
        <w:tc>
          <w:tcPr>
            <w:tcW w:w="880" w:type="dxa"/>
            <w:vAlign w:val="bottom"/>
          </w:tcPr>
          <w:p>
            <w:pPr>
              <w:jc w:val="right"/>
              <w:spacing w:after="0"/>
              <w:rPr>
                <w:sz w:val="20"/>
                <w:szCs w:val="20"/>
                <w:color w:val="auto"/>
              </w:rPr>
            </w:pPr>
            <w:r>
              <w:rPr>
                <w:rFonts w:ascii="Arial" w:cs="Arial" w:eastAsia="Arial" w:hAnsi="Arial"/>
                <w:sz w:val="16"/>
                <w:szCs w:val="16"/>
                <w:color w:val="auto"/>
              </w:rPr>
              <w:t>2/25/2010</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0.26</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2/24/2020</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2/11/2011</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2/10/2021</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3/2/2012</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0.72</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3/1/2022</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1/24/2013</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1/23/2023</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1/24/2014</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1/23/2024</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1/31/2015</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1/30/2025</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1/27/2016</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3.82</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1/26/2026</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1/20/2017</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40" w:type="dxa"/>
            <w:vAlign w:val="bottom"/>
            <w:gridSpan w:val="3"/>
          </w:tcPr>
          <w:p>
            <w:pPr>
              <w:spacing w:after="0"/>
              <w:rPr>
                <w:sz w:val="20"/>
                <w:szCs w:val="20"/>
                <w:color w:val="auto"/>
              </w:rPr>
            </w:pPr>
            <w:r>
              <w:rPr>
                <w:rFonts w:ascii="Arial" w:cs="Arial" w:eastAsia="Arial" w:hAnsi="Arial"/>
                <w:sz w:val="16"/>
                <w:szCs w:val="16"/>
                <w:color w:val="auto"/>
              </w:rPr>
              <w:t>Jeffrey D. Jonker</w:t>
            </w:r>
          </w:p>
        </w:tc>
        <w:tc>
          <w:tcPr>
            <w:tcW w:w="880" w:type="dxa"/>
            <w:vAlign w:val="bottom"/>
          </w:tcPr>
          <w:p>
            <w:pPr>
              <w:jc w:val="right"/>
              <w:spacing w:after="0"/>
              <w:rPr>
                <w:sz w:val="20"/>
                <w:szCs w:val="20"/>
                <w:color w:val="auto"/>
              </w:rPr>
            </w:pPr>
            <w:r>
              <w:rPr>
                <w:rFonts w:ascii="Arial" w:cs="Arial" w:eastAsia="Arial" w:hAnsi="Arial"/>
                <w:sz w:val="16"/>
                <w:szCs w:val="16"/>
                <w:color w:val="auto"/>
              </w:rPr>
              <w:t>12/18/2014</w:t>
            </w:r>
          </w:p>
        </w:tc>
        <w:tc>
          <w:tcPr>
            <w:tcW w:w="3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12/17/2024</w:t>
            </w: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1/27/2016</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1/26/2026</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1/20/2017</w:t>
            </w:r>
          </w:p>
        </w:tc>
        <w:tc>
          <w:tcPr>
            <w:tcW w:w="3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275,000</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3.85</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1/19/2027</w:t>
            </w: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46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740" w:right="40" w:hanging="536"/>
        <w:spacing w:after="0" w:line="246"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Unless otherwise noted, shares subject to the options vest on a monthly basis upon the vesting commencement date over 48 months, subject to the continued service with us through each vesting date. The options are subject to an early exercise right and may be exercised in full prior to the vesting of the shares underlying the stock option.</w:t>
      </w:r>
    </w:p>
    <w:p>
      <w:pPr>
        <w:spacing w:after="0" w:line="1" w:lineRule="exact"/>
        <w:rPr>
          <w:rFonts w:ascii="Arial" w:cs="Arial" w:eastAsia="Arial" w:hAnsi="Arial"/>
          <w:sz w:val="16"/>
          <w:szCs w:val="16"/>
          <w:color w:val="auto"/>
        </w:rPr>
      </w:pPr>
    </w:p>
    <w:p>
      <w:pPr>
        <w:ind w:left="740" w:right="240" w:hanging="536"/>
        <w:spacing w:after="0" w:line="246"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Because our common stock was not traded on a public market on December 31, 2017, the market value has been calculated based on an assumed fair market value of our common stock of $4.07 per share as of December 31, 2017. See the section titled “Management’s Discussion and Analysis of Financial Condition and Results of Operations—Critical Accounting Policies and Estimates—Stock-Based Compensation.”</w:t>
      </w:r>
    </w:p>
    <w:p>
      <w:pPr>
        <w:spacing w:after="0" w:line="1" w:lineRule="exact"/>
        <w:rPr>
          <w:rFonts w:ascii="Arial" w:cs="Arial" w:eastAsia="Arial" w:hAnsi="Arial"/>
          <w:sz w:val="16"/>
          <w:szCs w:val="16"/>
          <w:color w:val="auto"/>
        </w:rPr>
      </w:pPr>
    </w:p>
    <w:p>
      <w:pPr>
        <w:ind w:left="740" w:right="140" w:hanging="536"/>
        <w:spacing w:after="0" w:line="246"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400,000 shares of common stock granted on January 24, 2014. Our right to repurchase the unvested shares lapse in equal increments on a monthly basis through December 31, 2017.</w:t>
      </w:r>
    </w:p>
    <w:p>
      <w:pPr>
        <w:ind w:left="740" w:right="280" w:hanging="536"/>
        <w:spacing w:after="0" w:line="246"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500,000 shares of common stock granted on September 9, 2014. Our right to repurchase the unvested shares lapse in equal increments on a monthly basis through September 8, 2018.</w:t>
      </w:r>
    </w:p>
    <w:p>
      <w:pPr>
        <w:ind w:left="740" w:right="140" w:hanging="536"/>
        <w:spacing w:after="0" w:line="260" w:lineRule="auto"/>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unvested portion of an early exercise for 425,000 shares of common stock granted on January 31, 2015. Our right to repurchase the unvested shares lapse in equal increments on a monthly basis through December 31, 2018.</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Elements of 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6"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2017.</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$18,500 for 2018. Participants who are at least 50 years old can also make “catch-up” contributions, which in 2018 may be up to an additional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6"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In 2017, we did not make gross-up payments to cover our named executive officers’ personal income taxes that pertained to any of the compensation or perquisites paid or provided by our company.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Agreements with our Named Executive Officers</w:t>
      </w:r>
    </w:p>
    <w:p>
      <w:pPr>
        <w:spacing w:after="0" w:line="108"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i w:val="1"/>
          <w:iCs w:val="1"/>
          <w:color w:val="auto"/>
        </w:rPr>
        <w:t xml:space="preserve">Offer Letters or Employment Agreements. </w:t>
      </w:r>
      <w:r>
        <w:rPr>
          <w:rFonts w:ascii="Arial" w:cs="Arial" w:eastAsia="Arial" w:hAnsi="Arial"/>
          <w:sz w:val="18"/>
          <w:szCs w:val="18"/>
          <w:color w:val="auto"/>
        </w:rPr>
        <w:t>We have entered into offer letters or employment agreements with all of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We designed these agreements to be part of a competitive compensation package and to keep our named executive officers focused on our business goals and objectives. These agreements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The employment of each of our named executive officers is “at will” and may be terminated at any time. In addition, each of our named executive officers has executed a form of our standard proprietary information and inventions agreement. The key terms of the offer letters are described below.</w:t>
      </w:r>
    </w:p>
    <w:p>
      <w:pPr>
        <w:spacing w:after="0" w:line="206"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We entered into an employment agreement with Mr. Rieflin effective as of September 30, 2010, for the position of Chief Executive Officer. Pursuant to Mr. Rieflin’s employment agreement, we agreed to an initial annual base salary of $400,000 and a hiring bonus of $100,000. We also agreed to grant to Mr. Rieflin options to purchase shares of our common stock, subject to approval by our board of directors. Mr. Rieflin’s annual base salary was increased from $545,000 to $575,000 effective January 1, 2018.</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firstLine="551"/>
        <w:spacing w:after="0" w:line="248" w:lineRule="auto"/>
        <w:rPr>
          <w:sz w:val="20"/>
          <w:szCs w:val="20"/>
          <w:color w:val="auto"/>
        </w:rPr>
      </w:pPr>
      <w:r>
        <w:rPr>
          <w:rFonts w:ascii="Arial" w:cs="Arial" w:eastAsia="Arial" w:hAnsi="Arial"/>
          <w:sz w:val="17"/>
          <w:szCs w:val="17"/>
          <w:color w:val="auto"/>
        </w:rPr>
        <w:t>We entered into an employment offer letter with Dr. Chen on January 7, 2008, for the position of President and Chief Scientific Officer. Dr. Chen resigned from his position as President on October 31, 2014, but remained as Chief Scientific Officer. Pursuant to</w:t>
      </w:r>
    </w:p>
    <w:p>
      <w:pPr>
        <w:spacing w:after="0" w:line="1"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Dr. Chen’s employment offer letter, we agreed to an initial annual base salary of $300,000 and a hiring bonus of $50,000. We also agreed to grant to Dr. Chen founder’s shares of our common stock, subject to approval by our board of directors. Dr. Chen’s annual base salary was increased from $460,000 to $485,000 effective January 1, 2018.</w:t>
      </w:r>
    </w:p>
    <w:p>
      <w:pPr>
        <w:spacing w:after="0" w:line="203" w:lineRule="exact"/>
        <w:rPr>
          <w:sz w:val="20"/>
          <w:szCs w:val="20"/>
          <w:color w:val="auto"/>
        </w:rPr>
      </w:pPr>
    </w:p>
    <w:p>
      <w:pPr>
        <w:ind w:left="200" w:right="620" w:firstLine="551"/>
        <w:spacing w:after="0" w:line="248" w:lineRule="auto"/>
        <w:rPr>
          <w:sz w:val="20"/>
          <w:szCs w:val="20"/>
          <w:color w:val="auto"/>
        </w:rPr>
      </w:pPr>
      <w:r>
        <w:rPr>
          <w:rFonts w:ascii="Arial" w:cs="Arial" w:eastAsia="Arial" w:hAnsi="Arial"/>
          <w:sz w:val="17"/>
          <w:szCs w:val="17"/>
          <w:color w:val="auto"/>
        </w:rPr>
        <w:t>We entered into an employment agreement with Mr. Jonker effective as of November 17, 2014, for the position of President. Pursuant to Mr. Jonker’s employment agreement, Mr. Jonker’s initial annual base salary was $375,000. We also agreed to grant to</w:t>
      </w:r>
    </w:p>
    <w:p>
      <w:pPr>
        <w:spacing w:after="0" w:line="1"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Mr. Jonker options to purchase shares of our common stock, subject to approval by our board of directors. Mr. Jonker’s annual base salary was increased from $405,000 to $430,000 effective January 1,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employment agreements with Messrs. Rieflin and Jonker described above under “—Agreements with our Named Executive Officers” contain severance benefits. These severance benefits provide that, in the event we terminate the executive’s employment without “cause,” or 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w:t>
      </w:r>
    </w:p>
    <w:p>
      <w:pPr>
        <w:spacing w:after="0" w:line="183" w:lineRule="exact"/>
        <w:rPr>
          <w:sz w:val="20"/>
          <w:szCs w:val="20"/>
          <w:color w:val="auto"/>
        </w:rPr>
      </w:pPr>
    </w:p>
    <w:p>
      <w:pPr>
        <w:ind w:left="200" w:right="60" w:firstLine="551"/>
        <w:spacing w:after="0" w:line="241" w:lineRule="auto"/>
        <w:rPr>
          <w:sz w:val="20"/>
          <w:szCs w:val="20"/>
          <w:color w:val="auto"/>
        </w:rPr>
      </w:pPr>
      <w:r>
        <w:rPr>
          <w:rFonts w:ascii="Arial" w:cs="Arial" w:eastAsia="Arial" w:hAnsi="Arial"/>
          <w:sz w:val="18"/>
          <w:szCs w:val="18"/>
          <w:b w:val="1"/>
          <w:bCs w:val="1"/>
          <w:i w:val="1"/>
          <w:iCs w:val="1"/>
          <w:color w:val="auto"/>
        </w:rPr>
        <w:t xml:space="preserve">William J. Rieflin. </w:t>
      </w:r>
      <w:r>
        <w:rPr>
          <w:rFonts w:ascii="Arial" w:cs="Arial" w:eastAsia="Arial" w:hAnsi="Arial"/>
          <w:sz w:val="18"/>
          <w:szCs w:val="18"/>
          <w:color w:val="auto"/>
        </w:rPr>
        <w:t>In the event of a qualifying termination following a change in control, Mr. Rieflin will be entitled to: (i)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Rieflin on the date of his termination; and (iii) if elected by Mr. Rieflin, payment or reimbursement of COBRA premiums through the earlier of 12 months from his termination date or the date he and his covered dependents, if any, cease to be eligible for such continued coverage.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Mr. Rieflin’s employment agreement provides that in the event that the severance and other benefits provided for or</w:t>
      </w:r>
    </w:p>
    <w:p>
      <w:pPr>
        <w:ind w:left="200"/>
        <w:spacing w:after="0" w:line="234" w:lineRule="auto"/>
        <w:rPr>
          <w:sz w:val="20"/>
          <w:szCs w:val="20"/>
          <w:color w:val="auto"/>
        </w:rPr>
      </w:pPr>
      <w:r>
        <w:rPr>
          <w:rFonts w:ascii="Arial" w:cs="Arial" w:eastAsia="Arial" w:hAnsi="Arial"/>
          <w:sz w:val="18"/>
          <w:szCs w:val="18"/>
          <w:color w:val="auto"/>
        </w:rPr>
        <w:t>otherwise payable to him constitute “parachute payments” within the meaning of Section 280G of the Code and are subject to the excise</w:t>
      </w:r>
    </w:p>
    <w:p>
      <w:pPr>
        <w:ind w:left="200"/>
        <w:spacing w:after="0" w:line="235" w:lineRule="auto"/>
        <w:rPr>
          <w:sz w:val="20"/>
          <w:szCs w:val="20"/>
          <w:color w:val="auto"/>
        </w:rPr>
      </w:pPr>
      <w:r>
        <w:rPr>
          <w:rFonts w:ascii="Arial" w:cs="Arial" w:eastAsia="Arial" w:hAnsi="Arial"/>
          <w:sz w:val="18"/>
          <w:szCs w:val="18"/>
          <w:color w:val="auto"/>
        </w:rPr>
        <w:t>tax imposed by Section 4999 of the Code, and either the holders of at least 75% of the voting power of our capital stock as of</w:t>
      </w:r>
    </w:p>
    <w:p>
      <w:pPr>
        <w:ind w:left="200"/>
        <w:spacing w:after="0" w:line="235" w:lineRule="auto"/>
        <w:rPr>
          <w:sz w:val="20"/>
          <w:szCs w:val="20"/>
          <w:color w:val="auto"/>
        </w:rPr>
      </w:pPr>
      <w:r>
        <w:rPr>
          <w:rFonts w:ascii="Arial" w:cs="Arial" w:eastAsia="Arial" w:hAnsi="Arial"/>
          <w:sz w:val="18"/>
          <w:szCs w:val="18"/>
          <w:color w:val="auto"/>
        </w:rPr>
        <w:t>September 30, 2010 do not still hold at least 75% of such voting power at the time of any proposed stockholder vote to approve parachute</w:t>
      </w:r>
    </w:p>
    <w:p>
      <w:pPr>
        <w:ind w:left="200"/>
        <w:spacing w:after="0" w:line="235" w:lineRule="auto"/>
        <w:rPr>
          <w:sz w:val="20"/>
          <w:szCs w:val="20"/>
          <w:color w:val="auto"/>
        </w:rPr>
      </w:pPr>
      <w:r>
        <w:rPr>
          <w:rFonts w:ascii="Arial" w:cs="Arial" w:eastAsia="Arial" w:hAnsi="Arial"/>
          <w:sz w:val="18"/>
          <w:szCs w:val="18"/>
          <w:color w:val="auto"/>
        </w:rPr>
        <w:t>payments, or our board of directors does not recommend approval of such parachute payments, then Mr. Rieflin may be entitled to receive</w:t>
      </w:r>
    </w:p>
    <w:p>
      <w:pPr>
        <w:ind w:left="200"/>
        <w:spacing w:after="0" w:line="235" w:lineRule="auto"/>
        <w:rPr>
          <w:sz w:val="20"/>
          <w:szCs w:val="20"/>
          <w:color w:val="auto"/>
        </w:rPr>
      </w:pPr>
      <w:r>
        <w:rPr>
          <w:rFonts w:ascii="Arial" w:cs="Arial" w:eastAsia="Arial" w:hAnsi="Arial"/>
          <w:sz w:val="18"/>
          <w:szCs w:val="18"/>
          <w:color w:val="auto"/>
        </w:rPr>
        <w:t>an additional tax gross-up payment with respect to such federal excise tax obligations. Our obligation to provide such tax gross-up</w:t>
      </w:r>
    </w:p>
    <w:p>
      <w:pPr>
        <w:ind w:left="200"/>
        <w:spacing w:after="0"/>
        <w:rPr>
          <w:sz w:val="20"/>
          <w:szCs w:val="20"/>
          <w:color w:val="auto"/>
        </w:rPr>
      </w:pPr>
      <w:r>
        <w:rPr>
          <w:rFonts w:ascii="Arial" w:cs="Arial" w:eastAsia="Arial" w:hAnsi="Arial"/>
          <w:sz w:val="18"/>
          <w:szCs w:val="18"/>
          <w:color w:val="auto"/>
        </w:rPr>
        <w:t>payment will be terminated once we are a reporting company under the Exchange Act.</w:t>
      </w:r>
    </w:p>
    <w:p>
      <w:pPr>
        <w:spacing w:after="0" w:line="190" w:lineRule="exact"/>
        <w:rPr>
          <w:sz w:val="20"/>
          <w:szCs w:val="20"/>
          <w:color w:val="auto"/>
        </w:rPr>
      </w:pPr>
    </w:p>
    <w:p>
      <w:pPr>
        <w:ind w:left="760"/>
        <w:spacing w:after="0"/>
        <w:tabs>
          <w:tab w:leader="none" w:pos="2440" w:val="left"/>
        </w:tabs>
        <w:rPr>
          <w:sz w:val="20"/>
          <w:szCs w:val="20"/>
          <w:color w:val="auto"/>
        </w:rPr>
      </w:pPr>
      <w:r>
        <w:rPr>
          <w:rFonts w:ascii="Arial" w:cs="Arial" w:eastAsia="Arial" w:hAnsi="Arial"/>
          <w:sz w:val="18"/>
          <w:szCs w:val="18"/>
          <w:b w:val="1"/>
          <w:bCs w:val="1"/>
          <w:i w:val="1"/>
          <w:iCs w:val="1"/>
          <w:color w:val="auto"/>
        </w:rPr>
        <w:t>Jeffrey D. Jonker.</w:t>
      </w:r>
      <w:r>
        <w:rPr>
          <w:sz w:val="20"/>
          <w:szCs w:val="20"/>
          <w:color w:val="auto"/>
        </w:rPr>
        <w:tab/>
      </w:r>
      <w:r>
        <w:rPr>
          <w:rFonts w:ascii="Arial" w:cs="Arial" w:eastAsia="Arial" w:hAnsi="Arial"/>
          <w:sz w:val="17"/>
          <w:szCs w:val="17"/>
          <w:color w:val="auto"/>
        </w:rPr>
        <w:t>In the event of a qualifying termination following a change in control, Mr. Jonker will be entitled to:</w:t>
      </w:r>
    </w:p>
    <w:p>
      <w:pPr>
        <w:spacing w:after="0" w:line="18" w:lineRule="exact"/>
        <w:rPr>
          <w:sz w:val="20"/>
          <w:szCs w:val="20"/>
          <w:color w:val="auto"/>
        </w:rPr>
      </w:pPr>
    </w:p>
    <w:p>
      <w:pPr>
        <w:ind w:left="200" w:firstLine="4"/>
        <w:spacing w:after="0" w:line="237" w:lineRule="auto"/>
        <w:tabs>
          <w:tab w:leader="none" w:pos="4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payments equal to nine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Mr. Jonker on the date of his termination; and (iii) if elected by Mr. Jonker, payment or reimbursement of COBRA premiums through the earlier of 12 months from his termination date or the date he and his covered dependents, if any, cease to be eligible for such continued coverage.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Equity Incentive Plans</w:t>
      </w:r>
    </w:p>
    <w:p>
      <w:pPr>
        <w:spacing w:after="0" w:line="234" w:lineRule="exact"/>
        <w:rPr>
          <w:sz w:val="20"/>
          <w:szCs w:val="20"/>
          <w:color w:val="auto"/>
        </w:rPr>
      </w:pPr>
    </w:p>
    <w:p>
      <w:pPr>
        <w:ind w:left="200" w:right="580" w:firstLine="551"/>
        <w:spacing w:after="0" w:line="275"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6"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January 2018 our board of directors adopted, and in May 2018, our stockholders approved, our 2018 Plan. We expect our board of directors and our stockholders to approve the amendment and restatement of our 2018 Plan, or the Restated 2018 Plan, prior to the completion of this offering in anticipation of becoming a publicly traded company, which will become effective upon the completion of this offering.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Types of Awards; Eligibility</w:t>
      </w:r>
    </w:p>
    <w:p>
      <w:pPr>
        <w:spacing w:after="0" w:line="122" w:lineRule="exact"/>
        <w:rPr>
          <w:sz w:val="20"/>
          <w:szCs w:val="20"/>
          <w:color w:val="auto"/>
        </w:rPr>
      </w:pPr>
    </w:p>
    <w:p>
      <w:pPr>
        <w:ind w:left="200" w:right="300" w:firstLine="551"/>
        <w:spacing w:after="0" w:line="238"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3700" w:val="left"/>
        </w:tabs>
        <w:rPr>
          <w:sz w:val="20"/>
          <w:szCs w:val="20"/>
          <w:color w:val="auto"/>
        </w:rPr>
      </w:pPr>
      <w:r>
        <w:rPr>
          <w:rFonts w:ascii="Arial" w:cs="Arial" w:eastAsia="Arial" w:hAnsi="Arial"/>
          <w:sz w:val="18"/>
          <w:szCs w:val="18"/>
          <w:color w:val="auto"/>
        </w:rPr>
        <w:t>Initially, we have reserved</w:t>
      </w:r>
      <w:r>
        <w:rPr>
          <w:sz w:val="20"/>
          <w:szCs w:val="20"/>
          <w:color w:val="auto"/>
        </w:rPr>
        <w:tab/>
      </w:r>
      <w:r>
        <w:rPr>
          <w:rFonts w:ascii="Arial" w:cs="Arial" w:eastAsia="Arial" w:hAnsi="Arial"/>
          <w:sz w:val="17"/>
          <w:szCs w:val="17"/>
          <w:color w:val="auto"/>
        </w:rPr>
        <w:t>shares of our common stock for issuance pursuant to the Restated 2018 Plan, subject to</w:t>
      </w:r>
    </w:p>
    <w:p>
      <w:pPr>
        <w:jc w:val="both"/>
        <w:ind w:left="200" w:right="100"/>
        <w:spacing w:after="0"/>
        <w:rPr>
          <w:sz w:val="20"/>
          <w:szCs w:val="20"/>
          <w:color w:val="auto"/>
        </w:rPr>
      </w:pPr>
      <w:r>
        <w:rPr>
          <w:rFonts w:ascii="Arial" w:cs="Arial" w:eastAsia="Arial" w:hAnsi="Arial"/>
          <w:sz w:val="18"/>
          <w:szCs w:val="18"/>
          <w:color w:val="auto"/>
        </w:rPr>
        <w:t>certain adjustments set forth in the plan. In addition, any shares of common stock subject to awards outstanding under the 2008 Plan that terminate by expiration, forfeiture, cancellation or otherwise without the issuance of such shares, up to a maximum of 16,883,569 shares, are added to 2018 Plan share reserve.</w:t>
      </w:r>
    </w:p>
    <w:p>
      <w:pPr>
        <w:spacing w:after="0" w:line="203" w:lineRule="exact"/>
        <w:rPr>
          <w:sz w:val="20"/>
          <w:szCs w:val="20"/>
          <w:color w:val="auto"/>
        </w:rPr>
      </w:pPr>
    </w:p>
    <w:p>
      <w:pPr>
        <w:ind w:left="200" w:right="80" w:firstLine="551"/>
        <w:spacing w:after="0" w:line="234" w:lineRule="auto"/>
        <w:rPr>
          <w:sz w:val="20"/>
          <w:szCs w:val="20"/>
          <w:color w:val="auto"/>
        </w:rPr>
      </w:pPr>
      <w:r>
        <w:rPr>
          <w:rFonts w:ascii="Arial" w:cs="Arial" w:eastAsia="Arial" w:hAnsi="Arial"/>
          <w:sz w:val="18"/>
          <w:szCs w:val="18"/>
          <w:color w:val="auto"/>
        </w:rPr>
        <w:t>The number of shares available for issuance under the Restated 2018 Plan will automatically increase on January 1st of each calendar year for ten years, starting on January 1, 2019 (assuming the Restated 2018 Plan becomes effective in calendar year 2018) and ending on and including January 1, 2028, in an amount equal to % of the total number of issued and outstanding shares of our common stock as of December 31 of the immediately preceding year, or a lesser number of shares determined by our board of directors. The maximum number of shares of our common stock that may be issued upon the exercise of incentive stock options under our Restated</w:t>
      </w:r>
    </w:p>
    <w:p>
      <w:pPr>
        <w:spacing w:after="0" w:line="4" w:lineRule="exact"/>
        <w:rPr>
          <w:sz w:val="20"/>
          <w:szCs w:val="20"/>
          <w:color w:val="auto"/>
        </w:rPr>
      </w:pPr>
    </w:p>
    <w:p>
      <w:pPr>
        <w:ind w:left="200"/>
        <w:spacing w:after="0"/>
        <w:tabs>
          <w:tab w:leader="none" w:pos="2020" w:val="left"/>
        </w:tabs>
        <w:rPr>
          <w:sz w:val="20"/>
          <w:szCs w:val="20"/>
          <w:color w:val="auto"/>
        </w:rPr>
      </w:pPr>
      <w:r>
        <w:rPr>
          <w:rFonts w:ascii="Arial" w:cs="Arial" w:eastAsia="Arial" w:hAnsi="Arial"/>
          <w:sz w:val="18"/>
          <w:szCs w:val="18"/>
          <w:color w:val="auto"/>
        </w:rPr>
        <w:t>2018 Plan is</w:t>
      </w:r>
      <w:r>
        <w:rPr>
          <w:sz w:val="20"/>
          <w:szCs w:val="20"/>
          <w:color w:val="auto"/>
        </w:rPr>
        <w:tab/>
      </w:r>
      <w:r>
        <w:rPr>
          <w:rFonts w:ascii="Arial" w:cs="Arial" w:eastAsia="Arial" w:hAnsi="Arial"/>
          <w:sz w:val="18"/>
          <w:szCs w:val="18"/>
          <w:color w:val="auto"/>
        </w:rPr>
        <w:t>shares.</w:t>
      </w:r>
    </w:p>
    <w:p>
      <w:pPr>
        <w:spacing w:after="0" w:line="21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Shares subject to awards granted under our Restated 2018 Plan that expire or terminate without being exercised in full, or that are paid out in cash rather than in shares, do not reduce the number of shares available for issuance under our Restated 2018 Plan. Additionally, shares become available for future grant under our Restated 2018 Plan if they were issued under our Restated 2018 Plan and we repurchase them or they are forfeited because they fail to vest. Shares used to pay the exercise price of a stock award or to satisfy the tax withholding obligations related to an award are also returned to the Restated 2018 Plan and become available for future grant. Shares issued under the Restated 2018 Plan may be previously unissued shares or reacquired shares bought by us on the open market.</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2018, options to purchase a total of 3,078,466 shares of common stock at a weighted average exercise price of</w:t>
      </w:r>
    </w:p>
    <w:p>
      <w:pPr>
        <w:ind w:left="200"/>
        <w:spacing w:after="0" w:line="234" w:lineRule="auto"/>
        <w:rPr>
          <w:sz w:val="20"/>
          <w:szCs w:val="20"/>
          <w:color w:val="auto"/>
        </w:rPr>
      </w:pPr>
      <w:r>
        <w:rPr>
          <w:rFonts w:ascii="Arial" w:cs="Arial" w:eastAsia="Arial" w:hAnsi="Arial"/>
          <w:sz w:val="18"/>
          <w:szCs w:val="18"/>
          <w:color w:val="auto"/>
        </w:rPr>
        <w:t>$4.07 were issued and outstanding under the 2018 Plan and zero shares of common stock had been issued upon the exercise of options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pursuant to other awards granted under the 2018 Plan.</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203"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202" w:lineRule="exact"/>
        <w:rPr>
          <w:sz w:val="20"/>
          <w:szCs w:val="20"/>
          <w:color w:val="auto"/>
        </w:rPr>
      </w:pPr>
    </w:p>
    <w:p>
      <w:pPr>
        <w:ind w:left="200" w:right="260" w:firstLine="551"/>
        <w:spacing w:after="0" w:line="239"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Options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Restated 2018 Plan authorizes the plan administrator to grant incentive stock options (under Section 421 of the Code) and options that do not qualify as incentive stock options, or nonstatutory stock options. The plan administrator will determine the exercise price of each option, provided that the price generally will be equal to at least 100% of the fair market value of the shares of common stock on the date on which the option is granted. Options granted under the Restated 2018 Plan vest at the rate specified by the plan administrator. Options may have a maximum term of up to 10 years from the date of grant, subject to earlier expiration following the cessation of a participant’s continuous service with us, as provided in the 2018 Plan and the specific award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Limitations On Incentive Stock Options</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participant during any calendar year under all of our stock plans may not exceed $100,000. We will generally treat options or portions thereof that exceed such limit as nonstatutory stock options. No incentive stock option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incentive stock option does not exceed five years from the date of grant.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Awards</w:t>
      </w:r>
    </w:p>
    <w:p>
      <w:pPr>
        <w:spacing w:after="0" w:line="122"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A restricted stock award is an award of shares of common stock that may, but need not, be subject to restrictions on transferability and other restrictions as the plan administrator determines in its sole discretion on the date of grant. The restrictions, if any, may lapse over a specified period of time or through the satisfaction of conditions, in installments or otherwise, as the plan administrator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reinvested in shares. During the period, if any, when stock awards are non-transferable or forfeitable, a participant is prohibited from selling, transferring, assigning, pledging or otherwise encumbering or disposing of his or her award shares. Except as otherwise provided in the applicable award agreement, restricted stock awards that have not vested may be forfeited or repurchased by us upon the participant’s cessation of continuous service for any reason.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Restricted stock units represent the participant’s right to receive a compensation amount, based on the value of our common stock, if the vesting criteria established by the plan administrator are met. We may issue restricted stock unit awards that settle on vesting in cash, delivery of shares of common stock, a combination of cash and stock, as deemed appropriate by the plan administrator and provided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Appreciation Rights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Stock appreciation rights provide the participant with the right to receive, upon exercise of the stock appreciation right, cash, shares of common stock or a combination of cash and stock. The plan administrator determines the strike price for a stock appreciation right, which generally cannot be less than 100% of the fair market value of our common stock on the date of grant. Upon the exercise of a stock appreciation right, we will pay the participant an amount equal to the product of (1) the excess of the per share fair market value of our common stock on the date of exercise over the strike price, multiplied by (2) the number of shares of common stock with respect to which the stock appreciation right is exercised. A stock appreciation right granted under the Restated 2018 Plan vests at the rate specified in the stock appreciation right agreement as determined by the plan administrator. Stock appreciation rights may have a maximum term of up to 10 years, subject to earlier expiration following the cessation of a participant’s continuous service with us, as provided in the Restated 2018 Plan and the specific award agreement.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Performance Awards</w:t>
      </w:r>
    </w:p>
    <w:p>
      <w:pPr>
        <w:spacing w:after="0" w:line="122"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The Restated 2018 Plan permits the grant of awards that vest (or are eligible to vest) in whole or in part upon the achievement of certain pre-established performance goals during a designated performance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Equity-Based Awards</w:t>
      </w:r>
    </w:p>
    <w:p>
      <w:pPr>
        <w:spacing w:after="0" w:line="122"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The plan administrator may grant other types of equity-based awards under the Restated 2018 Plan. Other equity-based awards are payable in cash, shares of common stock or other equity, or a combination thereof, and may be restricted or unrestricted, as determined by the plan administrator. The terms and conditions that apply to other equity-based awards are determined by the plan administrator.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Transferability.</w:t>
      </w:r>
    </w:p>
    <w:p>
      <w:pPr>
        <w:spacing w:after="0" w:line="122" w:lineRule="exact"/>
        <w:rPr>
          <w:sz w:val="20"/>
          <w:szCs w:val="20"/>
          <w:color w:val="auto"/>
        </w:rPr>
      </w:pPr>
    </w:p>
    <w:p>
      <w:pPr>
        <w:ind w:left="200" w:right="180" w:firstLine="551"/>
        <w:spacing w:after="0" w:line="246" w:lineRule="auto"/>
        <w:rPr>
          <w:sz w:val="20"/>
          <w:szCs w:val="20"/>
          <w:color w:val="auto"/>
        </w:rPr>
      </w:pPr>
      <w:r>
        <w:rPr>
          <w:rFonts w:ascii="Arial" w:cs="Arial" w:eastAsia="Arial" w:hAnsi="Arial"/>
          <w:sz w:val="18"/>
          <w:szCs w:val="18"/>
          <w:color w:val="auto"/>
        </w:rPr>
        <w:t>A participant generally may not transfer awards granted under our Restated 2018 Plan other than by will, the laws of descent and distribution, or as otherwise provided under our Restated 2018 Plan.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to Capital Structure</w:t>
      </w:r>
    </w:p>
    <w:p>
      <w:pPr>
        <w:spacing w:after="0" w:line="122"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In the event that there is a specified type of change in our capital structure, such as a stock split or recapitalization, appropriate adjustments will be made to (1) the class and maximum number of shares reserved for issuance under the Restated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5" w:lineRule="exact"/>
        <w:rPr>
          <w:sz w:val="20"/>
          <w:szCs w:val="20"/>
          <w:color w:val="auto"/>
        </w:rPr>
      </w:pPr>
    </w:p>
    <w:p>
      <w:pPr>
        <w:ind w:left="200" w:right="320" w:firstLine="551"/>
        <w:spacing w:after="0" w:line="238"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Termination</w:t>
      </w:r>
    </w:p>
    <w:p>
      <w:pPr>
        <w:spacing w:after="0" w:line="122"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Our board of directors may amend or terminate the Restated 2018 Plan at any time; provided that no amendment may adversely impair the benefits of participants with outstanding awards without such participant’s consent. Our stockholders must approve any amendment if such approval is required under applicable law or listing requirements. No incentive stock options may be granted after the tenth anniversary of the date our board of directors adopted our Restated 2018 Plan.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122"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As of June 30, 2018, options to purchase a total of 16,319,737 shares of common stock at a weighted average exercise price of $2.44 were issued and outstanding under the 2008 Plan and a total of 9,254,696 shares of common stock (net of early exercised options repurchased) had been issued upon the exercise of options granted under the 2008 Plan.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Our board of directors, or a duly authorized committee thereof, has the authority to administer the 2008 Plan. Our board has delegated concurrent authority to administer our 2008 Plan to the compensation committee under the terms of the compensation committee’s charter. Among other powers, the plan administrator has the authority to modify outstanding awards under our 2008 Plan, and to reduce the exercise price of any outstanding award, cancel any outstanding award in exchange for a new award, cash or other consideration, or take any other action that is treated as a repricing under generally accepted accounting principles, in each case with the consent of any adversely affected participant.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w:t>
      </w:r>
    </w:p>
    <w:p>
      <w:pPr>
        <w:spacing w:after="0" w:line="12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5"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21" w:lineRule="exact"/>
        <w:rPr>
          <w:sz w:val="20"/>
          <w:szCs w:val="20"/>
          <w:color w:val="auto"/>
        </w:rPr>
      </w:pPr>
    </w:p>
    <w:p>
      <w:pPr>
        <w:ind w:left="760"/>
        <w:spacing w:after="0"/>
        <w:tabs>
          <w:tab w:leader="none" w:pos="1780" w:val="left"/>
          <w:tab w:leader="none" w:pos="6140"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2018, our board of directors adopted, and in</w:t>
      </w:r>
      <w:r>
        <w:rPr>
          <w:sz w:val="20"/>
          <w:szCs w:val="20"/>
          <w:color w:val="auto"/>
        </w:rPr>
        <w:tab/>
      </w:r>
      <w:r>
        <w:rPr>
          <w:rFonts w:ascii="Arial" w:cs="Arial" w:eastAsia="Arial" w:hAnsi="Arial"/>
          <w:sz w:val="18"/>
          <w:szCs w:val="18"/>
          <w:color w:val="auto"/>
        </w:rPr>
        <w:t>2018, our stockholders approved, the 2018 Employee Stock</w:t>
      </w:r>
    </w:p>
    <w:p>
      <w:pPr>
        <w:ind w:left="200"/>
        <w:spacing w:after="0"/>
        <w:rPr>
          <w:sz w:val="20"/>
          <w:szCs w:val="20"/>
          <w:color w:val="auto"/>
        </w:rPr>
      </w:pPr>
      <w:r>
        <w:rPr>
          <w:rFonts w:ascii="Arial" w:cs="Arial" w:eastAsia="Arial" w:hAnsi="Arial"/>
          <w:sz w:val="18"/>
          <w:szCs w:val="18"/>
          <w:color w:val="auto"/>
        </w:rPr>
        <w:t>Purchase Plan, or ESPP, which will become effective upon the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760"/>
        <w:spacing w:after="0"/>
        <w:tabs>
          <w:tab w:leader="none" w:pos="6340" w:val="left"/>
        </w:tabs>
        <w:rPr>
          <w:sz w:val="20"/>
          <w:szCs w:val="20"/>
          <w:color w:val="auto"/>
        </w:rPr>
      </w:pPr>
      <w:r>
        <w:rPr>
          <w:rFonts w:ascii="Arial" w:cs="Arial" w:eastAsia="Arial" w:hAnsi="Arial"/>
          <w:sz w:val="18"/>
          <w:szCs w:val="18"/>
          <w:color w:val="auto"/>
        </w:rPr>
        <w:t>Following this offering, the ESPP authorizes the issuance of</w:t>
      </w:r>
      <w:r>
        <w:rPr>
          <w:sz w:val="20"/>
          <w:szCs w:val="20"/>
          <w:color w:val="auto"/>
        </w:rPr>
        <w:tab/>
      </w:r>
      <w:r>
        <w:rPr>
          <w:rFonts w:ascii="Arial" w:cs="Arial" w:eastAsia="Arial" w:hAnsi="Arial"/>
          <w:sz w:val="18"/>
          <w:szCs w:val="18"/>
          <w:color w:val="auto"/>
        </w:rPr>
        <w:t>shares of our common stock pursuant to purchase rights</w:t>
      </w:r>
    </w:p>
    <w:p>
      <w:pPr>
        <w:ind w:left="200" w:right="280"/>
        <w:spacing w:after="0" w:line="275" w:lineRule="auto"/>
        <w:rPr>
          <w:sz w:val="20"/>
          <w:szCs w:val="20"/>
          <w:color w:val="auto"/>
        </w:rPr>
      </w:pPr>
      <w:r>
        <w:rPr>
          <w:rFonts w:ascii="Arial" w:cs="Arial" w:eastAsia="Arial" w:hAnsi="Arial"/>
          <w:sz w:val="17"/>
          <w:szCs w:val="17"/>
          <w:color w:val="auto"/>
        </w:rPr>
        <w:t>granted to our employees or to employees of any of our designated affiliates. The number of shares of our common stock reserved for issuance will automatically increase on January 1 of each calendar year, from January 1, 2019 (assuming the ESPP becomes effective</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72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519"/>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before such date) through January 1, 2028 by the least of (1)</w:t>
            </w:r>
          </w:p>
        </w:tc>
        <w:tc>
          <w:tcPr>
            <w:tcW w:w="5960" w:type="dxa"/>
            <w:vAlign w:val="bottom"/>
          </w:tcPr>
          <w:p>
            <w:pPr>
              <w:ind w:left="760"/>
              <w:spacing w:after="0"/>
              <w:rPr>
                <w:sz w:val="20"/>
                <w:szCs w:val="20"/>
                <w:color w:val="auto"/>
              </w:rPr>
            </w:pPr>
            <w:r>
              <w:rPr>
                <w:rFonts w:ascii="Arial" w:cs="Arial" w:eastAsia="Arial" w:hAnsi="Arial"/>
                <w:sz w:val="18"/>
                <w:szCs w:val="18"/>
                <w:color w:val="auto"/>
                <w:w w:val="99"/>
              </w:rPr>
              <w:t>% of the total number of shares of our common stock outstanding</w:t>
            </w:r>
          </w:p>
        </w:tc>
      </w:tr>
      <w:tr>
        <w:trPr>
          <w:trHeight w:val="203"/>
        </w:trPr>
        <w:tc>
          <w:tcPr>
            <w:tcW w:w="50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on December 31 of the preceding calendar year, (2)</w:t>
            </w:r>
          </w:p>
        </w:tc>
        <w:tc>
          <w:tcPr>
            <w:tcW w:w="5960" w:type="dxa"/>
            <w:vAlign w:val="bottom"/>
          </w:tcPr>
          <w:p>
            <w:pPr>
              <w:ind w:left="40"/>
              <w:spacing w:after="0" w:line="202" w:lineRule="exact"/>
              <w:rPr>
                <w:sz w:val="20"/>
                <w:szCs w:val="20"/>
                <w:color w:val="auto"/>
              </w:rPr>
            </w:pPr>
            <w:r>
              <w:rPr>
                <w:rFonts w:ascii="Arial" w:cs="Arial" w:eastAsia="Arial" w:hAnsi="Arial"/>
                <w:sz w:val="18"/>
                <w:szCs w:val="18"/>
                <w:color w:val="auto"/>
              </w:rPr>
              <w:t>shares, or (3) a number determined by our board of directors that is less</w:t>
            </w:r>
          </w:p>
        </w:tc>
      </w:tr>
    </w:tbl>
    <w:p>
      <w:pPr>
        <w:ind w:left="2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than (1) and (2). The ESPP is intended to qualify as an “employee stock purchase plan” within the meaning of Section 423 of the Code. As of the date hereof, no shares of our common stock have been purchased under the ESPP.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122" w:lineRule="exact"/>
        <w:rPr>
          <w:sz w:val="20"/>
          <w:szCs w:val="20"/>
          <w:color w:val="auto"/>
        </w:rPr>
      </w:pPr>
    </w:p>
    <w:p>
      <w:pPr>
        <w:ind w:left="200" w:right="20" w:firstLine="551"/>
        <w:spacing w:after="0" w:line="255" w:lineRule="auto"/>
        <w:rPr>
          <w:sz w:val="20"/>
          <w:szCs w:val="20"/>
          <w:color w:val="auto"/>
        </w:rPr>
      </w:pPr>
      <w:r>
        <w:rPr>
          <w:rFonts w:ascii="Arial" w:cs="Arial" w:eastAsia="Arial" w:hAnsi="Arial"/>
          <w:sz w:val="17"/>
          <w:szCs w:val="17"/>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191" w:lineRule="exact"/>
        <w:rPr>
          <w:sz w:val="20"/>
          <w:szCs w:val="20"/>
          <w:color w:val="auto"/>
        </w:rPr>
      </w:pPr>
    </w:p>
    <w:p>
      <w:pPr>
        <w:jc w:val="both"/>
        <w:ind w:left="200" w:right="120" w:firstLine="551"/>
        <w:spacing w:after="0" w:line="239"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Code for our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Payroll Deductions</w:t>
      </w:r>
    </w:p>
    <w:p>
      <w:pPr>
        <w:spacing w:after="0" w:line="12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ESPP, as determined by our board of directors: (1) customarily employed for more than 20 hours per week, (2) customarily employed for more than five months per calendar year or (3)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to Capital Structure</w:t>
      </w:r>
    </w:p>
    <w:p>
      <w:pPr>
        <w:spacing w:after="0" w:line="122"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46"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make appropriate adjustments to (1) the number of shares reserved under the ESPP, (2) the maximum number of shares by which the share reserve may increase automatically each year and (3) the number of shares and purchase price of all outstanding purchase rights.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Transactions</w:t>
      </w:r>
    </w:p>
    <w:p>
      <w:pPr>
        <w:spacing w:after="0" w:line="12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Amendments, Termination</w:t>
      </w:r>
    </w:p>
    <w:p>
      <w:pPr>
        <w:spacing w:after="0" w:line="122"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Our board of directors has the authority to amend or terminate our ESPP, provided that except in certain circumstances any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Non-Employee Director Compensation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Director Compensation</w:t>
      </w:r>
    </w:p>
    <w:p>
      <w:pPr>
        <w:sectPr>
          <w:pgSz w:w="11900" w:h="16838" w:orient="portrait"/>
          <w:cols w:equalWidth="0" w:num="1">
            <w:col w:w="11180"/>
          </w:cols>
          <w:pgMar w:left="240" w:top="460" w:right="479" w:bottom="1440" w:gutter="0" w:footer="0" w:header="0"/>
        </w:sectPr>
      </w:pP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In , 2018, our board of directors approved a non-employee director compensation policy, which will be effective for all non-employee directors upon the completion of this offering. Each non-employee director will receive an annual base retainer of $ In addition, our non-employee directors will receive the following cash compensation for board services, as applicable: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19" w:lineRule="exact"/>
        <w:rPr>
          <w:sz w:val="20"/>
          <w:szCs w:val="20"/>
          <w:color w:val="auto"/>
        </w:rPr>
      </w:pPr>
    </w:p>
    <w:p>
      <w:pPr>
        <w:sectPr>
          <w:pgSz w:w="11900" w:h="16838" w:orient="portrait"/>
          <w:cols w:equalWidth="0" w:num="2">
            <w:col w:w="10800" w:space="300"/>
            <w:col w:w="80"/>
          </w:cols>
          <w:pgMar w:left="240" w:top="460"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chairperson will receive 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ectPr>
          <w:pgSz w:w="11900" w:h="16838" w:orient="portrait"/>
          <w:cols w:equalWidth="0" w:num="2">
            <w:col w:w="5800" w:space="600"/>
            <w:col w:w="4780"/>
          </w:cols>
          <w:pgMar w:left="240" w:top="460" w:right="479" w:bottom="1440" w:gutter="0" w:footer="0" w:header="0"/>
          <w:type w:val="continuous"/>
        </w:sect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each member of our audit, compensation and nominating and corporate governance committees, other than the chairperson, will</w:t>
      </w:r>
    </w:p>
    <w:p>
      <w:pPr>
        <w:ind w:left="960"/>
        <w:spacing w:after="0"/>
        <w:tabs>
          <w:tab w:leader="none" w:pos="4800" w:val="left"/>
          <w:tab w:leader="none" w:pos="5600" w:val="left"/>
          <w:tab w:leader="none" w:pos="6640" w:val="left"/>
        </w:tabs>
        <w:rPr>
          <w:sz w:val="20"/>
          <w:szCs w:val="20"/>
          <w:color w:val="auto"/>
        </w:rPr>
      </w:pPr>
      <w:r>
        <w:rPr>
          <w:rFonts w:ascii="Arial" w:cs="Arial" w:eastAsia="Arial" w:hAnsi="Arial"/>
          <w:sz w:val="18"/>
          <w:szCs w:val="18"/>
          <w:color w:val="auto"/>
        </w:rPr>
        <w:t>receive an additional 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 respectively; and</w:t>
      </w:r>
    </w:p>
    <w:p>
      <w:pPr>
        <w:spacing w:after="0" w:line="113"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tab/>
        <w:t>each chairperson of our audit, compensation and nominating and corporate governance committees will receive an additional</w:t>
      </w:r>
    </w:p>
    <w:p>
      <w:pPr>
        <w:ind w:left="960"/>
        <w:spacing w:after="0"/>
        <w:tabs>
          <w:tab w:leader="none" w:pos="3100" w:val="left"/>
          <w:tab w:leader="none" w:pos="3900" w:val="left"/>
          <w:tab w:leader="none" w:pos="4940" w:val="left"/>
        </w:tabs>
        <w:rPr>
          <w:sz w:val="20"/>
          <w:szCs w:val="20"/>
          <w:color w:val="auto"/>
        </w:rPr>
      </w:pPr>
      <w:r>
        <w:rPr>
          <w:rFonts w:ascii="Arial" w:cs="Arial" w:eastAsia="Arial" w:hAnsi="Arial"/>
          <w:sz w:val="18"/>
          <w:szCs w:val="18"/>
          <w:color w:val="auto"/>
        </w:rPr>
        <w:t>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 respectively.</w:t>
      </w:r>
    </w:p>
    <w:p>
      <w:pPr>
        <w:spacing w:after="0" w:line="212" w:lineRule="exact"/>
        <w:rPr>
          <w:sz w:val="20"/>
          <w:szCs w:val="20"/>
          <w:color w:val="auto"/>
        </w:rPr>
      </w:pPr>
    </w:p>
    <w:p>
      <w:pPr>
        <w:ind w:left="200" w:right="160" w:firstLine="551"/>
        <w:spacing w:after="0" w:line="248" w:lineRule="auto"/>
        <w:rPr>
          <w:sz w:val="20"/>
          <w:szCs w:val="20"/>
          <w:color w:val="auto"/>
        </w:rPr>
      </w:pPr>
      <w:r>
        <w:rPr>
          <w:rFonts w:ascii="Arial" w:cs="Arial" w:eastAsia="Arial" w:hAnsi="Arial"/>
          <w:sz w:val="17"/>
          <w:szCs w:val="17"/>
          <w:color w:val="auto"/>
        </w:rPr>
        <w:t>We will pay all amounts in quarterly installments. We will also reimburse each of our directors for their travel expenses incurred in connection with their attendance at board of directors and committee meetings. In addition, newly appointed non-employee directors will</w:t>
      </w:r>
    </w:p>
    <w:p>
      <w:pPr>
        <w:spacing w:after="0" w:line="1" w:lineRule="exact"/>
        <w:rPr>
          <w:sz w:val="20"/>
          <w:szCs w:val="20"/>
          <w:color w:val="auto"/>
        </w:rPr>
      </w:pPr>
    </w:p>
    <w:p>
      <w:pPr>
        <w:ind w:left="200" w:right="60"/>
        <w:spacing w:after="0" w:line="234" w:lineRule="auto"/>
        <w:rPr>
          <w:sz w:val="20"/>
          <w:szCs w:val="20"/>
          <w:color w:val="auto"/>
        </w:rPr>
      </w:pPr>
      <w:r>
        <w:rPr>
          <w:rFonts w:ascii="Arial" w:cs="Arial" w:eastAsia="Arial" w:hAnsi="Arial"/>
          <w:sz w:val="18"/>
          <w:szCs w:val="18"/>
          <w:color w:val="auto"/>
        </w:rPr>
        <w:t>receive a one-time initial award of options to purchase shares of our common stock,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w:t>
      </w:r>
    </w:p>
    <w:p>
      <w:pPr>
        <w:spacing w:after="0" w:line="2"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director will receive an annual award of options to purchase shares of our common stock, which will vest quarterly over one year from the grant date, such that the shares will be fully vested on the first anniversary of the date of grant, subject to the director’s continued service on the board of directors. In addition, in the event of a change in control of the company, the shares underlying such grants will vest and become exercisable immediately prior to the effectiveness of such change in control.</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60" w:right="47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non-employee directors did not receive any cash or equity compensation for their services as directors during 2017.</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07" w:lineRule="exact"/>
        <w:rPr>
          <w:sz w:val="20"/>
          <w:szCs w:val="20"/>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212" w:lineRule="exact"/>
        <w:rPr>
          <w:sz w:val="20"/>
          <w:szCs w:val="20"/>
          <w:color w:val="auto"/>
        </w:rPr>
      </w:pPr>
    </w:p>
    <w:p>
      <w:pPr>
        <w:ind w:left="200" w:right="680" w:firstLine="551"/>
        <w:spacing w:after="0" w:line="246"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205"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203"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4"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Other than compensation arrangements, we describe below transactions and series of similar transactions, since January 1, 2015, to which we were a party or will be a party, in which:</w:t>
      </w:r>
    </w:p>
    <w:p>
      <w:pPr>
        <w:spacing w:after="0" w:line="102" w:lineRule="exact"/>
        <w:rPr>
          <w:sz w:val="20"/>
          <w:szCs w:val="20"/>
          <w:color w:val="auto"/>
        </w:rPr>
      </w:pPr>
    </w:p>
    <w:p>
      <w:pPr>
        <w:ind w:left="960" w:hanging="216"/>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member of the immediate family of the foregoing persons, had or will have a direct or indirect material interest.</w:t>
      </w:r>
    </w:p>
    <w:p>
      <w:pPr>
        <w:spacing w:after="0" w:line="197" w:lineRule="exact"/>
        <w:rPr>
          <w:sz w:val="20"/>
          <w:szCs w:val="20"/>
          <w:color w:val="auto"/>
        </w:rPr>
      </w:pPr>
    </w:p>
    <w:p>
      <w:pPr>
        <w:ind w:left="200" w:right="200" w:firstLine="551"/>
        <w:spacing w:after="0" w:line="257"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and certain severance and change in control benefits. For a description of these agreements and arrangements, see the sections titled “Executive and Director Compensation—Agreements with our Named Executive Officers” and “Executive and Director Compensation—Potential Payments upon Termination or Change of Control.”</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Merck Collaboration Agreement</w:t>
      </w:r>
    </w:p>
    <w:p>
      <w:pPr>
        <w:spacing w:after="0" w:line="234" w:lineRule="exact"/>
        <w:rPr>
          <w:sz w:val="20"/>
          <w:szCs w:val="20"/>
          <w:color w:val="auto"/>
        </w:rPr>
      </w:pPr>
    </w:p>
    <w:p>
      <w:pPr>
        <w:ind w:left="200" w:right="780" w:firstLine="551"/>
        <w:spacing w:after="0" w:line="246"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For a detailed description of this agreement, see the section titled “Business—Our Collaboration with Merck.”</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Concurrent Private Placement</w:t>
      </w:r>
    </w:p>
    <w:p>
      <w:pPr>
        <w:spacing w:after="0" w:line="234" w:lineRule="exact"/>
        <w:rPr>
          <w:sz w:val="20"/>
          <w:szCs w:val="20"/>
          <w:color w:val="auto"/>
        </w:rPr>
      </w:pPr>
    </w:p>
    <w:p>
      <w:pPr>
        <w:jc w:val="both"/>
        <w:ind w:left="200" w:right="180" w:firstLine="551"/>
        <w:spacing w:after="0" w:line="234" w:lineRule="auto"/>
        <w:rPr>
          <w:sz w:val="20"/>
          <w:szCs w:val="20"/>
          <w:color w:val="auto"/>
        </w:rPr>
      </w:pPr>
      <w:r>
        <w:rPr>
          <w:rFonts w:ascii="Arial" w:cs="Arial" w:eastAsia="Arial" w:hAnsi="Arial"/>
          <w:sz w:val="18"/>
          <w:szCs w:val="18"/>
          <w:color w:val="auto"/>
        </w:rPr>
        <w:t>Merck, a strategic collaborator and existing stockholder, has agreed to purchase, in a separate private placement concurrent with the completion of this offering at a price per share equal to the public offering price, a number of shares of our common stock that would result in Merck owning approximately 19.9% of our outstanding shares of common stock following the completion of this offering. Based</w:t>
      </w:r>
    </w:p>
    <w:p>
      <w:pPr>
        <w:spacing w:after="0" w:line="2" w:lineRule="exact"/>
        <w:rPr>
          <w:sz w:val="20"/>
          <w:szCs w:val="20"/>
          <w:color w:val="auto"/>
        </w:rPr>
      </w:pPr>
    </w:p>
    <w:p>
      <w:pPr>
        <w:jc w:val="both"/>
        <w:ind w:left="200" w:right="240"/>
        <w:spacing w:after="0" w:line="234" w:lineRule="auto"/>
        <w:rPr>
          <w:sz w:val="20"/>
          <w:szCs w:val="20"/>
          <w:color w:val="auto"/>
        </w:rPr>
      </w:pPr>
      <w:r>
        <w:rPr>
          <w:rFonts w:ascii="Arial" w:cs="Arial" w:eastAsia="Arial" w:hAnsi="Arial"/>
          <w:sz w:val="18"/>
          <w:szCs w:val="18"/>
          <w:color w:val="auto"/>
        </w:rPr>
        <w:t>upon an assumed initial public offering price of $ per share, which is the midpoint of the range set forth on the cover page of this prospectus, Merck would purchase shares of our common stock. The sale of such shares will not be registered under the</w:t>
      </w:r>
    </w:p>
    <w:p>
      <w:pPr>
        <w:spacing w:after="0" w:line="2"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Securities Act of 1933, as amended. The completion of this offering is not contingent upon the completion of such concurrent private placement.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Series D Convertible Preferred Stock Financing</w:t>
      </w:r>
    </w:p>
    <w:p>
      <w:pPr>
        <w:spacing w:after="0" w:line="234" w:lineRule="exact"/>
        <w:rPr>
          <w:sz w:val="20"/>
          <w:szCs w:val="20"/>
          <w:color w:val="auto"/>
        </w:rPr>
      </w:pPr>
    </w:p>
    <w:p>
      <w:pPr>
        <w:jc w:val="both"/>
        <w:ind w:left="200" w:right="460" w:firstLine="551"/>
        <w:spacing w:after="0" w:line="239" w:lineRule="auto"/>
        <w:rPr>
          <w:sz w:val="20"/>
          <w:szCs w:val="20"/>
          <w:color w:val="auto"/>
        </w:rPr>
      </w:pPr>
      <w:r>
        <w:rPr>
          <w:rFonts w:ascii="Arial" w:cs="Arial" w:eastAsia="Arial" w:hAnsi="Arial"/>
          <w:sz w:val="18"/>
          <w:szCs w:val="18"/>
          <w:color w:val="auto"/>
        </w:rPr>
        <w:t>In February 2015 and March 2015, we issued an aggregate of 7,364,000 shares of our Series D convertible preferred stock at $5.00 per share, for aggregate consideration of $36,820,000. The table below sets forth the number of shares of Series D convertible preferred stock sold to stockholders who held more than 5% of a class of our capital stock and their affiliates, to the extent they were issued more than $120,000 of Series D convertible preferred stock:</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Series 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The Column Group LP(1)</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Topspin Fund L.P.</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2,000,000</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Prospect Venture Partners III, L.P.(2)</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Tichenor Ventures, LLC(3).</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9" w:lineRule="exact"/>
        <w:rPr>
          <w:sz w:val="20"/>
          <w:szCs w:val="20"/>
          <w:color w:val="auto"/>
        </w:rPr>
      </w:pPr>
    </w:p>
    <w:p>
      <w:pPr>
        <w:ind w:left="740" w:hanging="53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David V. Goeddel, Ph.D. and Peter Svennilson, members of our board of directors, are affiliated with The Column Group LP.</w:t>
      </w:r>
    </w:p>
    <w:p>
      <w:pPr>
        <w:ind w:left="740" w:hanging="536"/>
        <w:spacing w:after="0" w:line="234" w:lineRule="auto"/>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David Schnell, M.D., a member of our board of directors, is affiliated with Prospect Venture Partners III, L.P.</w:t>
      </w:r>
    </w:p>
    <w:p>
      <w:pPr>
        <w:ind w:left="740" w:hanging="536"/>
        <w:spacing w:after="0"/>
        <w:tabs>
          <w:tab w:leader="none" w:pos="7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McHenry T. Tichenor, Jr., a member of our board of directors, is affiliated with Tichenor Ventures, LLC.</w:t>
      </w: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Series E Convertible Preferred Stock Financing</w:t>
      </w:r>
    </w:p>
    <w:p>
      <w:pPr>
        <w:spacing w:after="0" w:line="234"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In February 2015, Merck, in conjunction with our research collaboration, product development and license agreement, entered into a stock purchase agreement with us to purchase approximately 17,666,666 our Series E convertible preferred stock at $6.00 per share, for aggregate consideration of $106 million. Merck was the sole investor in our Series E convertible preferred stock financing.</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Amended and Restated Investor Rights Agreement</w:t>
      </w:r>
    </w:p>
    <w:p>
      <w:pPr>
        <w:spacing w:after="0" w:line="234"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We have entered into an amended and restated investor rights agreement with certain holders of our convertible preferred stock, including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With respect to this offering, the registration rights have been validly waived. In addition to registration rights, the amended and restated investor rights agreement provides for certain information rights and a right of first offer. The provisions of the amended and restated investors’ rights agreement, other than those related to registration rights, will terminate upon the completion of this offering. For a detailed description of registration rights under this agreement, see “Description of Capital Stock—Registration Rights.”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Voting Agreement</w:t>
      </w:r>
    </w:p>
    <w:p>
      <w:pPr>
        <w:spacing w:after="0" w:line="234"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have entered into an amended and restated voting agreement under which certain holders of our capital stock, including certain holders of 5% of our capital stock and entities affiliated with certain of our directors, have agreed to vote in a certain way on certain matters, including with respect to the election of directors. All of our current directors were elected pursuant to the terms of this agreement. The amended and restated voting agreement will terminate upon the completion of this offering.</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234"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We have entered into an amended and restated right of first refusal and co-sale agreement with our founder, our chief executive officer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chief executive officer. Upon the completion of this offering, the right of first refusal and co-sale agreement will terminate.</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Other Transactions</w:t>
      </w:r>
    </w:p>
    <w:p>
      <w:pPr>
        <w:spacing w:after="0" w:line="234"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In June 2015, entities affiliated with Tichenor Ventures, LLC sold an aggregate of 1,750,001 shares of our Series B convertible preferred stock at a price of $6.00 per share to the Stony Brook Foundation, Inc. and the Institute for Advanced Study. McHenry T. Tichenor, Jr. is a member of our board of directors.</w:t>
      </w:r>
    </w:p>
    <w:p>
      <w:pPr>
        <w:spacing w:after="0" w:line="203" w:lineRule="exact"/>
        <w:rPr>
          <w:sz w:val="20"/>
          <w:szCs w:val="20"/>
          <w:color w:val="auto"/>
        </w:rPr>
      </w:pPr>
    </w:p>
    <w:p>
      <w:pPr>
        <w:ind w:left="200" w:right="360" w:firstLine="551"/>
        <w:spacing w:after="0" w:line="246" w:lineRule="auto"/>
        <w:rPr>
          <w:sz w:val="20"/>
          <w:szCs w:val="20"/>
          <w:color w:val="auto"/>
        </w:rPr>
      </w:pPr>
      <w:r>
        <w:rPr>
          <w:rFonts w:ascii="Arial" w:cs="Arial" w:eastAsia="Arial" w:hAnsi="Arial"/>
          <w:sz w:val="18"/>
          <w:szCs w:val="18"/>
          <w:color w:val="auto"/>
        </w:rPr>
        <w:t>In May 2016, entities affiliated with The Column Group and Tichenor Ventures, LLC purchased a total of 629,879 shares of our common stock at a price of $3.82 per share from a total of six employees, including 410,633 shares purchased from Dr. Chen.</w:t>
      </w:r>
    </w:p>
    <w:p>
      <w:pPr>
        <w:spacing w:after="0" w:line="197"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In November 2016, entities affiliated with The Column Group purchased a total of 400,000 shares of our Series D convertible preferred stock at a price of $6.00 per share from one stockholder.</w:t>
      </w:r>
    </w:p>
    <w:p>
      <w:pPr>
        <w:spacing w:after="0" w:line="197"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In December 2016, entities affiliated with The Column Group purchased a total of 220,000 shares of our Series B and Series C convertible preferred stock at a price of $6.00 per share from a total of eight stockholders.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Indemnification Agreements</w:t>
      </w:r>
    </w:p>
    <w:p>
      <w:pPr>
        <w:spacing w:after="0" w:line="234"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We have entered into indemnification agreements with each of our current directors and officers. For more information regarding these agreement, see “Executive and Director Compensation—Limitation of Liability and Indemnification Agreements.”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intend to adopt a related person transaction policy that will be in effect upon completion of this offering. Pursuant to the related person transaction policy, all proposed related person transactions must be approved by either (i) our audit committee (or any other committee of our board of directors consisting of independent directors), or (ii) our full board of directors. This review will cover any transaction, arrangement or relationship, or any series of similar transactions, arrangements or relationships, in which we were or are to be a participant, the amount involved exceeds $120,000, and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207"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60"/>
          </w:cols>
          <w:pgMar w:left="24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the beneficial ownership of our capital stock as of June 30, 2018 by:</w:t>
      </w:r>
    </w:p>
    <w:p>
      <w:pPr>
        <w:spacing w:after="0" w:line="117" w:lineRule="exact"/>
        <w:rPr>
          <w:sz w:val="20"/>
          <w:szCs w:val="20"/>
          <w:color w:val="auto"/>
        </w:rPr>
      </w:pPr>
    </w:p>
    <w:p>
      <w:pPr>
        <w:ind w:left="960" w:hanging="216"/>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212" w:lineRule="exact"/>
        <w:rPr>
          <w:sz w:val="20"/>
          <w:szCs w:val="20"/>
          <w:color w:val="auto"/>
        </w:rPr>
      </w:pPr>
    </w:p>
    <w:p>
      <w:pPr>
        <w:ind w:left="200" w:firstLine="551"/>
        <w:spacing w:after="0" w:line="248" w:lineRule="auto"/>
        <w:rPr>
          <w:sz w:val="20"/>
          <w:szCs w:val="20"/>
          <w:color w:val="auto"/>
        </w:rPr>
      </w:pPr>
      <w:r>
        <w:rPr>
          <w:rFonts w:ascii="Arial" w:cs="Arial" w:eastAsia="Arial" w:hAnsi="Arial"/>
          <w:sz w:val="17"/>
          <w:szCs w:val="17"/>
          <w:color w:val="auto"/>
        </w:rPr>
        <w:t>We have based our calculation of beneficial ownership prior to this offering and concurrent private placement to Merck on 107,184,644 shares of common stock outstanding as of June 30, 2018, which includes 94,534,932 shares of our common stock resulting from the conversion of all outstanding shares of our convertible preferred stock into our common stock immediately prior to the completion of this offering and concurrent private placement to Merck, as if this conversion had occurred as of June 30, 2018. We have based our</w:t>
      </w:r>
    </w:p>
    <w:p>
      <w:pPr>
        <w:spacing w:after="0" w:line="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calculation of beneficial ownership after this offering and concurrent private placement to Merck on shares of our common stock outstanding immediately following the completion of this offering and the concurrent private placement to Merck. Ownership information assumes no exercise of the underwriters’ option to purchase additional shares.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60"/>
          </w:cols>
          <w:pgMar w:left="240" w:top="460"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June 30, 2018. Options to purchase shares of our common stock that are exercisable within 60 days of June 30, 2018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subject to community property laws where applicable. Unless otherwise indicated, the address for each of the stockholders in the table below is c/o NGM Biopharmaceuticals, Inc., 333 Oyster Point Blvd., South San Francisco, California 94080.</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w w:val="99"/>
              </w:rPr>
              <w:t>Before</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offering</w:t>
            </w:r>
          </w:p>
        </w:tc>
        <w:tc>
          <w:tcPr>
            <w:tcW w:w="3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and</w:t>
            </w:r>
          </w:p>
        </w:tc>
        <w:tc>
          <w:tcPr>
            <w:tcW w:w="3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62"/>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6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private</w:t>
            </w:r>
          </w:p>
        </w:tc>
        <w:tc>
          <w:tcPr>
            <w:tcW w:w="32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private</w:t>
            </w:r>
          </w:p>
        </w:tc>
        <w:tc>
          <w:tcPr>
            <w:tcW w:w="0" w:type="dxa"/>
            <w:vAlign w:val="bottom"/>
          </w:tcPr>
          <w:p>
            <w:pPr>
              <w:spacing w:after="0"/>
              <w:rPr>
                <w:sz w:val="1"/>
                <w:szCs w:val="1"/>
                <w:color w:val="auto"/>
              </w:rPr>
            </w:pPr>
          </w:p>
        </w:tc>
      </w:tr>
      <w:tr>
        <w:trPr>
          <w:trHeight w:val="162"/>
        </w:trPr>
        <w:tc>
          <w:tcPr>
            <w:tcW w:w="720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owned</w:t>
            </w:r>
          </w:p>
        </w:tc>
        <w:tc>
          <w:tcPr>
            <w:tcW w:w="1800" w:type="dxa"/>
            <w:vAlign w:val="bottom"/>
            <w:gridSpan w:val="3"/>
          </w:tcPr>
          <w:p>
            <w:pPr>
              <w:jc w:val="center"/>
              <w:ind w:left="71"/>
              <w:spacing w:after="0"/>
              <w:rPr>
                <w:sz w:val="20"/>
                <w:szCs w:val="20"/>
                <w:color w:val="auto"/>
              </w:rPr>
            </w:pPr>
            <w:r>
              <w:rPr>
                <w:rFonts w:ascii="Arial" w:cs="Arial" w:eastAsia="Arial" w:hAnsi="Arial"/>
                <w:sz w:val="14"/>
                <w:szCs w:val="14"/>
                <w:b w:val="1"/>
                <w:bCs w:val="1"/>
                <w:color w:val="auto"/>
              </w:rPr>
              <w:t>placement</w:t>
            </w:r>
          </w:p>
        </w:tc>
        <w:tc>
          <w:tcPr>
            <w:tcW w:w="10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placement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and Greater Stockholders: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Entities affiliated with The Column Group(1)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27,138,182</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25.3%</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Merck Sharp &amp; Dohme Corp.(2)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17,666,666</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Prospect Ventures Partners III, L.P.(3)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9,850,000</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9.2%</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Topspin Fund L.P.(4)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9,666,667</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Entities affiliated with Rho Ventures(5)</w:t>
            </w:r>
          </w:p>
        </w:tc>
        <w:tc>
          <w:tcPr>
            <w:tcW w:w="960" w:type="dxa"/>
            <w:vAlign w:val="bottom"/>
          </w:tcPr>
          <w:p>
            <w:pPr>
              <w:jc w:val="right"/>
              <w:spacing w:after="0"/>
              <w:rPr>
                <w:sz w:val="20"/>
                <w:szCs w:val="20"/>
                <w:color w:val="auto"/>
              </w:rPr>
            </w:pPr>
            <w:r>
              <w:rPr>
                <w:rFonts w:ascii="Arial" w:cs="Arial" w:eastAsia="Arial" w:hAnsi="Arial"/>
                <w:sz w:val="18"/>
                <w:szCs w:val="18"/>
                <w:color w:val="auto"/>
              </w:rPr>
              <w:t>7,533,334</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5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William J. Rieflin(6)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5,988,336</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5.5%</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Jin-Long Chen, Ph.D.(7)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5,587,886</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Jeffrey D. Jonker(8)</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1,515,000</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David V. Goeddel, Ph.D.(9)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27,518,182</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25.7%</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Suzanne Sawochka Hooper</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Mark Leschly(10)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7,533,334</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David Schnell, M.D.(11)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9,850,000</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9.2%</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Peter Svennilson(12)</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27,138,182</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McHenry T. Tichenor, Jr.(13)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3,744,629</w:t>
            </w:r>
          </w:p>
        </w:tc>
        <w:tc>
          <w:tcPr>
            <w:tcW w:w="18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3.5%</w:t>
            </w: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All executive officers and directors as a group (11 persons)(14)</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63,877,367</w:t>
            </w:r>
          </w:p>
        </w:tc>
        <w:tc>
          <w:tcPr>
            <w:tcW w:w="18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55.6%</w:t>
            </w: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740" w:right="420" w:hanging="536"/>
        <w:spacing w:after="0" w:line="234"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Consists of (i) 22,206,666 shares held of record by The Column Group, LP, (ii) 4,531,516 shares held of record by The Column Group II, LP, (iii) 200,000 shares held of record by The Column Group GP, LP and (iv) 200,000 shares held of record by The Column Group Management, LP. Mr. Svennilson and Dr. Goeddel are managing partners of The Column Group GP, LP, The Column Group II GP, LP and Ponoi Capital, GP, LP, which are the general partners of The Column Group, LP and The Column Group II, LP, respectively, and share voting and investment power with respect to such shares. The principal address of The Column Group, LP is 1700 Owens Street, Suite 500, San Francisco, California 94158.</w:t>
      </w:r>
    </w:p>
    <w:p>
      <w:pPr>
        <w:spacing w:after="0" w:line="4" w:lineRule="exact"/>
        <w:rPr>
          <w:rFonts w:ascii="Arial" w:cs="Arial" w:eastAsia="Arial" w:hAnsi="Arial"/>
          <w:sz w:val="18"/>
          <w:szCs w:val="18"/>
          <w:color w:val="auto"/>
        </w:rPr>
      </w:pPr>
    </w:p>
    <w:p>
      <w:pPr>
        <w:ind w:left="740" w:right="20" w:hanging="536"/>
        <w:spacing w:after="0" w:line="239" w:lineRule="auto"/>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Merck has agreed to vote its shares in favor of our nominees to the board of directors, increases in the authorized capital stock of the company and amendments to our equity plans approved by our board of directors, in each case as recommended by the chairman our board of directors. Merck has also agreed, subject to specified exceptions, and during the period of our five-year initial research phase, not to sell any of its shares of our capital stock. The principal address of</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200"/>
        <w:spacing w:after="0" w:line="234" w:lineRule="auto"/>
        <w:rPr>
          <w:sz w:val="20"/>
          <w:szCs w:val="20"/>
          <w:color w:val="auto"/>
        </w:rPr>
      </w:pPr>
      <w:r>
        <w:rPr>
          <w:rFonts w:ascii="Arial" w:cs="Arial" w:eastAsia="Arial" w:hAnsi="Arial"/>
          <w:sz w:val="18"/>
          <w:szCs w:val="18"/>
          <w:color w:val="auto"/>
        </w:rPr>
        <w:t>Merck is One Merck Drive, Whitehouse Station, New Jersey 08889. In addition, the percentage of shares beneficially owned after this offering assumes that Merck has purchased, in a separate private placement concurrent with the completion of this</w:t>
      </w:r>
    </w:p>
    <w:p>
      <w:pPr>
        <w:spacing w:after="0" w:line="2" w:lineRule="exact"/>
        <w:rPr>
          <w:sz w:val="20"/>
          <w:szCs w:val="20"/>
          <w:color w:val="auto"/>
        </w:rPr>
      </w:pPr>
    </w:p>
    <w:p>
      <w:pPr>
        <w:ind w:left="740" w:right="220"/>
        <w:spacing w:after="0" w:line="234" w:lineRule="auto"/>
        <w:rPr>
          <w:sz w:val="20"/>
          <w:szCs w:val="20"/>
          <w:color w:val="auto"/>
        </w:rPr>
      </w:pPr>
      <w:r>
        <w:rPr>
          <w:rFonts w:ascii="Arial" w:cs="Arial" w:eastAsia="Arial" w:hAnsi="Arial"/>
          <w:sz w:val="18"/>
          <w:szCs w:val="18"/>
          <w:color w:val="auto"/>
        </w:rPr>
        <w:t>offering shares of our common stock, based upon an assumed initial public offering price of $ per share, which is the midpoint of the range set forth on the cover page of this prospectus.</w:t>
      </w:r>
    </w:p>
    <w:p>
      <w:pPr>
        <w:spacing w:after="0" w:line="2" w:lineRule="exact"/>
        <w:rPr>
          <w:sz w:val="20"/>
          <w:szCs w:val="20"/>
          <w:color w:val="auto"/>
        </w:rPr>
      </w:pPr>
    </w:p>
    <w:p>
      <w:pPr>
        <w:ind w:left="740" w:right="2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members of its general partner, Prospect Management Co. III, L.L.C.: Dr. Schnell and Dr. Russell Hirsch. The principal address of Prospect Venture Partners III L.P. is 525 University Avenue, Suite 1350, Palo Alto, California 94301.</w:t>
      </w:r>
    </w:p>
    <w:p>
      <w:pPr>
        <w:spacing w:after="0" w:line="2" w:lineRule="exact"/>
        <w:rPr>
          <w:rFonts w:ascii="Arial" w:cs="Arial" w:eastAsia="Arial" w:hAnsi="Arial"/>
          <w:sz w:val="18"/>
          <w:szCs w:val="18"/>
          <w:color w:val="auto"/>
        </w:rPr>
      </w:pPr>
    </w:p>
    <w:p>
      <w:pPr>
        <w:ind w:left="740" w:right="10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voting and investment power with respect to such shares is shared by the following managing partners of Topspin Fund L.P.: Andrew Gyenes, Leo Guthart, James Simons and Steven Winick. The principal address of Topspin Fund L.P. is Three Expressway Plaza, #200, Roslyn Heights, New York, New York 11577.</w:t>
      </w:r>
    </w:p>
    <w:p>
      <w:pPr>
        <w:spacing w:after="0" w:line="2" w:lineRule="exact"/>
        <w:rPr>
          <w:rFonts w:ascii="Arial" w:cs="Arial" w:eastAsia="Arial" w:hAnsi="Arial"/>
          <w:sz w:val="18"/>
          <w:szCs w:val="18"/>
          <w:color w:val="auto"/>
        </w:rPr>
      </w:pPr>
    </w:p>
    <w:p>
      <w:pPr>
        <w:ind w:left="740" w:right="8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(a) 6,925,297 shares held of record by Rho Ventures V, L.P. and (b) 608,037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The address for the funds affiliated with Rho Ventures is Carnegie Hall Tower, 152 West 57th Street, 23rd Floor, New York, New York 10019.</w:t>
      </w:r>
    </w:p>
    <w:p>
      <w:pPr>
        <w:spacing w:after="0" w:line="4" w:lineRule="exact"/>
        <w:rPr>
          <w:rFonts w:ascii="Arial" w:cs="Arial" w:eastAsia="Arial" w:hAnsi="Arial"/>
          <w:sz w:val="18"/>
          <w:szCs w:val="18"/>
          <w:color w:val="auto"/>
        </w:rPr>
      </w:pPr>
    </w:p>
    <w:p>
      <w:pPr>
        <w:jc w:val="both"/>
        <w:ind w:left="740" w:right="20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4,588,336 shares held in trust for which Mr. Rieflin serves as trustee and shares voting and investment control and (ii) 1,400,000 shares pursuant to options exercisable within 60 days of June 30, 2018, of which 560,415 shares have vested as of such date.</w:t>
      </w:r>
    </w:p>
    <w:p>
      <w:pPr>
        <w:spacing w:after="0" w:line="2"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2,262,886 shares and (ii) 3,325,000 shares pursuant to options exercisable within 60 days of June 30, 2018, of which 2,510,416 shares have vested as of such date.</w:t>
      </w:r>
    </w:p>
    <w:p>
      <w:pPr>
        <w:spacing w:after="0" w:line="1" w:lineRule="exact"/>
        <w:rPr>
          <w:rFonts w:ascii="Arial" w:cs="Arial" w:eastAsia="Arial" w:hAnsi="Arial"/>
          <w:sz w:val="18"/>
          <w:szCs w:val="18"/>
          <w:color w:val="auto"/>
        </w:rPr>
      </w:pPr>
    </w:p>
    <w:p>
      <w:pPr>
        <w:ind w:left="740" w:right="16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425,000 shares and (ii) 1,090,000 shares pursuant to options exercisable within 60 days of June 30, 2018, of which 612,604 shares have vested as of such date.</w:t>
      </w:r>
    </w:p>
    <w:p>
      <w:pPr>
        <w:spacing w:after="0" w:line="1" w:lineRule="exact"/>
        <w:rPr>
          <w:rFonts w:ascii="Arial" w:cs="Arial" w:eastAsia="Arial" w:hAnsi="Arial"/>
          <w:sz w:val="18"/>
          <w:szCs w:val="18"/>
          <w:color w:val="auto"/>
        </w:rPr>
      </w:pPr>
    </w:p>
    <w:p>
      <w:pPr>
        <w:ind w:left="740" w:right="46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380,000 shares held in trust for which David V. Goeddel and Alena Z. Goeddel serve as co-trustees, and (ii) the shares described in footnote (1) above.</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the shares described in footnote (5) above.</w:t>
      </w:r>
    </w:p>
    <w:p>
      <w:pPr>
        <w:ind w:left="74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the shares described in footnote (3) above.</w:t>
      </w:r>
    </w:p>
    <w:p>
      <w:pPr>
        <w:ind w:left="74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the shares described in footnote (1) above.</w:t>
      </w:r>
    </w:p>
    <w:p>
      <w:pPr>
        <w:ind w:left="740" w:right="180" w:hanging="536"/>
        <w:spacing w:after="0" w:line="234" w:lineRule="auto"/>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3,744,629 shares held of record by Tichenor Ventures, LLC. Mr. Tichenor is the president and managing partner of Tichenor Ventures, LLC and has sole voting and investment power with respect to such shares. The principal address of Tichenor Ventures, LLC is 100 Crescent Court, Suite 700, Dallas, Texas 75201.</w:t>
      </w:r>
    </w:p>
    <w:p>
      <w:pPr>
        <w:spacing w:after="0" w:line="2" w:lineRule="exact"/>
        <w:rPr>
          <w:rFonts w:ascii="Arial" w:cs="Arial" w:eastAsia="Arial" w:hAnsi="Arial"/>
          <w:sz w:val="18"/>
          <w:szCs w:val="18"/>
          <w:color w:val="auto"/>
        </w:rPr>
      </w:pPr>
    </w:p>
    <w:p>
      <w:pPr>
        <w:jc w:val="both"/>
        <w:ind w:left="740" w:right="460" w:hanging="536"/>
        <w:spacing w:after="0"/>
        <w:tabs>
          <w:tab w:leader="none" w:pos="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Consists of (i) 56,082,367 shares held of record by our executive officers and directors, of which 93,230 shares are subject to repurchase by us at the original purchase price as of June 30, 2018, and (ii) 7,795,000 shares pursuant to options exercisable within 60 days of June 30, 2018, of which 5,070,515 shares have vested as of such date.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following description of our capital stock summarizes the most important terms of our capital stock as they are expected to be in effect upon the completion of this offering. The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completion of this offering. Copies of these documents will be filed with the SEC as exhibits to our registration statement, of which this prospectus forms a part.</w:t>
      </w:r>
    </w:p>
    <w:p>
      <w:pPr>
        <w:spacing w:after="0" w:line="20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Our amended and restated certificate of incorporation provides for common stock and undesignated convertible preferred stock, the rights, preferences and privileges of which may be designated from time to time by our board of directors.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w:t>
      </w:r>
    </w:p>
    <w:p>
      <w:pPr>
        <w:ind w:left="200" w:right="20" w:firstLine="800"/>
        <w:spacing w:after="0"/>
        <w:rPr>
          <w:sz w:val="20"/>
          <w:szCs w:val="20"/>
          <w:color w:val="auto"/>
        </w:rPr>
      </w:pPr>
      <w:r>
        <w:rPr>
          <w:rFonts w:ascii="Arial" w:cs="Arial" w:eastAsia="Arial" w:hAnsi="Arial"/>
          <w:sz w:val="18"/>
          <w:szCs w:val="18"/>
          <w:color w:val="auto"/>
        </w:rPr>
        <w:t>shares of common stock, par value $0.001 per share, and shares of preferred stock, par value $0.001 per share. As of June 30, 2018, assuming the conversion of all outstanding shares of our convertible preferred stock into an aggregate of 94,534,932 shares of our common stock, there were outstanding:</w:t>
      </w:r>
    </w:p>
    <w:p>
      <w:pPr>
        <w:spacing w:after="0" w:line="108" w:lineRule="exact"/>
        <w:rPr>
          <w:sz w:val="20"/>
          <w:szCs w:val="20"/>
          <w:color w:val="auto"/>
        </w:rPr>
      </w:pPr>
    </w:p>
    <w:p>
      <w:pPr>
        <w:ind w:left="960" w:hanging="216"/>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107,184,644 shares of our common stock held by approximately 166 stockholders of record;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39,274 shares of our common stock issuable upon exercise of the outstanding Series A convertible preferred stock warrant;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19,398,203 shares of our common stock issuable upon exercise of outstanding stock options.</w:t>
      </w: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w:t>
      </w:r>
    </w:p>
    <w:p>
      <w:pPr>
        <w:ind w:left="200" w:right="60"/>
        <w:spacing w:after="0" w:line="238" w:lineRule="auto"/>
        <w:rPr>
          <w:sz w:val="20"/>
          <w:szCs w:val="20"/>
          <w:color w:val="auto"/>
        </w:rPr>
      </w:pPr>
      <w:r>
        <w:rPr>
          <w:rFonts w:ascii="Arial" w:cs="Arial" w:eastAsia="Arial" w:hAnsi="Arial"/>
          <w:sz w:val="18"/>
          <w:szCs w:val="18"/>
          <w:color w:val="auto"/>
        </w:rPr>
        <w:t xml:space="preserve">addition to any vote of holders of a specific class or series, or required by law or the amended and restated certificate of incorporation, the affirmative vote of holders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of all of the then 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In connection with this offering, all outstanding shares of our convertible preferred stock and warrants to purchase shares of convertible preferred stock will convert into shares of common stock or warrants to purchase shares of common stock.</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Upon completion of this offering, our board of directors will have the authority, without further action by our stockholders, to issue up</w:t>
      </w:r>
    </w:p>
    <w:p>
      <w:pPr>
        <w:spacing w:after="0" w:line="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to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 We have no current plan to issue any shares of convertible preferred stock.</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w:t>
      </w:r>
    </w:p>
    <w:p>
      <w:pPr>
        <w:spacing w:after="0" w:line="234"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As of June 30, 2018, there was an outstanding warrant to purchase 39,274 shares of our Series A convertible preferred stock at an exercise price of $1.00 per share. We issued the warrant in connection with a debt facility and its subsequent drawdowns from February through December 2009. The warrant has a net exercise provision under which the holder, in lieu of payment of the exercise price in cash, can surrender the warrant and receive a net number of shares of our convertible preferred stock based on the fair market value of such stock at the time of exercise of the warrant after deduction of the aggregate exercise price. Unless earlier exercised, the warrant will expire on February 3, 2019.</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are party to an amended and restated investor rights agreement that provides that holders of our convertible preferred stock and certain holders of our common stock, including certain holders of 5% of our capital stock and entities affiliated with certain of our directors, have certain registration rights, as set forth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demand, piggyback and Form S-3 registrations described below.</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(i) five years after the effective date of the registration statement, of which this prospectus forms a part, (ii) with respect to any particular holder, at such time that such holder can sell its shares under Rule 144 of the Securities Act during any three-month period or (iii) upon termination of the investors’ rights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holders of an aggregate of 94,574,206 shares of common stock outstanding as of June 30, 2018, including shares issuable upon conversion of outstanding convertible preferred stock, giving effect to the company conversion as if it occurred on such date, will be entitled to certain demand registration rights. At any time following 180 days after the completion of this offering, the holders of 40% of the shares having demand registration rights may request that we register at least a majority of their shares of common stock for sale under the Securities Act. We will effect the registration as requested, unless, in the good faith judgment of our board of directors, such registration would be materially detrimental to the company and its stockholders and should be delayed. In addition, when we are eligible for the use of Form S-3, or any successor form, holders of the shares having demand registration rights may make unlimited requests that we register all or a portion of their common stock for sale under the Securities Act on Form S-3, or any successor form, so long as the aggregate price to the public in connection with any such offering is at least $2 million.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In connection with this offering, the holders of an aggregate of 94,574,206 shares of common stock outstanding at June 30, 2018, including shares issuable upon conversion of outstanding convertible preferred stock, giving effect to the company conversion as if it occurred on such date, were entitled to, and the necessary percentage of holders waived, their rights to notice of this offering and to include their shares of registrable securities in this offering. In the event that we propose to register any of our securities under the Securities Act in another offering,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or related to stock issued upon conversion of debt securities,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holders of an aggregate of 94,574,206 shares of common stock outstanding at June 30, 2018, including shares issuable upon conversion of outstanding convertible preferred stock, giving effect to the company conversion as if it occurred on such date, will be entitled to certain Form S-3 registration rights. Any holder or holders of these shares can make a request that we register their shares on Form S-3 if we are qualified to file a registration statement on Form S-3, subject to certain specified exceptions. Such request for registration on Form S-3 must cover securities the aggregate offering price of which, before payment of the underwriting discount, equals or exceeds $2 million. We will not be required to effect more than two registrations on Form S-3 within any 12-month period.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Anti-Takeover Provisions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Completion of this Offering</w:t>
      </w:r>
    </w:p>
    <w:p>
      <w:pPr>
        <w:spacing w:after="0" w:line="126" w:lineRule="exact"/>
        <w:rPr>
          <w:sz w:val="20"/>
          <w:szCs w:val="20"/>
          <w:color w:val="auto"/>
        </w:rPr>
      </w:pPr>
    </w:p>
    <w:p>
      <w:pPr>
        <w:ind w:left="200" w:right="540" w:firstLine="551"/>
        <w:spacing w:after="0"/>
        <w:rPr>
          <w:sz w:val="20"/>
          <w:szCs w:val="20"/>
          <w:color w:val="auto"/>
        </w:rPr>
      </w:pPr>
      <w:r>
        <w:rPr>
          <w:rFonts w:ascii="Arial" w:cs="Arial" w:eastAsia="Arial" w:hAnsi="Arial"/>
          <w:sz w:val="18"/>
          <w:szCs w:val="18"/>
          <w:color w:val="auto"/>
        </w:rPr>
        <w:t>Our amended and restated certificate of incorporation and amended and restated bylaws, each to become effective upon the completion of this offering, will include a number of provisions that may deter or impede hostile takeovers or changes of control or management. These provisions include:</w:t>
      </w:r>
    </w:p>
    <w:p>
      <w:pPr>
        <w:spacing w:after="0" w:line="82" w:lineRule="exact"/>
        <w:rPr>
          <w:sz w:val="20"/>
          <w:szCs w:val="20"/>
          <w:color w:val="auto"/>
        </w:rPr>
      </w:pPr>
    </w:p>
    <w:p>
      <w:pPr>
        <w:ind w:left="740"/>
        <w:spacing w:after="0"/>
        <w:tabs>
          <w:tab w:leader="none" w:pos="940" w:val="left"/>
          <w:tab w:leader="none" w:pos="4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Issuance of Undesignated Preferred Stock:</w:t>
      </w:r>
      <w:r>
        <w:rPr>
          <w:sz w:val="20"/>
          <w:szCs w:val="20"/>
          <w:color w:val="auto"/>
        </w:rPr>
        <w:tab/>
      </w:r>
      <w:r>
        <w:rPr>
          <w:rFonts w:ascii="Arial" w:cs="Arial" w:eastAsia="Arial" w:hAnsi="Arial"/>
          <w:sz w:val="17"/>
          <w:szCs w:val="17"/>
          <w:color w:val="auto"/>
        </w:rPr>
        <w:t>After the filing of our amended and restated certificate of incorporation, our</w:t>
      </w:r>
    </w:p>
    <w:p>
      <w:pPr>
        <w:spacing w:after="0" w:line="18" w:lineRule="exact"/>
        <w:rPr>
          <w:sz w:val="20"/>
          <w:szCs w:val="20"/>
          <w:color w:val="auto"/>
        </w:rPr>
      </w:pPr>
    </w:p>
    <w:p>
      <w:pPr>
        <w:ind w:left="960" w:right="240"/>
        <w:spacing w:after="0" w:line="239" w:lineRule="auto"/>
        <w:rPr>
          <w:sz w:val="20"/>
          <w:szCs w:val="20"/>
          <w:color w:val="auto"/>
        </w:rPr>
      </w:pPr>
      <w:r>
        <w:rPr>
          <w:rFonts w:ascii="Arial" w:cs="Arial" w:eastAsia="Arial" w:hAnsi="Arial"/>
          <w:sz w:val="18"/>
          <w:szCs w:val="18"/>
          <w:color w:val="auto"/>
        </w:rPr>
        <w:t>board of directors will have the authority, 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85" w:lineRule="exact"/>
        <w:rPr>
          <w:sz w:val="20"/>
          <w:szCs w:val="20"/>
          <w:color w:val="auto"/>
        </w:rPr>
      </w:pPr>
    </w:p>
    <w:p>
      <w:pPr>
        <w:ind w:left="960" w:right="60" w:hanging="216"/>
        <w:spacing w:after="0" w:line="24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79" w:lineRule="exact"/>
        <w:rPr>
          <w:rFonts w:ascii="Arial" w:cs="Arial" w:eastAsia="Arial" w:hAnsi="Arial"/>
          <w:sz w:val="18"/>
          <w:szCs w:val="18"/>
          <w:color w:val="auto"/>
        </w:rPr>
      </w:pPr>
    </w:p>
    <w:p>
      <w:pPr>
        <w:ind w:left="960" w:right="140" w:hanging="216"/>
        <w:spacing w:after="0" w:line="24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82" w:lineRule="exact"/>
        <w:rPr>
          <w:rFonts w:ascii="Arial" w:cs="Arial" w:eastAsia="Arial" w:hAnsi="Arial"/>
          <w:sz w:val="18"/>
          <w:szCs w:val="18"/>
          <w:color w:val="auto"/>
        </w:rPr>
      </w:pPr>
    </w:p>
    <w:p>
      <w:pPr>
        <w:ind w:left="960" w:hanging="216"/>
        <w:spacing w:after="0" w:line="24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stockholders may 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82" w:lineRule="exact"/>
        <w:rPr>
          <w:rFonts w:ascii="Arial" w:cs="Arial" w:eastAsia="Arial" w:hAnsi="Arial"/>
          <w:sz w:val="18"/>
          <w:szCs w:val="18"/>
          <w:color w:val="auto"/>
        </w:rPr>
      </w:pPr>
    </w:p>
    <w:p>
      <w:pPr>
        <w:ind w:left="960" w:right="60" w:hanging="216"/>
        <w:spacing w:after="0" w:line="242"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1" w:lineRule="exact"/>
        <w:rPr>
          <w:sz w:val="20"/>
          <w:szCs w:val="20"/>
          <w:color w:val="auto"/>
        </w:rPr>
      </w:pPr>
    </w:p>
    <w:p>
      <w:pPr>
        <w:ind w:left="200" w:right="280" w:firstLine="551"/>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205" w:lineRule="exact"/>
        <w:rPr>
          <w:sz w:val="20"/>
          <w:szCs w:val="20"/>
          <w:color w:val="auto"/>
        </w:rPr>
      </w:pPr>
    </w:p>
    <w:p>
      <w:pPr>
        <w:ind w:left="200" w:right="620" w:firstLine="551"/>
        <w:spacing w:after="0" w:line="246" w:lineRule="auto"/>
        <w:rPr>
          <w:sz w:val="20"/>
          <w:szCs w:val="20"/>
          <w:color w:val="auto"/>
        </w:rPr>
      </w:pPr>
      <w:r>
        <w:rPr>
          <w:rFonts w:ascii="Arial" w:cs="Arial" w:eastAsia="Arial" w:hAnsi="Arial"/>
          <w:sz w:val="18"/>
          <w:szCs w:val="18"/>
          <w:color w:val="auto"/>
        </w:rPr>
        <w:t>Certain provisions in our collaboration agreement with Merck may also deter a change of control. See “Risk Factors—Some provisions of our charter documents, Delaware law and our collaboration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08" w:lineRule="exact"/>
        <w:rPr>
          <w:sz w:val="20"/>
          <w:szCs w:val="20"/>
          <w:color w:val="auto"/>
        </w:rPr>
      </w:pPr>
    </w:p>
    <w:p>
      <w:pPr>
        <w:ind w:left="960" w:right="480" w:hanging="216"/>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02" w:lineRule="exact"/>
        <w:rPr>
          <w:rFonts w:ascii="Arial" w:cs="Arial" w:eastAsia="Arial" w:hAnsi="Arial"/>
          <w:sz w:val="18"/>
          <w:szCs w:val="18"/>
          <w:color w:val="auto"/>
        </w:rPr>
      </w:pPr>
    </w:p>
    <w:p>
      <w:pPr>
        <w:ind w:left="960" w:right="60" w:hanging="216"/>
        <w:spacing w:after="0" w:line="23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110" w:lineRule="exact"/>
        <w:rPr>
          <w:rFonts w:ascii="Arial" w:cs="Arial" w:eastAsia="Arial" w:hAnsi="Arial"/>
          <w:sz w:val="18"/>
          <w:szCs w:val="18"/>
          <w:color w:val="auto"/>
        </w:rPr>
      </w:pPr>
    </w:p>
    <w:p>
      <w:pPr>
        <w:ind w:left="960" w:hanging="216"/>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117" w:lineRule="exact"/>
        <w:rPr>
          <w:sz w:val="20"/>
          <w:szCs w:val="20"/>
          <w:color w:val="auto"/>
        </w:rPr>
      </w:pPr>
    </w:p>
    <w:p>
      <w:pPr>
        <w:ind w:left="960" w:hanging="216"/>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960" w:right="960" w:hanging="216"/>
        <w:spacing w:after="0" w:line="246"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97"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Choice of Forum</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left="760"/>
        <w:spacing w:after="0"/>
        <w:tabs>
          <w:tab w:leader="none" w:pos="9280" w:val="left"/>
        </w:tabs>
        <w:rPr>
          <w:sz w:val="20"/>
          <w:szCs w:val="20"/>
          <w:color w:val="auto"/>
        </w:rPr>
      </w:pPr>
      <w:r>
        <w:rPr>
          <w:rFonts w:ascii="Arial" w:cs="Arial" w:eastAsia="Arial" w:hAnsi="Arial"/>
          <w:sz w:val="18"/>
          <w:szCs w:val="18"/>
          <w:color w:val="auto"/>
        </w:rPr>
        <w:t>Our transfer agent and registrar for our common stock upon the completion of this offering will be</w:t>
      </w:r>
      <w:r>
        <w:rPr>
          <w:sz w:val="20"/>
          <w:szCs w:val="20"/>
          <w:color w:val="auto"/>
        </w:rPr>
        <w:tab/>
      </w:r>
      <w:r>
        <w:rPr>
          <w:rFonts w:ascii="Arial" w:cs="Arial" w:eastAsia="Arial" w:hAnsi="Arial"/>
          <w:sz w:val="18"/>
          <w:szCs w:val="18"/>
          <w:color w:val="auto"/>
        </w:rPr>
        <w:t>.</w:t>
      </w:r>
    </w:p>
    <w:p>
      <w:pPr>
        <w:spacing w:after="0" w:line="2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Nasdaq Global Market</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have our common stock listed on the Nasdaq Global Market under the trading symbol “NGM.”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240" w:top="460" w:right="5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and warrants, or the anticipation of such sales, could adversely affect prevailing market prices of our common stock from time to time and could impair our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208" w:lineRule="exact"/>
        <w:rPr>
          <w:sz w:val="20"/>
          <w:szCs w:val="20"/>
          <w:color w:val="auto"/>
        </w:rPr>
      </w:pPr>
    </w:p>
    <w:p>
      <w:pPr>
        <w:ind w:left="1000" w:right="1280" w:hanging="248"/>
        <w:spacing w:after="0" w:line="246" w:lineRule="auto"/>
        <w:rPr>
          <w:sz w:val="20"/>
          <w:szCs w:val="20"/>
          <w:color w:val="auto"/>
        </w:rPr>
      </w:pPr>
      <w:r>
        <w:rPr>
          <w:rFonts w:ascii="Arial" w:cs="Arial" w:eastAsia="Arial" w:hAnsi="Arial"/>
          <w:sz w:val="18"/>
          <w:szCs w:val="18"/>
          <w:color w:val="auto"/>
        </w:rPr>
        <w:t>Based on the number of shares of common stock outstanding as of June 30, 2018, upon completion of this offering, shares of our common stock will be outstanding.</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202"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02"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205"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within any three-month period a number of shares that does not exceed the greater of:</w:t>
      </w:r>
    </w:p>
    <w:p>
      <w:pPr>
        <w:sectPr>
          <w:pgSz w:w="11900" w:h="16838" w:orient="portrait"/>
          <w:cols w:equalWidth="0" w:num="1">
            <w:col w:w="11220"/>
          </w:cols>
          <w:pgMar w:left="240" w:top="459" w:right="439" w:bottom="1440" w:gutter="0" w:footer="0" w:header="0"/>
        </w:sectPr>
      </w:pPr>
    </w:p>
    <w:p>
      <w:pPr>
        <w:spacing w:after="0" w:line="107" w:lineRule="exact"/>
        <w:rPr>
          <w:sz w:val="20"/>
          <w:szCs w:val="20"/>
          <w:color w:val="auto"/>
        </w:rPr>
      </w:pPr>
    </w:p>
    <w:p>
      <w:pPr>
        <w:ind w:left="960" w:right="120" w:hanging="1015"/>
        <w:spacing w:after="0" w:line="246" w:lineRule="auto"/>
        <w:tabs>
          <w:tab w:leader="none" w:pos="94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if the underwriters exercise their option to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shares, or</w:t>
      </w:r>
    </w:p>
    <w:p>
      <w:pPr>
        <w:spacing w:after="0" w:line="357" w:lineRule="exact"/>
        <w:rPr>
          <w:sz w:val="20"/>
          <w:szCs w:val="20"/>
          <w:color w:val="auto"/>
        </w:rPr>
      </w:pPr>
    </w:p>
    <w:p>
      <w:pPr>
        <w:sectPr>
          <w:pgSz w:w="11900" w:h="16838" w:orient="portrait"/>
          <w:cols w:equalWidth="0" w:num="2">
            <w:col w:w="8920" w:space="720"/>
            <w:col w:w="15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220"/>
          </w:cols>
          <w:pgMar w:left="240" w:top="459" w:right="4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60"/>
        <w:spacing w:after="0" w:line="246" w:lineRule="auto"/>
        <w:rPr>
          <w:sz w:val="20"/>
          <w:szCs w:val="20"/>
          <w:color w:val="auto"/>
        </w:rPr>
      </w:pPr>
      <w:r>
        <w:rPr>
          <w:rFonts w:ascii="Arial" w:cs="Arial" w:eastAsia="Arial" w:hAnsi="Arial"/>
          <w:sz w:val="18"/>
          <w:szCs w:val="18"/>
          <w:color w:val="auto"/>
        </w:rPr>
        <w:t>purchase additional shares in full, immediately following this offering, based on the number of shares of our common stock outstanding upon completion of this offering; or</w:t>
      </w:r>
    </w:p>
    <w:p>
      <w:pPr>
        <w:spacing w:after="0" w:line="102" w:lineRule="exact"/>
        <w:rPr>
          <w:sz w:val="20"/>
          <w:szCs w:val="20"/>
          <w:color w:val="auto"/>
        </w:rPr>
      </w:pPr>
    </w:p>
    <w:p>
      <w:pPr>
        <w:ind w:left="960" w:right="360" w:hanging="216"/>
        <w:spacing w:after="0" w:line="246"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of Proposed Sale of Securities pursuant to Rule 144 with respect to the sale;</w:t>
      </w:r>
    </w:p>
    <w:p>
      <w:pPr>
        <w:spacing w:after="0" w:line="89" w:lineRule="exact"/>
        <w:rPr>
          <w:sz w:val="20"/>
          <w:szCs w:val="20"/>
          <w:color w:val="auto"/>
        </w:rPr>
      </w:pPr>
    </w:p>
    <w:p>
      <w:pPr>
        <w:ind w:left="760" w:right="36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Sales under Rule 144 by our affiliates are also subject to manner of sale provisions and notice requirements and to the availability of current public information about us.</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Upon expiration of the 180-day lock-up period described below, shares of our common stock will be eligible for sale under Rule 144. We cannot estimate the number of shares of our common stock that our existing stockholders will elect to sell under Rule 144.</w:t>
      </w: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along with our directors and executive officers and substantially all of our other stockholders, have agreed with the underwriters that, for a period of 180 days following the date of this prospectus, we or they will not offer, sell, contract to sell, pledge, grant any option to purchase, make any short sale or otherwise dispose of any shares of our common stock (including, for our directors and officers,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208"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Merck has also agreed, subject to specified exceptions, during the period of the initial five-year research phase under our collaboration agreement, not to sell any of its shares of our capital stock. See “Our Collaboration with Merck—Detailed Description of the Merck Collaboration—Standstill, Lock-Up and Voting Agreements.”</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Equity Incentive Plans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 shortly after the date of this prospectus, permitting the resale of such shares by non-affiliates in the public market without restriction under the Securities Act and the sale by affiliates in the public market, subject to compliance with the resale provisions of Rule 144. For more information on our equity incentive plans, see “Executive and Director Compensation—Equity Incentive Plans.”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60"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Holders of 94,574,206 shares of our convertible preferred stock, common stock and convertible preferred stock issuable upon exercise of warrants have the right to demand that we file a registration statement or request that we cover their shares by a registration statement that we otherwise file. For more information, see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207"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108" w:lineRule="exact"/>
        <w:rPr>
          <w:sz w:val="20"/>
          <w:szCs w:val="20"/>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17"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97"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Definition of Non-U.S. Holder</w:t>
      </w:r>
    </w:p>
    <w:p>
      <w:pPr>
        <w:spacing w:after="0" w:line="234" w:lineRule="exact"/>
        <w:rPr>
          <w:sz w:val="20"/>
          <w:szCs w:val="20"/>
          <w:color w:val="auto"/>
        </w:rPr>
      </w:pPr>
    </w:p>
    <w:p>
      <w:pPr>
        <w:jc w:val="both"/>
        <w:ind w:left="200" w:right="380" w:firstLine="551"/>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108" w:lineRule="exact"/>
        <w:rPr>
          <w:sz w:val="20"/>
          <w:szCs w:val="20"/>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960" w:right="280" w:hanging="21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Distributions on Our Common Stock</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203" w:lineRule="exact"/>
        <w:rPr>
          <w:sz w:val="20"/>
          <w:szCs w:val="20"/>
          <w:color w:val="auto"/>
        </w:rPr>
      </w:pPr>
    </w:p>
    <w:p>
      <w:pPr>
        <w:ind w:left="200" w:right="180" w:firstLine="551"/>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firstLine="551"/>
        <w:spacing w:after="0" w:line="246"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7"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Any dividends paid on our common stock that are effectively connected with a non-U.S. holder’s U.S. trade or business (and if required by an applicable income tax treaty, are attributable to a permanent establishment maintained by the non-U.S. holder in the United States)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00"/>
        <w:spacing w:after="0"/>
        <w:rPr>
          <w:sz w:val="20"/>
          <w:szCs w:val="20"/>
          <w:color w:val="auto"/>
        </w:rPr>
      </w:pPr>
      <w:r>
        <w:rPr>
          <w:rFonts w:ascii="Arial" w:cs="Arial" w:eastAsia="Arial" w:hAnsi="Arial"/>
          <w:sz w:val="18"/>
          <w:szCs w:val="18"/>
          <w:color w:val="auto"/>
        </w:rPr>
        <w:t>federal income tax on any gain realized on the sale or other disposition of our common stock, unless:</w:t>
      </w:r>
    </w:p>
    <w:p>
      <w:pPr>
        <w:spacing w:after="0" w:line="117" w:lineRule="exact"/>
        <w:rPr>
          <w:sz w:val="20"/>
          <w:szCs w:val="20"/>
          <w:color w:val="auto"/>
        </w:rPr>
      </w:pPr>
    </w:p>
    <w:p>
      <w:pPr>
        <w:ind w:left="960" w:hanging="216"/>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108" w:lineRule="exact"/>
        <w:rPr>
          <w:rFonts w:ascii="Arial" w:cs="Arial" w:eastAsia="Arial" w:hAnsi="Arial"/>
          <w:sz w:val="18"/>
          <w:szCs w:val="18"/>
          <w:color w:val="auto"/>
        </w:rPr>
      </w:pPr>
    </w:p>
    <w:p>
      <w:pPr>
        <w:ind w:left="960" w:right="60" w:hanging="216"/>
        <w:spacing w:after="0" w:line="246"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02" w:lineRule="exact"/>
        <w:rPr>
          <w:rFonts w:ascii="Arial" w:cs="Arial" w:eastAsia="Arial" w:hAnsi="Arial"/>
          <w:sz w:val="18"/>
          <w:szCs w:val="18"/>
          <w:color w:val="auto"/>
        </w:rPr>
      </w:pPr>
    </w:p>
    <w:p>
      <w:pPr>
        <w:ind w:left="960" w:right="200" w:hanging="216"/>
        <w:spacing w:after="0" w:line="239" w:lineRule="auto"/>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20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20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207"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FATCA Withholding Taxes</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207"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ind w:left="20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Goldman Sachs &amp; Co. LLC, Citigroup Global Markets Inc. and Cowen and Company, LLC are the representatives of the underwriters.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5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80" w:type="dxa"/>
            <w:vAlign w:val="bottom"/>
            <w:vMerge w:val="continue"/>
          </w:tcPr>
          <w:p>
            <w:pPr>
              <w:spacing w:after="0"/>
              <w:rPr>
                <w:sz w:val="15"/>
                <w:szCs w:val="15"/>
                <w:color w:val="auto"/>
              </w:rPr>
            </w:pPr>
          </w:p>
        </w:tc>
        <w:tc>
          <w:tcPr>
            <w:tcW w:w="5400" w:type="dxa"/>
            <w:vAlign w:val="bottom"/>
          </w:tcPr>
          <w:p>
            <w:pPr>
              <w:jc w:val="center"/>
              <w:ind w:left="460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200"/>
        <w:spacing w:after="0" w:line="234" w:lineRule="auto"/>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Citigroup Global Markets Inc.</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6642735</wp:posOffset>
            </wp:positionH>
            <wp:positionV relativeFrom="paragraph">
              <wp:posOffset>-1905</wp:posOffset>
            </wp:positionV>
            <wp:extent cx="46291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14605</wp:posOffset>
            </wp:positionV>
            <wp:extent cx="46291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46" w:lineRule="exact"/>
        <w:rPr>
          <w:sz w:val="20"/>
          <w:szCs w:val="20"/>
          <w:color w:val="auto"/>
        </w:rPr>
      </w:pPr>
    </w:p>
    <w:p>
      <w:pPr>
        <w:jc w:val="both"/>
        <w:ind w:left="200" w:right="160" w:firstLine="551"/>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The underwriters have an option to buy up to an additional shares of common stock from us. Any shares sold to underwriters pursuant to the option will be sold at the initial public offering price, less underwriting discounts and commissions.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Such</w:t>
      </w:r>
    </w:p>
    <w:p>
      <w:pPr>
        <w:ind w:left="200" w:right="360"/>
        <w:spacing w:after="0" w:line="246"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additional shares of common stock from 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Paid by Us</w:t>
            </w:r>
          </w:p>
        </w:tc>
        <w:tc>
          <w:tcPr>
            <w:tcW w:w="4720" w:type="dxa"/>
            <w:vAlign w:val="bottom"/>
            <w:gridSpan w:val="2"/>
          </w:tcPr>
          <w:p>
            <w:pPr>
              <w:ind w:left="3880"/>
              <w:spacing w:after="0"/>
              <w:rPr>
                <w:sz w:val="20"/>
                <w:szCs w:val="20"/>
                <w:color w:val="auto"/>
              </w:rPr>
            </w:pPr>
            <w:r>
              <w:rPr>
                <w:rFonts w:ascii="Arial" w:cs="Arial" w:eastAsia="Arial" w:hAnsi="Arial"/>
                <w:sz w:val="14"/>
                <w:szCs w:val="14"/>
                <w:b w:val="1"/>
                <w:bCs w:val="1"/>
                <w:color w:val="auto"/>
              </w:rPr>
              <w:t>No Exercise</w:t>
            </w:r>
          </w:p>
        </w:tc>
        <w:tc>
          <w:tcPr>
            <w:tcW w:w="1620" w:type="dxa"/>
            <w:vAlign w:val="bottom"/>
            <w:gridSpan w:val="3"/>
          </w:tcPr>
          <w:p>
            <w:pPr>
              <w:ind w:left="660"/>
              <w:spacing w:after="0"/>
              <w:rPr>
                <w:sz w:val="20"/>
                <w:szCs w:val="20"/>
                <w:color w:val="auto"/>
              </w:rPr>
            </w:pPr>
            <w:r>
              <w:rPr>
                <w:rFonts w:ascii="Arial" w:cs="Arial" w:eastAsia="Arial" w:hAnsi="Arial"/>
                <w:sz w:val="14"/>
                <w:szCs w:val="14"/>
                <w:b w:val="1"/>
                <w:bCs w:val="1"/>
                <w:color w:val="auto"/>
              </w:rPr>
              <w:t>Full Exercise</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3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720" w:type="dxa"/>
            <w:vAlign w:val="bottom"/>
            <w:gridSpan w:val="2"/>
          </w:tcPr>
          <w:p>
            <w:pPr>
              <w:ind w:left="38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200" w:right="300"/>
        <w:spacing w:after="0" w:line="239"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At our request, the underwriters have reserved up to shares being offered by this prospectus for sale at the initial public offering price to our directors, officers, employees, business associates and related persons through a directed share program. The number of shares available for sale to the general public will be reduced by the number of directed shares purchased by participants in the program. Any directed shares not purchased will be offered by the underwriters to the general public on the same basis as all other shares offered. We have agreed to indemnify the underwriters against certain liabilities and expenses, including liabilities under the Securities Act, in connection with the sales of the directed shares.</w:t>
      </w:r>
    </w:p>
    <w:p>
      <w:pPr>
        <w:spacing w:after="0" w:line="205"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connection with this offering, we have agreed with the underwriters, subject to certain exceptions, not to dispose of or hedge any of our common stock or securities convertible into or exchangeable for shares of common stock for 180 days following the date of this prospectus, except with the prior written consent of the representatives. This agreement does not apply to any existing employee benefit plans.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551"/>
        <w:spacing w:after="0" w:line="236" w:lineRule="auto"/>
        <w:rPr>
          <w:sz w:val="20"/>
          <w:szCs w:val="20"/>
          <w:color w:val="auto"/>
        </w:rPr>
      </w:pPr>
      <w:r>
        <w:rPr>
          <w:rFonts w:ascii="Arial" w:cs="Arial" w:eastAsia="Arial" w:hAnsi="Arial"/>
          <w:sz w:val="18"/>
          <w:szCs w:val="18"/>
          <w:color w:val="auto"/>
        </w:rPr>
        <w:t>In addition, our executive officers and directors and holders of substantially all of our common stock (including Merck with respect to the shares of our common stock that it owns or will acquire in the concurrent private placement) have agreed with the underwriters, subject to certain exceptions, not to offer, sell, contract to sell, pledge, grant any option to purchase, make any short sale or otherwise dispose of any shares of our common stock, or any options or warrants to purchase any shares of our common stock, or any securities convertible into, exchangeable for or that represent the right to receive shares of our common stock (including any preferred shares), whether now owned or acquired after entry in the lock-up agreement, owned directly by the party to the lock-up agreement (including holding as a custodian) or with respect to which the party to the lock-up agreement has beneficial ownership within the rules and regulations of the Securities and Exchange Commission (collectively, “lock-up securities”), or to engage in any hedging or other transaction which is designed to or which reasonably could be expected to lead to or result in a sale or disposition of the lock-up securities, for 180 days following the date of this prospectus, except with the prior written consent of the representatives.</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restrictions in the immediately preceding paragraph do not apply to our directors, officers or holders of our outstanding common stock or other securities in certain circumstances, including (i) the transfers not for value of our common stock as bona fide gifts, by will, to an immediate family member or to certain trusts; (ii) to the extent the party to the lock-up agreement is an entity, the transfer of our common stock to affiliates, limited partners, general partners, limited liability company members or stockholders; (iii) transfers of our common stock pursuant to a bona fide third-party tender offer, merger, consolidation or other similar transaction made to all of our stockholders and involving a change of control of us; (iv) transfer of our common stock to us for the net exercise of options granted pursuant to our equity incentive plans described elsewhere in this prospectus or to cover tax withholding for grants pursuant to our equity incentive plans; (v) shares of our common stock acquired after the date of this offering and, unless the party to the lock-up agreement is one of our directors or officers, sale of shares of our common stock acquired in this offering; (vi) the establishment of a 10b5-1 trading plan under the Exchange Act; and (vii) the conversion of shares of our outstanding convertible preferred stock into shares of our common stock. The exceptions described in (i) through (iii) above are subject to a requirement that the transferee enter into a lockup agreement with the underwriters containing similar restrictions and the exceptions described in (i), (ii) and (iv) through (vi) above are subject to a requirement that no public announcement or filing under Section 16 of the Exchange Act shall be required or voluntarily made during the restricted period.</w:t>
      </w:r>
    </w:p>
    <w:p>
      <w:pPr>
        <w:spacing w:after="0" w:line="203"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97"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intend to apply to list our common stock on the Nasdaq Global Market under the symbol “NGM”.</w:t>
      </w:r>
    </w:p>
    <w:p>
      <w:pPr>
        <w:spacing w:after="0" w:line="21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207"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underwriters do not expect sales to discretionary accounts to exceed 5% of the total number of shares offered.</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ind w:left="1100" w:hanging="896"/>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03" w:lineRule="exact"/>
        <w:rPr>
          <w:sz w:val="20"/>
          <w:szCs w:val="20"/>
          <w:color w:val="auto"/>
        </w:rPr>
      </w:pPr>
    </w:p>
    <w:p>
      <w:pPr>
        <w:ind w:left="200" w:right="260" w:firstLine="551"/>
        <w:spacing w:after="0" w:line="238"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“Relative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07" w:lineRule="exact"/>
        <w:rPr>
          <w:sz w:val="20"/>
          <w:szCs w:val="20"/>
          <w:color w:val="auto"/>
        </w:rPr>
      </w:pPr>
    </w:p>
    <w:p>
      <w:pPr>
        <w:ind w:left="960" w:hanging="216"/>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960" w:right="460" w:hanging="216"/>
        <w:spacing w:after="0" w:line="246"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200" w:right="840"/>
        <w:spacing w:after="0" w:line="246"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197"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61" w:lineRule="auto"/>
        <w:rPr>
          <w:sz w:val="20"/>
          <w:szCs w:val="20"/>
          <w:color w:val="auto"/>
        </w:rPr>
      </w:pPr>
      <w:r>
        <w:rPr>
          <w:rFonts w:ascii="Arial" w:cs="Arial" w:eastAsia="Arial" w:hAnsi="Arial"/>
          <w:sz w:val="17"/>
          <w:szCs w:val="17"/>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3" w:lineRule="exact"/>
        <w:rPr>
          <w:sz w:val="20"/>
          <w:szCs w:val="20"/>
          <w:color w:val="auto"/>
        </w:rPr>
      </w:pPr>
    </w:p>
    <w:p>
      <w:pPr>
        <w:ind w:left="200" w:right="40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48" w:lineRule="auto"/>
        <w:rPr>
          <w:sz w:val="20"/>
          <w:szCs w:val="20"/>
          <w:color w:val="auto"/>
        </w:rPr>
      </w:pPr>
      <w:r>
        <w:rPr>
          <w:rFonts w:ascii="Arial" w:cs="Arial" w:eastAsia="Arial" w:hAnsi="Arial"/>
          <w:sz w:val="17"/>
          <w:szCs w:val="17"/>
          <w:color w:val="auto"/>
        </w:rPr>
        <w:t>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1" w:lineRule="exact"/>
        <w:rPr>
          <w:sz w:val="20"/>
          <w:szCs w:val="20"/>
          <w:color w:val="auto"/>
        </w:rPr>
      </w:pPr>
    </w:p>
    <w:p>
      <w:pPr>
        <w:ind w:left="200" w:right="100" w:firstLine="4"/>
        <w:spacing w:after="0" w:line="238" w:lineRule="auto"/>
        <w:tabs>
          <w:tab w:leader="none" w:pos="4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240" w:top="460"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200" w:right="140" w:firstLine="551"/>
        <w:spacing w:after="0" w:line="261" w:lineRule="auto"/>
        <w:rPr>
          <w:sz w:val="20"/>
          <w:szCs w:val="20"/>
          <w:color w:val="auto"/>
        </w:rPr>
      </w:pPr>
      <w:r>
        <w:rPr>
          <w:rFonts w:ascii="Arial" w:cs="Arial" w:eastAsia="Arial" w:hAnsi="Arial"/>
          <w:sz w:val="17"/>
          <w:szCs w:val="17"/>
          <w:color w:val="auto"/>
        </w:rPr>
        <w:t>Cooley LLP is serving as our counsel in this offering. Davis Polk &amp; Wardwell LLP of Menlo Park, California is representing the underwriters in this offering. As of the date of this prospectus, entities comprised of partners and associates of Cooley LLP beneficially own 20,000 shares of our preferred stock, which will be converted into 20,000 shares of common stock in connection with of this offering.</w:t>
      </w: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200" w:right="200" w:firstLine="551"/>
        <w:spacing w:after="0" w:line="239" w:lineRule="auto"/>
        <w:rPr>
          <w:sz w:val="20"/>
          <w:szCs w:val="20"/>
          <w:color w:val="auto"/>
        </w:rPr>
      </w:pPr>
      <w:r>
        <w:rPr>
          <w:rFonts w:ascii="Arial" w:cs="Arial" w:eastAsia="Arial" w:hAnsi="Arial"/>
          <w:sz w:val="18"/>
          <w:szCs w:val="18"/>
          <w:color w:val="auto"/>
        </w:rPr>
        <w:t>The consolidated financial statements of NGM Biopharmaceuticals, Inc. at December 31, 2016 and 2017, and for each of the two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207"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203" w:lineRule="exact"/>
        <w:rPr>
          <w:sz w:val="20"/>
          <w:szCs w:val="20"/>
          <w:color w:val="auto"/>
        </w:rPr>
      </w:pPr>
    </w:p>
    <w:p>
      <w:pPr>
        <w:ind w:left="200" w:right="100" w:firstLine="551"/>
        <w:spacing w:after="0" w:line="234"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http://www.ngmbio.com. You may access our annual reports on Form 10-K, quarterly reports on Form 10-Q, current reports on Form 8-K and amendments to those reports, proxy statements and other information filed or furnished pursuant to</w:t>
      </w:r>
    </w:p>
    <w:p>
      <w:pPr>
        <w:spacing w:after="0" w:line="4"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0540" w:type="dxa"/>
            <w:vAlign w:val="bottom"/>
            <w:gridSpan w:val="14"/>
            <w:vMerge w:val="restart"/>
          </w:tcPr>
          <w:p>
            <w:pPr>
              <w:spacing w:after="0"/>
              <w:rPr>
                <w:rFonts w:ascii="Arial" w:cs="Arial" w:eastAsia="Arial" w:hAnsi="Arial"/>
                <w:sz w:val="18"/>
                <w:szCs w:val="18"/>
                <w:color w:val="0000EE"/>
              </w:rPr>
            </w:pPr>
            <w:hyperlink w:anchor="page212">
              <w:r>
                <w:rPr>
                  <w:rFonts w:ascii="Arial" w:cs="Arial" w:eastAsia="Arial" w:hAnsi="Arial"/>
                  <w:sz w:val="18"/>
                  <w:szCs w:val="18"/>
                  <w:color w:val="0000EE"/>
                </w:rPr>
                <w:t>Report of Independent Registered Public Accounting Firm</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40" w:type="dxa"/>
            <w:vAlign w:val="bottom"/>
            <w:gridSpan w:val="14"/>
            <w:vMerge w:val="continue"/>
          </w:tcPr>
          <w:p>
            <w:pPr>
              <w:spacing w:after="0"/>
              <w:rPr>
                <w:sz w:val="13"/>
                <w:szCs w:val="13"/>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22"/>
        </w:trPr>
        <w:tc>
          <w:tcPr>
            <w:tcW w:w="46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5940" w:type="dxa"/>
            <w:vAlign w:val="bottom"/>
            <w:gridSpan w:val="7"/>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0180" w:type="dxa"/>
            <w:vAlign w:val="bottom"/>
            <w:gridSpan w:val="13"/>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Consolidated Balance Sheets</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180" w:type="dxa"/>
            <w:vAlign w:val="bottom"/>
            <w:gridSpan w:val="13"/>
          </w:tcPr>
          <w:p>
            <w:pPr>
              <w:spacing w:after="0" w:line="182" w:lineRule="exact"/>
              <w:rPr>
                <w:rFonts w:ascii="Arial" w:cs="Arial" w:eastAsia="Arial" w:hAnsi="Arial"/>
                <w:sz w:val="18"/>
                <w:szCs w:val="18"/>
                <w:color w:val="0000EE"/>
              </w:rPr>
            </w:pPr>
            <w:hyperlink w:anchor="page214">
              <w:r>
                <w:rPr>
                  <w:rFonts w:ascii="Arial" w:cs="Arial" w:eastAsia="Arial" w:hAnsi="Arial"/>
                  <w:sz w:val="18"/>
                  <w:szCs w:val="18"/>
                  <w:color w:val="0000EE"/>
                </w:rPr>
                <w:t>Consolidated Statements of Operations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9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215">
              <w:r>
                <w:rPr>
                  <w:rFonts w:ascii="Arial" w:cs="Arial" w:eastAsia="Arial" w:hAnsi="Arial"/>
                  <w:sz w:val="18"/>
                  <w:szCs w:val="18"/>
                  <w:color w:val="0000EE"/>
                  <w:w w:val="99"/>
                </w:rPr>
                <w:t>Consolidated Statements of Comprehensive Loss</w:t>
              </w:r>
            </w:hyperlink>
          </w:p>
        </w:tc>
        <w:tc>
          <w:tcPr>
            <w:tcW w:w="6220" w:type="dxa"/>
            <w:vAlign w:val="bottom"/>
            <w:gridSpan w:val="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180" w:type="dxa"/>
            <w:vAlign w:val="bottom"/>
            <w:gridSpan w:val="13"/>
          </w:tcPr>
          <w:p>
            <w:pPr>
              <w:spacing w:after="0" w:line="182" w:lineRule="exact"/>
              <w:rPr>
                <w:rFonts w:ascii="Arial" w:cs="Arial" w:eastAsia="Arial" w:hAnsi="Arial"/>
                <w:sz w:val="18"/>
                <w:szCs w:val="18"/>
                <w:color w:val="0000EE"/>
              </w:rPr>
            </w:pPr>
            <w:hyperlink w:anchor="page216">
              <w:r>
                <w:rPr>
                  <w:rFonts w:ascii="Arial" w:cs="Arial" w:eastAsia="Arial" w:hAnsi="Arial"/>
                  <w:sz w:val="18"/>
                  <w:szCs w:val="18"/>
                  <w:color w:val="0000EE"/>
                </w:rPr>
                <w:t>Consolidated Statements of Convertible Preferred Stock and Stockholders’ Deficit</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65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17">
              <w:r>
                <w:rPr>
                  <w:rFonts w:ascii="Arial" w:cs="Arial" w:eastAsia="Arial" w:hAnsi="Arial"/>
                  <w:sz w:val="18"/>
                  <w:szCs w:val="18"/>
                  <w:color w:val="0000EE"/>
                </w:rPr>
                <w:t>Consolidated Statements of Cash Flows</w:t>
              </w:r>
            </w:hyperlink>
          </w:p>
        </w:tc>
        <w:tc>
          <w:tcPr>
            <w:tcW w:w="3680" w:type="dxa"/>
            <w:vAlign w:val="bottom"/>
            <w:gridSpan w:val="5"/>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180" w:type="dxa"/>
            <w:vAlign w:val="bottom"/>
            <w:gridSpan w:val="13"/>
          </w:tcPr>
          <w:p>
            <w:pPr>
              <w:spacing w:after="0" w:line="182" w:lineRule="exact"/>
              <w:rPr>
                <w:rFonts w:ascii="Arial" w:cs="Arial" w:eastAsia="Arial" w:hAnsi="Arial"/>
                <w:sz w:val="18"/>
                <w:szCs w:val="18"/>
                <w:color w:val="0000EE"/>
              </w:rPr>
            </w:pPr>
            <w:hyperlink w:anchor="page218">
              <w:r>
                <w:rPr>
                  <w:rFonts w:ascii="Arial" w:cs="Arial" w:eastAsia="Arial" w:hAnsi="Arial"/>
                  <w:sz w:val="18"/>
                  <w:szCs w:val="18"/>
                  <w:color w:val="0000EE"/>
                </w:rPr>
                <w:t>Notes to Consolidated Financial Statements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4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000" w:type="dxa"/>
            <w:vAlign w:val="bottom"/>
            <w:tcBorders>
              <w:bottom w:val="single" w:sz="8" w:color="0000EE"/>
            </w:tcBorders>
            <w:gridSpan w:val="9"/>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Condensed Consolidated Balance Sheets as of December 31, 2017 and June 30, 2018</w:t>
              </w:r>
            </w:hyperlink>
          </w:p>
        </w:tc>
        <w:tc>
          <w:tcPr>
            <w:tcW w:w="3180" w:type="dxa"/>
            <w:vAlign w:val="bottom"/>
            <w:gridSpan w:val="4"/>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80" w:type="dxa"/>
            <w:vAlign w:val="bottom"/>
            <w:tcBorders>
              <w:bottom w:val="single" w:sz="8" w:color="0000EE"/>
            </w:tcBorders>
            <w:gridSpan w:val="10"/>
          </w:tcPr>
          <w:p>
            <w:pPr>
              <w:spacing w:after="0" w:line="182" w:lineRule="exact"/>
              <w:rPr>
                <w:rFonts w:ascii="Arial" w:cs="Arial" w:eastAsia="Arial" w:hAnsi="Arial"/>
                <w:sz w:val="18"/>
                <w:szCs w:val="18"/>
                <w:color w:val="0000EE"/>
              </w:rPr>
            </w:pPr>
            <w:hyperlink w:anchor="page249">
              <w:r>
                <w:rPr>
                  <w:rFonts w:ascii="Arial" w:cs="Arial" w:eastAsia="Arial" w:hAnsi="Arial"/>
                  <w:sz w:val="18"/>
                  <w:szCs w:val="18"/>
                  <w:color w:val="0000EE"/>
                </w:rPr>
                <w:t>Condensed Consolidated Statements of Operations for the six months ended June 30, 2017 and 2018</w:t>
              </w:r>
            </w:hyperlink>
          </w:p>
        </w:tc>
        <w:tc>
          <w:tcPr>
            <w:tcW w:w="2000" w:type="dxa"/>
            <w:vAlign w:val="bottom"/>
            <w:gridSpan w:val="3"/>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9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50">
              <w:r>
                <w:rPr>
                  <w:rFonts w:ascii="Arial" w:cs="Arial" w:eastAsia="Arial" w:hAnsi="Arial"/>
                  <w:sz w:val="18"/>
                  <w:szCs w:val="18"/>
                  <w:color w:val="0000EE"/>
                  <w:w w:val="99"/>
                </w:rPr>
                <w:t>Condensed Consolidated Statements of Comprehensive Loss for the six months ended June 30, 2017 and 2018</w:t>
              </w:r>
            </w:hyperlink>
          </w:p>
        </w:tc>
        <w:tc>
          <w:tcPr>
            <w:tcW w:w="124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240" w:type="dxa"/>
            <w:vAlign w:val="bottom"/>
            <w:tcBorders>
              <w:bottom w:val="single" w:sz="8" w:color="0000EE"/>
            </w:tcBorders>
            <w:gridSpan w:val="11"/>
          </w:tcPr>
          <w:p>
            <w:pPr>
              <w:spacing w:after="0" w:line="182" w:lineRule="exact"/>
              <w:rPr>
                <w:rFonts w:ascii="Arial" w:cs="Arial" w:eastAsia="Arial" w:hAnsi="Arial"/>
                <w:sz w:val="18"/>
                <w:szCs w:val="18"/>
                <w:color w:val="0000EE"/>
              </w:rPr>
            </w:pPr>
            <w:hyperlink w:anchor="page251">
              <w:r>
                <w:rPr>
                  <w:rFonts w:ascii="Arial" w:cs="Arial" w:eastAsia="Arial" w:hAnsi="Arial"/>
                  <w:sz w:val="18"/>
                  <w:szCs w:val="18"/>
                  <w:color w:val="0000EE"/>
                </w:rPr>
                <w:t>Condensed Consolidated Statements of Cash Flows for the six months ended June 30, 2017 and 2018</w:t>
              </w:r>
            </w:hyperlink>
          </w:p>
        </w:tc>
        <w:tc>
          <w:tcPr>
            <w:tcW w:w="1940" w:type="dxa"/>
            <w:vAlign w:val="bottom"/>
            <w:gridSpan w:val="2"/>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180" w:type="dxa"/>
            <w:vAlign w:val="bottom"/>
            <w:gridSpan w:val="13"/>
          </w:tcPr>
          <w:p>
            <w:pPr>
              <w:spacing w:after="0" w:line="182" w:lineRule="exact"/>
              <w:rPr>
                <w:rFonts w:ascii="Arial" w:cs="Arial" w:eastAsia="Arial" w:hAnsi="Arial"/>
                <w:sz w:val="18"/>
                <w:szCs w:val="18"/>
                <w:color w:val="0000EE"/>
              </w:rPr>
            </w:pPr>
            <w:hyperlink w:anchor="page252">
              <w:r>
                <w:rPr>
                  <w:rFonts w:ascii="Arial" w:cs="Arial" w:eastAsia="Arial" w:hAnsi="Arial"/>
                  <w:sz w:val="18"/>
                  <w:szCs w:val="18"/>
                  <w:color w:val="0000EE"/>
                </w:rPr>
                <w:t>Notes to Unaudited Condensed Consolidated Financial Statements</w:t>
              </w:r>
            </w:hyperlink>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72"/>
        </w:trPr>
        <w:tc>
          <w:tcPr>
            <w:tcW w:w="360" w:type="dxa"/>
            <w:vAlign w:val="bottom"/>
          </w:tcPr>
          <w:p>
            <w:pPr>
              <w:spacing w:after="0"/>
              <w:rPr>
                <w:sz w:val="24"/>
                <w:szCs w:val="24"/>
                <w:color w:val="auto"/>
              </w:rPr>
            </w:pPr>
          </w:p>
        </w:tc>
        <w:tc>
          <w:tcPr>
            <w:tcW w:w="2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ind w:left="780"/>
              <w:spacing w:after="0"/>
              <w:rPr>
                <w:sz w:val="20"/>
                <w:szCs w:val="20"/>
                <w:color w:val="auto"/>
              </w:rPr>
            </w:pPr>
            <w:r>
              <w:rPr>
                <w:rFonts w:ascii="Arial" w:cs="Arial" w:eastAsia="Arial" w:hAnsi="Arial"/>
                <w:sz w:val="18"/>
                <w:szCs w:val="18"/>
                <w:color w:val="auto"/>
              </w:rPr>
              <w:t>F-1</w:t>
            </w:r>
          </w:p>
        </w:tc>
        <w:tc>
          <w:tcPr>
            <w:tcW w:w="484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w:t>
      </w:r>
    </w:p>
    <w:p>
      <w:pPr>
        <w:ind w:left="200"/>
        <w:spacing w:after="0"/>
        <w:rPr>
          <w:sz w:val="20"/>
          <w:szCs w:val="20"/>
          <w:color w:val="auto"/>
        </w:rPr>
      </w:pPr>
      <w:r>
        <w:rPr>
          <w:rFonts w:ascii="Arial" w:cs="Arial" w:eastAsia="Arial" w:hAnsi="Arial"/>
          <w:sz w:val="18"/>
          <w:szCs w:val="18"/>
          <w:color w:val="auto"/>
        </w:rPr>
        <w:t>NGM Biopharmaceuticals, Inc.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2016 and 2017, and the related consolidated statements of operations,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2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California</w:t>
      </w:r>
    </w:p>
    <w:p>
      <w:pPr>
        <w:ind w:left="200"/>
        <w:spacing w:after="0"/>
        <w:rPr>
          <w:sz w:val="20"/>
          <w:szCs w:val="20"/>
          <w:color w:val="auto"/>
        </w:rPr>
      </w:pPr>
      <w:r>
        <w:rPr>
          <w:rFonts w:ascii="Arial" w:cs="Arial" w:eastAsia="Arial" w:hAnsi="Arial"/>
          <w:sz w:val="18"/>
          <w:szCs w:val="18"/>
          <w:color w:val="auto"/>
        </w:rPr>
        <w:t>August 10, 2018</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45,463</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184,729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148,092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234,681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12,709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45,150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27,194</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3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248,941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8,424</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8,934</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rent, current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19,079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37,693</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Deferred rent, non-current</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16,861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14,904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41,542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97,182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8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96,268,206 shares authorized at December 31, 2016 and 2017; 94,534,932 shares issued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outstanding at December 31, 2016 and 2017; aggregate liquidation preference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$277,774 at December 31, 2016 and 2017</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129,000,000 shares authorized at December 31, 2016 and 2017; 12,185,937 and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12,437,613 shares issued and outstanding at December 31, 2016 and 2017, respectively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17,570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26,141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(132,541)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(146,700)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(115,062)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(120,978)</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276,994</w:t>
            </w:r>
          </w:p>
        </w:tc>
        <w:tc>
          <w:tcPr>
            <w:tcW w:w="3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248,941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81,435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77,141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 collaboration revenue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collaboration revenue</w:t>
            </w: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85,589</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77,141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82,105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11,845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93,950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(17,425)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(6,422)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(6,922)</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(0.63)</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to compute net loss per common share, basic and diluted</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11,064,520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11,923,534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basic and diluted</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520"/>
              <w:spacing w:after="0" w:line="203" w:lineRule="exact"/>
              <w:rPr>
                <w:sz w:val="20"/>
                <w:szCs w:val="20"/>
                <w:color w:val="auto"/>
              </w:rPr>
            </w:pPr>
            <w:r>
              <w:rPr>
                <w:rFonts w:ascii="Arial" w:cs="Arial" w:eastAsia="Arial" w:hAnsi="Arial"/>
                <w:sz w:val="18"/>
                <w:szCs w:val="18"/>
                <w:color w:val="auto"/>
              </w:rPr>
              <w:t>(unaudited)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used to compute pro forma net loss per common share, basic</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106,458,466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$(6,922)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$(14,159)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tcPr>
          <w:p>
            <w:pPr>
              <w:spacing w:after="0" w:line="202" w:lineRule="exact"/>
              <w:rPr>
                <w:sz w:val="20"/>
                <w:szCs w:val="20"/>
                <w:color w:val="auto"/>
              </w:rPr>
            </w:pPr>
            <w:r>
              <w:rPr>
                <w:rFonts w:ascii="Arial" w:cs="Arial" w:eastAsia="Arial" w:hAnsi="Arial"/>
                <w:sz w:val="18"/>
                <w:szCs w:val="18"/>
                <w:color w:val="auto"/>
              </w:rPr>
              <w:t>Other comprehensive gain (loss), net of tax:</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unrealized gain (loss) on available-for-sale marketable securities</w:t>
            </w:r>
          </w:p>
        </w:tc>
        <w:tc>
          <w:tcPr>
            <w:tcW w:w="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w:t>
            </w: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(6,678)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w:t>
            </w: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60" w:type="dxa"/>
            <w:vAlign w:val="bottom"/>
            <w:gridSpan w:val="3"/>
          </w:tcPr>
          <w:p>
            <w:pPr>
              <w:jc w:val="right"/>
              <w:ind w:right="193"/>
              <w:spacing w:after="0"/>
              <w:rPr>
                <w:sz w:val="20"/>
                <w:szCs w:val="20"/>
                <w:color w:val="auto"/>
              </w:rPr>
            </w:pPr>
            <w:r>
              <w:rPr>
                <w:rFonts w:ascii="Arial" w:cs="Arial" w:eastAsia="Arial" w:hAnsi="Arial"/>
                <w:sz w:val="12"/>
                <w:szCs w:val="12"/>
                <w:b w:val="1"/>
                <w:bCs w:val="1"/>
                <w:color w:val="auto"/>
              </w:rPr>
              <w:t>Convertible</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34"/>
              <w:spacing w:after="0"/>
              <w:rPr>
                <w:sz w:val="20"/>
                <w:szCs w:val="20"/>
                <w:color w:val="auto"/>
              </w:rPr>
            </w:pPr>
            <w:r>
              <w:rPr>
                <w:rFonts w:ascii="Arial" w:cs="Arial" w:eastAsia="Arial" w:hAnsi="Arial"/>
                <w:sz w:val="12"/>
                <w:szCs w:val="12"/>
                <w:b w:val="1"/>
                <w:bCs w:val="1"/>
                <w:color w:val="auto"/>
                <w:w w:val="94"/>
              </w:rPr>
              <w:t>Paid-In</w:t>
            </w:r>
          </w:p>
        </w:tc>
        <w:tc>
          <w:tcPr>
            <w:tcW w:w="1260" w:type="dxa"/>
            <w:vAlign w:val="bottom"/>
            <w:gridSpan w:val="4"/>
          </w:tcPr>
          <w:p>
            <w:pPr>
              <w:ind w:left="220"/>
              <w:spacing w:after="0"/>
              <w:rPr>
                <w:sz w:val="20"/>
                <w:szCs w:val="20"/>
                <w:color w:val="auto"/>
              </w:rPr>
            </w:pPr>
            <w:r>
              <w:rPr>
                <w:rFonts w:ascii="Arial" w:cs="Arial" w:eastAsia="Arial" w:hAnsi="Arial"/>
                <w:sz w:val="12"/>
                <w:szCs w:val="12"/>
                <w:b w:val="1"/>
                <w:bCs w:val="1"/>
                <w:color w:val="auto"/>
              </w:rPr>
              <w:t>Comprehensive</w:t>
            </w:r>
          </w:p>
        </w:tc>
        <w:tc>
          <w:tcPr>
            <w:tcW w:w="1020" w:type="dxa"/>
            <w:vAlign w:val="bottom"/>
            <w:gridSpan w:val="4"/>
          </w:tcPr>
          <w:p>
            <w:pPr>
              <w:ind w:left="120"/>
              <w:spacing w:after="0"/>
              <w:rPr>
                <w:sz w:val="20"/>
                <w:szCs w:val="20"/>
                <w:color w:val="auto"/>
              </w:rPr>
            </w:pPr>
            <w:r>
              <w:rPr>
                <w:rFonts w:ascii="Arial" w:cs="Arial" w:eastAsia="Arial" w:hAnsi="Arial"/>
                <w:sz w:val="12"/>
                <w:szCs w:val="12"/>
                <w:b w:val="1"/>
                <w:bCs w:val="1"/>
                <w:color w:val="auto"/>
              </w:rPr>
              <w:t>Accumulated</w:t>
            </w:r>
          </w:p>
        </w:tc>
        <w:tc>
          <w:tcPr>
            <w:tcW w:w="10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5"/>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4"/>
              </w:rPr>
              <w:t>Shares</w:t>
            </w:r>
          </w:p>
        </w:tc>
        <w:tc>
          <w:tcPr>
            <w:tcW w:w="660" w:type="dxa"/>
            <w:vAlign w:val="bottom"/>
            <w:gridSpan w:val="3"/>
          </w:tcPr>
          <w:p>
            <w:pPr>
              <w:jc w:val="right"/>
              <w:spacing w:after="0" w:line="129" w:lineRule="exact"/>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4"/>
              <w:spacing w:after="0" w:line="129" w:lineRule="exact"/>
              <w:rPr>
                <w:sz w:val="20"/>
                <w:szCs w:val="20"/>
                <w:color w:val="auto"/>
              </w:rPr>
            </w:pPr>
            <w:r>
              <w:rPr>
                <w:rFonts w:ascii="Arial" w:cs="Arial" w:eastAsia="Arial" w:hAnsi="Arial"/>
                <w:sz w:val="12"/>
                <w:szCs w:val="12"/>
                <w:b w:val="1"/>
                <w:bCs w:val="1"/>
                <w:color w:val="auto"/>
                <w:w w:val="94"/>
              </w:rPr>
              <w:t>Capital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2"/>
                <w:szCs w:val="12"/>
                <w:b w:val="1"/>
                <w:bCs w:val="1"/>
                <w:color w:val="auto"/>
              </w:rPr>
              <w:t>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jc w:val="right"/>
              <w:ind w:right="2412"/>
              <w:spacing w:after="0" w:line="142" w:lineRule="exact"/>
              <w:rPr>
                <w:sz w:val="20"/>
                <w:szCs w:val="20"/>
                <w:color w:val="auto"/>
              </w:rPr>
            </w:pPr>
            <w:r>
              <w:rPr>
                <w:rFonts w:ascii="Arial" w:cs="Arial" w:eastAsia="Arial" w:hAnsi="Arial"/>
                <w:sz w:val="14"/>
                <w:szCs w:val="14"/>
                <w:color w:val="auto"/>
                <w:w w:val="94"/>
              </w:rPr>
              <w:t>Balance at December 31, 2015</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94,535</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$ 294,874</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10,359</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9,749</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(125,619)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(116,206)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ind w:left="260"/>
              <w:spacing w:after="0" w:line="148" w:lineRule="exact"/>
              <w:rPr>
                <w:sz w:val="20"/>
                <w:szCs w:val="20"/>
                <w:color w:val="auto"/>
              </w:rPr>
            </w:pPr>
            <w:r>
              <w:rPr>
                <w:rFonts w:ascii="Arial" w:cs="Arial" w:eastAsia="Arial" w:hAnsi="Arial"/>
                <w:sz w:val="14"/>
                <w:szCs w:val="14"/>
                <w:color w:val="auto"/>
              </w:rPr>
              <w:t>Issuance of common stock to participants in 401(k) Matching</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380"/>
              <w:spacing w:after="0" w:line="149" w:lineRule="exact"/>
              <w:rPr>
                <w:sz w:val="20"/>
                <w:szCs w:val="20"/>
                <w:color w:val="auto"/>
              </w:rPr>
            </w:pPr>
            <w:r>
              <w:rPr>
                <w:rFonts w:ascii="Arial" w:cs="Arial" w:eastAsia="Arial" w:hAnsi="Arial"/>
                <w:sz w:val="14"/>
                <w:szCs w:val="14"/>
                <w:color w:val="auto"/>
              </w:rPr>
              <w:t>Plan</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Vesting of common stock from early exercises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60"/>
              <w:spacing w:after="0" w:line="149" w:lineRule="exact"/>
              <w:rPr>
                <w:sz w:val="20"/>
                <w:szCs w:val="20"/>
                <w:color w:val="auto"/>
              </w:rPr>
            </w:pPr>
            <w:r>
              <w:rPr>
                <w:rFonts w:ascii="Arial" w:cs="Arial" w:eastAsia="Arial" w:hAnsi="Arial"/>
                <w:sz w:val="14"/>
                <w:szCs w:val="14"/>
                <w:color w:val="auto"/>
              </w:rPr>
              <w:t>Exercise of stock options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Stock-based compensation expense</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60"/>
              <w:spacing w:after="0" w:line="149" w:lineRule="exact"/>
              <w:rPr>
                <w:sz w:val="20"/>
                <w:szCs w:val="20"/>
                <w:color w:val="auto"/>
              </w:rPr>
            </w:pPr>
            <w:r>
              <w:rPr>
                <w:rFonts w:ascii="Arial" w:cs="Arial" w:eastAsia="Arial" w:hAnsi="Arial"/>
                <w:sz w:val="14"/>
                <w:szCs w:val="14"/>
                <w:color w:val="auto"/>
              </w:rPr>
              <w:t>Changes in unrealized gain (loss) on available-for-sale securities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40" w:type="dxa"/>
            <w:vAlign w:val="bottom"/>
            <w:gridSpan w:val="2"/>
          </w:tcPr>
          <w:p>
            <w:pPr>
              <w:jc w:val="right"/>
              <w:ind w:right="2412"/>
              <w:spacing w:after="0" w:line="155" w:lineRule="exact"/>
              <w:rPr>
                <w:sz w:val="20"/>
                <w:szCs w:val="20"/>
                <w:color w:val="auto"/>
              </w:rPr>
            </w:pPr>
            <w:r>
              <w:rPr>
                <w:rFonts w:ascii="Arial" w:cs="Arial" w:eastAsia="Arial" w:hAnsi="Arial"/>
                <w:sz w:val="14"/>
                <w:szCs w:val="14"/>
                <w:color w:val="auto"/>
                <w:w w:val="95"/>
              </w:rPr>
              <w:t>Balance at December 31, 2016</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7"/>
              </w:rPr>
              <w:t>94,535</w:t>
            </w: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294,874</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97"/>
              </w:rPr>
              <w:t>11,603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11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17,570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(132,541)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(115,062)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8" w:lineRule="exact"/>
              <w:rPr>
                <w:sz w:val="20"/>
                <w:szCs w:val="20"/>
                <w:color w:val="auto"/>
              </w:rPr>
            </w:pPr>
            <w:r>
              <w:rPr>
                <w:rFonts w:ascii="Arial" w:cs="Arial" w:eastAsia="Arial" w:hAnsi="Arial"/>
                <w:sz w:val="14"/>
                <w:szCs w:val="14"/>
                <w:color w:val="auto"/>
              </w:rPr>
              <w:t>Issuance of common stock to participants in 401(k) Matching</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Plan</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60"/>
              <w:spacing w:after="0" w:line="149" w:lineRule="exact"/>
              <w:rPr>
                <w:sz w:val="20"/>
                <w:szCs w:val="20"/>
                <w:color w:val="auto"/>
              </w:rPr>
            </w:pPr>
            <w:r>
              <w:rPr>
                <w:rFonts w:ascii="Arial" w:cs="Arial" w:eastAsia="Arial" w:hAnsi="Arial"/>
                <w:sz w:val="14"/>
                <w:szCs w:val="14"/>
                <w:color w:val="auto"/>
              </w:rPr>
              <w:t>Vesting of common stock from early exercises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Exercise of stock options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60"/>
              <w:spacing w:after="0" w:line="149" w:lineRule="exact"/>
              <w:rPr>
                <w:sz w:val="20"/>
                <w:szCs w:val="20"/>
                <w:color w:val="auto"/>
              </w:rPr>
            </w:pPr>
            <w:r>
              <w:rPr>
                <w:rFonts w:ascii="Arial" w:cs="Arial" w:eastAsia="Arial" w:hAnsi="Arial"/>
                <w:sz w:val="14"/>
                <w:szCs w:val="14"/>
                <w:color w:val="auto"/>
              </w:rPr>
              <w:t>Stock-based compensation expense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7,624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Changes in unrealized gain (loss) on available-for-sale securities</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60"/>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jc w:val="right"/>
              <w:ind w:right="2412"/>
              <w:spacing w:after="0" w:line="149" w:lineRule="exact"/>
              <w:rPr>
                <w:sz w:val="20"/>
                <w:szCs w:val="20"/>
                <w:color w:val="auto"/>
              </w:rPr>
            </w:pPr>
            <w:r>
              <w:rPr>
                <w:rFonts w:ascii="Arial" w:cs="Arial" w:eastAsia="Arial" w:hAnsi="Arial"/>
                <w:sz w:val="14"/>
                <w:szCs w:val="14"/>
                <w:color w:val="auto"/>
                <w:w w:val="94"/>
              </w:rPr>
              <w:t>Balance at December 31, 2017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94,535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294,874</w:t>
            </w: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12,210</w:t>
            </w:r>
          </w:p>
        </w:tc>
        <w:tc>
          <w:tcPr>
            <w:tcW w:w="4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26,141</w:t>
            </w:r>
          </w:p>
        </w:tc>
        <w:tc>
          <w:tcPr>
            <w:tcW w:w="4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(431)</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(146,700)</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(6,922)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3,534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of premium on marketable securities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6,018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700"/>
              <w:spacing w:after="0" w:line="202" w:lineRule="exact"/>
              <w:rPr>
                <w:sz w:val="20"/>
                <w:szCs w:val="20"/>
                <w:color w:val="auto"/>
              </w:rPr>
            </w:pPr>
            <w:r>
              <w:rPr>
                <w:rFonts w:ascii="Arial" w:cs="Arial" w:eastAsia="Arial" w:hAnsi="Arial"/>
                <w:sz w:val="18"/>
                <w:szCs w:val="18"/>
                <w:color w:val="auto"/>
              </w:rPr>
              <w:t>Receivable from collaboration</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70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(302)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700"/>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1,176</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70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(23,051)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(17,413)</w:t>
            </w:r>
          </w:p>
        </w:tc>
        <w:tc>
          <w:tcPr>
            <w:tcW w:w="0" w:type="dxa"/>
            <w:vAlign w:val="bottom"/>
          </w:tcPr>
          <w:p>
            <w:pPr>
              <w:spacing w:after="0"/>
              <w:rPr>
                <w:sz w:val="1"/>
                <w:szCs w:val="1"/>
                <w:color w:val="auto"/>
              </w:rPr>
            </w:pPr>
          </w:p>
        </w:tc>
      </w:tr>
      <w:tr>
        <w:trPr>
          <w:trHeight w:val="2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w w:val="98"/>
              </w:rPr>
              <w:t>(132,602)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(217,291)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92,639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220,917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(24,804)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(64,707)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(63,207)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108,670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45,463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1,589</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2,510</w:t>
            </w:r>
          </w:p>
        </w:tc>
        <w:tc>
          <w:tcPr>
            <w:tcW w:w="34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0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jc w:val="both"/>
        <w:ind w:left="200" w:right="140" w:firstLine="551"/>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6"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The December 31, 2017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December 31, 2017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 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7"/>
              <w:spacing w:after="0" w:line="155"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0"/>
        </w:trPr>
        <w:tc>
          <w:tcPr>
            <w:tcW w:w="81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gridSpan w:val="2"/>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11,923,534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convertible preferred stock</w:t>
            </w:r>
          </w:p>
        </w:tc>
        <w:tc>
          <w:tcPr>
            <w:tcW w:w="1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60" w:type="dxa"/>
            <w:vAlign w:val="bottom"/>
            <w:gridSpan w:val="2"/>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106,458,466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7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5360"/>
              <w:spacing w:after="0"/>
              <w:rPr>
                <w:sz w:val="20"/>
                <w:szCs w:val="20"/>
                <w:color w:val="auto"/>
              </w:rPr>
            </w:pPr>
            <w:r>
              <w:rPr>
                <w:rFonts w:ascii="Arial" w:cs="Arial" w:eastAsia="Arial" w:hAnsi="Arial"/>
                <w:sz w:val="18"/>
                <w:szCs w:val="18"/>
                <w:color w:val="auto"/>
              </w:rPr>
              <w:t>F-8</w:t>
            </w: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1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w:t>
      </w:r>
    </w:p>
    <w:p>
      <w:pPr>
        <w:ind w:left="200"/>
        <w:spacing w:after="0" w:line="234" w:lineRule="auto"/>
        <w:rPr>
          <w:sz w:val="20"/>
          <w:szCs w:val="20"/>
          <w:color w:val="auto"/>
        </w:rPr>
      </w:pPr>
      <w:r>
        <w:rPr>
          <w:rFonts w:ascii="Arial" w:cs="Arial" w:eastAsia="Arial" w:hAnsi="Arial"/>
          <w:sz w:val="18"/>
          <w:szCs w:val="18"/>
          <w:color w:val="auto"/>
        </w:rPr>
        <w:t>December 31, 2016 and 2017, the Company incurred a net loss of $6.9 million and $14.2 million, respectively. At December 31, 2017, the</w:t>
      </w:r>
    </w:p>
    <w:p>
      <w:pPr>
        <w:ind w:left="200"/>
        <w:spacing w:after="0" w:line="235" w:lineRule="auto"/>
        <w:rPr>
          <w:sz w:val="20"/>
          <w:szCs w:val="20"/>
          <w:color w:val="auto"/>
        </w:rPr>
      </w:pPr>
      <w:r>
        <w:rPr>
          <w:rFonts w:ascii="Arial" w:cs="Arial" w:eastAsia="Arial" w:hAnsi="Arial"/>
          <w:sz w:val="18"/>
          <w:szCs w:val="18"/>
          <w:color w:val="auto"/>
        </w:rPr>
        <w:t>Company had an accumulated deficit of $146.7 million and does not expect to experience positive cash flows from operations in the near</w:t>
      </w:r>
    </w:p>
    <w:p>
      <w:pPr>
        <w:ind w:left="200"/>
        <w:spacing w:after="0" w:line="235" w:lineRule="auto"/>
        <w:rPr>
          <w:sz w:val="20"/>
          <w:szCs w:val="20"/>
          <w:color w:val="auto"/>
        </w:rPr>
      </w:pPr>
      <w:r>
        <w:rPr>
          <w:rFonts w:ascii="Arial" w:cs="Arial" w:eastAsia="Arial" w:hAnsi="Arial"/>
          <w:sz w:val="18"/>
          <w:szCs w:val="18"/>
          <w:color w:val="auto"/>
        </w:rPr>
        <w:t>future. The Company had $218.8 million of cash, cash equivalents and marketable securities at December 31, 2017. Based on the</w:t>
      </w:r>
    </w:p>
    <w:p>
      <w:pPr>
        <w:ind w:left="200"/>
        <w:spacing w:after="0" w:line="235" w:lineRule="auto"/>
        <w:rPr>
          <w:sz w:val="20"/>
          <w:szCs w:val="20"/>
          <w:color w:val="auto"/>
        </w:rPr>
      </w:pPr>
      <w:r>
        <w:rPr>
          <w:rFonts w:ascii="Arial" w:cs="Arial" w:eastAsia="Arial" w:hAnsi="Arial"/>
          <w:sz w:val="18"/>
          <w:szCs w:val="18"/>
          <w:color w:val="auto"/>
        </w:rPr>
        <w:t>Company’s business plan, management believes this is sufficient to meet its obligations for at least the next twelve months from the</w:t>
      </w:r>
    </w:p>
    <w:p>
      <w:pPr>
        <w:ind w:left="200"/>
        <w:spacing w:after="0"/>
        <w:rPr>
          <w:sz w:val="20"/>
          <w:szCs w:val="20"/>
          <w:color w:val="auto"/>
        </w:rPr>
      </w:pPr>
      <w:r>
        <w:rPr>
          <w:rFonts w:ascii="Arial" w:cs="Arial" w:eastAsia="Arial" w:hAnsi="Arial"/>
          <w:sz w:val="18"/>
          <w:szCs w:val="18"/>
          <w:color w:val="auto"/>
        </w:rPr>
        <w:t>issuance date of these consolidated financial statements.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 from collaboration,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2016 and 2017, cash and cash equivalents consisted of bank deposits and investments in money market funds.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jc w:val="both"/>
        <w:ind w:left="200" w:right="200" w:firstLine="551"/>
        <w:spacing w:after="0"/>
        <w:rPr>
          <w:sz w:val="20"/>
          <w:szCs w:val="20"/>
          <w:color w:val="auto"/>
        </w:rPr>
      </w:pPr>
      <w:r>
        <w:rPr>
          <w:rFonts w:ascii="Arial" w:cs="Arial" w:eastAsia="Arial" w:hAnsi="Arial"/>
          <w:sz w:val="18"/>
          <w:szCs w:val="18"/>
          <w:color w:val="auto"/>
        </w:rPr>
        <w:t>As of December 31, 2016 and 2017, the Company had $60,000 of restricted cash classified as a current asset and $2.3 million of restricted cash classified as a non-current asset. The restricted cash serves as collateral for facility leases entered into in 2010 and 2015 (Note 6). Restricted cash is classified as current if the collateral will be returned in less than 12 months.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6"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invests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 The Company is not exposed to any significant concentrations of credit risk from these financial instruments.</w:t>
      </w:r>
    </w:p>
    <w:p>
      <w:pPr>
        <w:spacing w:after="0" w:line="20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Receivables and related party receivables from collaborations (Note 6)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203"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Merck accounted for 95% and 100% of the Company’s collaboration revenue for the years ended December 31, 2016 and 2017,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charged to expense as incurred. Costs that improve assets or extend their economic lives are capitalized. Depreciation is recognized using the straight-line method based on an estimated useful life of the asset, which is as follows: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7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3 years</w:t>
            </w: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60" w:type="dxa"/>
            <w:vAlign w:val="bottom"/>
          </w:tcPr>
          <w:p>
            <w:pPr>
              <w:ind w:left="19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w:t>
            </w:r>
          </w:p>
        </w:tc>
        <w:tc>
          <w:tcPr>
            <w:tcW w:w="576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ind w:left="200" w:right="880" w:firstLine="551"/>
        <w:spacing w:after="0" w:line="246" w:lineRule="auto"/>
        <w:rPr>
          <w:sz w:val="20"/>
          <w:szCs w:val="20"/>
          <w:color w:val="auto"/>
        </w:rPr>
      </w:pPr>
      <w:r>
        <w:rPr>
          <w:rFonts w:ascii="Arial" w:cs="Arial" w:eastAsia="Arial" w:hAnsi="Arial"/>
          <w:sz w:val="18"/>
          <w:szCs w:val="18"/>
          <w:color w:val="auto"/>
        </w:rPr>
        <w:t>The Company’s lease agreement for its laboratory and office facilities are classified as operating leases. Rent expense is recognized on a straight-line basis over the term of the lease. Incentives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granted under the Company’s facilities leases, including allowances to fund leasehold improvements and rent holidays, are capitalized and are recognized as reductions to rental expense on a straight-line basis over the term of the lease.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2016 and 2017 and during the twelve months then ended, no revision to the remaining useful lives or write-down of long-lived assets was required.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6" w:lineRule="exact"/>
        <w:rPr>
          <w:sz w:val="20"/>
          <w:szCs w:val="20"/>
          <w:color w:val="auto"/>
        </w:rPr>
      </w:pPr>
    </w:p>
    <w:p>
      <w:pPr>
        <w:ind w:left="200" w:right="40" w:firstLine="551"/>
        <w:spacing w:after="0" w:line="252" w:lineRule="auto"/>
        <w:rPr>
          <w:sz w:val="20"/>
          <w:szCs w:val="20"/>
          <w:color w:val="auto"/>
        </w:rPr>
      </w:pPr>
      <w:r>
        <w:rPr>
          <w:rFonts w:ascii="Arial" w:cs="Arial" w:eastAsia="Arial" w:hAnsi="Arial"/>
          <w:sz w:val="17"/>
          <w:szCs w:val="17"/>
          <w:color w:val="auto"/>
        </w:rPr>
        <w:t>Freestanding warrants to purchase the Company’s convertible preferred stock are classified as a liability on the consolidated balance sheets. The convertible preferred stock warrants are recorded as a liability because the underlying shares of convertible preferred stock are contingently redeemable, which, therefore, may obligate the Company to transfer assets at some point in the future to settle these warrants. As a result, the warrants are subject to remeasurement at each balance sheet date, with changes in estimated fair value recognized as a component of total other income (expense) in the Company’s consolidated statements of operations. The Company will continue to adjust the liability for changes in estimated fair value until the earlier of the expiration, exercise, or conversion of the warrant upon the completion of a liquidation event, including the completion of an IPO. Upon the Company’s IPO, the convertible preferred stock warrant liability will be subject to a final adjustment to the estimated fair value and will then be reclassified to additional paid-in capital.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 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7"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5" w:lineRule="exact"/>
        <w:rPr>
          <w:sz w:val="20"/>
          <w:szCs w:val="20"/>
          <w:color w:val="auto"/>
        </w:rPr>
      </w:pPr>
    </w:p>
    <w:p>
      <w:pPr>
        <w:ind w:left="200" w:right="120" w:firstLine="551"/>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2" w:lineRule="exact"/>
        <w:rPr>
          <w:sz w:val="20"/>
          <w:szCs w:val="20"/>
          <w:color w:val="auto"/>
        </w:rPr>
      </w:pPr>
    </w:p>
    <w:p>
      <w:pPr>
        <w:ind w:left="200" w:right="40" w:firstLine="4"/>
        <w:spacing w:after="0" w:line="236" w:lineRule="auto"/>
        <w:tabs>
          <w:tab w:leader="none" w:pos="47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197"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left="200" w:right="20" w:firstLine="551"/>
        <w:spacing w:after="0" w:line="234" w:lineRule="auto"/>
        <w:rPr>
          <w:sz w:val="20"/>
          <w:szCs w:val="20"/>
          <w:color w:val="auto"/>
        </w:rPr>
      </w:pPr>
      <w:r>
        <w:rPr>
          <w:rFonts w:ascii="Arial" w:cs="Arial" w:eastAsia="Arial" w:hAnsi="Arial"/>
          <w:sz w:val="18"/>
          <w:szCs w:val="18"/>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2"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functional currency of NGM Biopharmaceuticals Australia Pty Ltd., a wholly 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During the years ended December 31, 2016 and 2017, the Company recorded a foreign exchange remeasurement gain of $19,000 and loss of $0.1 million, respectively.</w:t>
      </w:r>
    </w:p>
    <w:p>
      <w:pPr>
        <w:spacing w:after="0" w:line="205"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and the Euro. Payments on contracts denominated in foreign currencies are made at the spot rate on the day of payment. Changes in the exchange rate between billing dates and payment dates are recorded to other income (expense), net on the consolidated statements of operations. During the years ended December 31, 2016 and 2017, the Company recorded a foreign exchange transaction gain of $19,000 and loss of $37,000, respectively.</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2016 and 2017, the difference between comprehensive loss and net loss consisted of changes in net unrealized gain on marketable securities of $0.2 million, and changes in net unrealized loss on marketable securities of $0.3 million,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years ended December 31, 2016 and 2017, all potential common shares were determined to be anti-dilutive.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6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340"/>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(6,922)</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(14,159)</w:t>
            </w: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11,064,520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11,923,534</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8"/>
              <w:spacing w:after="0" w:line="196" w:lineRule="exact"/>
              <w:rPr>
                <w:sz w:val="20"/>
                <w:szCs w:val="20"/>
                <w:color w:val="auto"/>
              </w:rPr>
            </w:pPr>
            <w:r>
              <w:rPr>
                <w:rFonts w:ascii="Arial" w:cs="Arial" w:eastAsia="Arial" w:hAnsi="Arial"/>
                <w:sz w:val="18"/>
                <w:szCs w:val="18"/>
                <w:color w:val="auto"/>
              </w:rPr>
              <w:t>(0.63)</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0" w:firstLine="551"/>
        <w:spacing w:after="0" w:line="246"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tcBorders>
              <w:top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2016</w:t>
            </w:r>
          </w:p>
        </w:tc>
        <w:tc>
          <w:tcPr>
            <w:tcW w:w="1440" w:type="dxa"/>
            <w:vAlign w:val="bottom"/>
            <w:tcBorders>
              <w:top w:val="single" w:sz="8" w:color="auto"/>
            </w:tcBorders>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w:t>
            </w:r>
          </w:p>
        </w:tc>
        <w:tc>
          <w:tcPr>
            <w:tcW w:w="36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4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14,328,856</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16,937,403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6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39,274</w:t>
            </w:r>
          </w:p>
        </w:tc>
        <w:tc>
          <w:tcPr>
            <w:tcW w:w="1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39,274</w:t>
            </w:r>
          </w:p>
        </w:tc>
        <w:tc>
          <w:tcPr>
            <w:tcW w:w="80" w:type="dxa"/>
            <w:vAlign w:val="bottom"/>
            <w:shd w:val="clear" w:color="auto" w:fill="CCEEFF"/>
          </w:tcPr>
          <w:p>
            <w:pPr>
              <w:spacing w:after="0"/>
              <w:rPr>
                <w:sz w:val="17"/>
                <w:szCs w:val="17"/>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108,903,062</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111,511,609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920" w:type="dxa"/>
            <w:vAlign w:val="bottom"/>
            <w:gridSpan w:val="2"/>
          </w:tcPr>
          <w:p>
            <w:pPr>
              <w:jc w:val="right"/>
              <w:ind w:right="3739"/>
              <w:spacing w:after="0"/>
              <w:rPr>
                <w:sz w:val="20"/>
                <w:szCs w:val="20"/>
                <w:color w:val="auto"/>
              </w:rPr>
            </w:pPr>
            <w:r>
              <w:rPr>
                <w:rFonts w:ascii="Arial" w:cs="Arial" w:eastAsia="Arial" w:hAnsi="Arial"/>
                <w:sz w:val="18"/>
                <w:szCs w:val="18"/>
                <w:color w:val="auto"/>
              </w:rPr>
              <w:t>F-14</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years ended December 31, 2016 and 2017, the Company’s revenues were entirely within the United States based upon the location of the customers.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6" w:lineRule="exact"/>
        <w:rPr>
          <w:sz w:val="20"/>
          <w:szCs w:val="20"/>
          <w:color w:val="auto"/>
        </w:rPr>
      </w:pPr>
    </w:p>
    <w:p>
      <w:pPr>
        <w:ind w:left="200" w:right="240" w:firstLine="551"/>
        <w:spacing w:after="0" w:line="237" w:lineRule="auto"/>
        <w:rPr>
          <w:sz w:val="20"/>
          <w:szCs w:val="20"/>
          <w:color w:val="auto"/>
        </w:rPr>
      </w:pPr>
      <w:r>
        <w:rPr>
          <w:rFonts w:ascii="Arial" w:cs="Arial" w:eastAsia="Arial" w:hAnsi="Arial"/>
          <w:sz w:val="18"/>
          <w:szCs w:val="18"/>
          <w:color w:val="auto"/>
        </w:rPr>
        <w:t xml:space="preserve">In November 2015, the Financial Accounting Standards Board (FASB) issued Accounting Standards Update (ASU) No. 2015-17, </w:t>
      </w:r>
      <w:r>
        <w:rPr>
          <w:rFonts w:ascii="Arial" w:cs="Arial" w:eastAsia="Arial" w:hAnsi="Arial"/>
          <w:sz w:val="18"/>
          <w:szCs w:val="18"/>
          <w:i w:val="1"/>
          <w:iCs w:val="1"/>
          <w:color w:val="auto"/>
        </w:rPr>
        <w:t xml:space="preserve">Income Taxes (Topic 740)—Balance Sheet Classification of Deferred Taxes </w:t>
      </w:r>
      <w:r>
        <w:rPr>
          <w:rFonts w:ascii="Arial" w:cs="Arial" w:eastAsia="Arial" w:hAnsi="Arial"/>
          <w:sz w:val="18"/>
          <w:szCs w:val="18"/>
          <w:color w:val="auto"/>
        </w:rPr>
        <w:t>(ASU 2015-17). This ASU simplifies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by requiring non-current classification in a classified statement of financial position. ASU 2015-17 is effective for financial statements issued for fiscal years beginning after December 15, 2017. ASU 2015-17 may be either applied prospectively to all deferred tax assets and liabilities or retrospectively to all periods presented. The Company adopted ASU 2015-17 as of December 31, 2017; however, there was no impact on the Company’s consolidated financial statements as a result of adopting ASU 2015-17.</w:t>
      </w:r>
    </w:p>
    <w:p>
      <w:pPr>
        <w:spacing w:after="0" w:line="18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5" w:lineRule="exact"/>
        <w:rPr>
          <w:sz w:val="20"/>
          <w:szCs w:val="20"/>
          <w:color w:val="auto"/>
        </w:rPr>
      </w:pPr>
    </w:p>
    <w:p>
      <w:pPr>
        <w:ind w:left="200" w:right="20" w:firstLine="551"/>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on January 1, 2018; however, there was no impact on the Company’s consolidated financial statements as a result of adopting ASU 2017-09.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left="200" w:right="460" w:firstLine="551"/>
        <w:spacing w:after="0" w:line="26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which supersedes the revenue recognition requirements in Accounting Standards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annual reporting periods beginning after December 15, 2018 and interim periods beginning after December 15,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or selected the method of adoption, the adoption of ASU 2014-09 may have a material effect on its consolidated financial statements.</w:t>
      </w:r>
    </w:p>
    <w:p>
      <w:pPr>
        <w:spacing w:after="0" w:line="185"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5"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4" w:lineRule="exact"/>
        <w:rPr>
          <w:sz w:val="20"/>
          <w:szCs w:val="20"/>
          <w:color w:val="auto"/>
        </w:rPr>
      </w:pPr>
    </w:p>
    <w:p>
      <w:pPr>
        <w:ind w:left="200" w:right="160" w:firstLine="551"/>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08"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60" w:hanging="985"/>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8" w:lineRule="exact"/>
        <w:rPr>
          <w:sz w:val="20"/>
          <w:szCs w:val="20"/>
          <w:color w:val="auto"/>
        </w:rPr>
      </w:pPr>
    </w:p>
    <w:p>
      <w:pPr>
        <w:ind w:left="1740" w:right="360" w:hanging="985"/>
        <w:spacing w:after="0" w:line="246"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5"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For the year ended December 31, 2016, the Company realized a gain of $ 12,000 on the sale and maturity of available-for-sale securities. For the year ended December 31, 2017, the Company realized a gain of $2,000 on the sale and maturity of available-for-sale securities.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24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At December 31, 2016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7"/>
              <w:spacing w:after="0" w:line="143"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40"/>
              <w:spacing w:after="0" w:line="143" w:lineRule="exact"/>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98"/>
              </w:rPr>
              <w:t>Unrealized</w:t>
            </w: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77"/>
              <w:spacing w:after="0"/>
              <w:rPr>
                <w:sz w:val="20"/>
                <w:szCs w:val="20"/>
                <w:color w:val="auto"/>
              </w:rPr>
            </w:pPr>
            <w:r>
              <w:rPr>
                <w:rFonts w:ascii="Arial" w:cs="Arial" w:eastAsia="Arial" w:hAnsi="Arial"/>
                <w:sz w:val="14"/>
                <w:szCs w:val="14"/>
                <w:b w:val="1"/>
                <w:bCs w:val="1"/>
                <w:color w:val="auto"/>
              </w:rPr>
              <w:t>Gain</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Loss</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108,589</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108,509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8,977</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79,974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226,065</w:t>
            </w:r>
          </w:p>
        </w:tc>
        <w:tc>
          <w:tcPr>
            <w:tcW w:w="660" w:type="dxa"/>
            <w:vAlign w:val="bottom"/>
            <w:tcBorders>
              <w:left w:val="single" w:sz="8" w:color="CCEEFF"/>
            </w:tcBorders>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6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(127)</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184,729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At December 31, 2017</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98"/>
              </w:rPr>
              <w:t>Gross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720"/>
              <w:spacing w:after="0" w:line="14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w:t>
            </w:r>
          </w:p>
        </w:tc>
        <w:tc>
          <w:tcPr>
            <w:tcW w:w="5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Unrealized</w:t>
            </w:r>
          </w:p>
        </w:tc>
        <w:tc>
          <w:tcPr>
            <w:tcW w:w="54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14"/>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rPr>
              <w:t>Gain</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9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93,025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66,256</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211,937</w:t>
            </w:r>
          </w:p>
        </w:tc>
        <w:tc>
          <w:tcPr>
            <w:tcW w:w="660" w:type="dxa"/>
            <w:vAlign w:val="bottom"/>
            <w:tcBorders>
              <w:left w:val="single" w:sz="8" w:color="CCEEFF"/>
            </w:tcBorders>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(432)</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148,092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$17.0 million as of December 31, 2016 and $7.3 million as of December 31, 2017.</w:t>
      </w:r>
    </w:p>
    <w:p>
      <w:pPr>
        <w:spacing w:after="0" w:line="197"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As of December 31, 2016 and 2017, the Company’s marketable securities had the following remaining contractual maturities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At December 31, 2016</w:t>
            </w:r>
          </w:p>
        </w:tc>
      </w:tr>
      <w:tr>
        <w:trPr>
          <w:trHeight w:val="156"/>
        </w:trPr>
        <w:tc>
          <w:tcPr>
            <w:tcW w:w="20" w:type="dxa"/>
            <w:vAlign w:val="bottom"/>
          </w:tcPr>
          <w:p>
            <w:pPr>
              <w:spacing w:after="0"/>
              <w:rPr>
                <w:sz w:val="13"/>
                <w:szCs w:val="13"/>
                <w:color w:val="auto"/>
              </w:rPr>
            </w:pPr>
          </w:p>
        </w:tc>
        <w:tc>
          <w:tcPr>
            <w:tcW w:w="4480" w:type="dxa"/>
            <w:vAlign w:val="bottom"/>
            <w:tcBorders>
              <w:bottom w:val="single" w:sz="8" w:color="CCEEFF"/>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40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184,815</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$184,729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4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12,725</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12,709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197,540</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197,438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320" w:type="dxa"/>
            <w:vAlign w:val="bottom"/>
            <w:gridSpan w:val="2"/>
          </w:tcPr>
          <w:p>
            <w:pPr>
              <w:jc w:val="right"/>
              <w:ind w:right="3039"/>
              <w:spacing w:after="0"/>
              <w:rPr>
                <w:sz w:val="20"/>
                <w:szCs w:val="20"/>
                <w:color w:val="auto"/>
              </w:rPr>
            </w:pPr>
            <w:r>
              <w:rPr>
                <w:rFonts w:ascii="Arial" w:cs="Arial" w:eastAsia="Arial" w:hAnsi="Arial"/>
                <w:sz w:val="18"/>
                <w:szCs w:val="18"/>
                <w:color w:val="auto"/>
              </w:rPr>
              <w:t>F-18</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At December 31, 2017</w:t>
            </w: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$148,092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45,394</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26"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2016 and 2017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28,525</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$28,525</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108,509</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108,509</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8,977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8,977</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79,952</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79,952</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225,963</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28,525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197,438</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$ 118</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18,263</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$18,263</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1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211,505</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193,242</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2016 and 2017.</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2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Amounts</w:t>
            </w: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2015</w:t>
            </w:r>
          </w:p>
        </w:tc>
        <w:tc>
          <w:tcPr>
            <w:tcW w:w="20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20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22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$2,000 and other expense of $ 3,000 for the change in estimated fair value of the warrant liabilities for the years ended December 31, 2016 and 2017, respectively. The inputs used in the determination of the fair value of the warrants as of December 31, 2017 used an estimated fair value per share of the Company’s common stock fair value per share, one year for the expected term of the warrant, 65.71% for the stock value volatility using publicly traded peer company volatility as a basis, and 1.76% for the risk-free interest rate on U.S. Treasury securities at 1-year constant maturity.</w:t>
      </w:r>
    </w:p>
    <w:p>
      <w:pPr>
        <w:spacing w:after="0" w:line="289" w:lineRule="exact"/>
        <w:rPr>
          <w:sz w:val="20"/>
          <w:szCs w:val="20"/>
          <w:color w:val="auto"/>
        </w:rPr>
      </w:pPr>
    </w:p>
    <w:p>
      <w:pPr>
        <w:ind w:left="200" w:right="8460" w:firstLine="4"/>
        <w:spacing w:after="0" w:line="394" w:lineRule="auto"/>
        <w:tabs>
          <w:tab w:leader="none" w:pos="40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w:t>
      </w:r>
    </w:p>
    <w:p>
      <w:pPr>
        <w:spacing w:after="0" w:line="1" w:lineRule="exact"/>
        <w:rPr>
          <w:rFonts w:ascii="Arial" w:cs="Arial" w:eastAsia="Arial" w:hAnsi="Arial"/>
          <w:sz w:val="17"/>
          <w:szCs w:val="17"/>
          <w:b w:val="1"/>
          <w:bCs w:val="1"/>
          <w:color w:val="auto"/>
        </w:rPr>
      </w:pP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Property and equipment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26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12,551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16,715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22,205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22,300</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2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36,046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40,053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(8,852)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(15,180)</w:t>
            </w: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property and equipment, net</w:t>
            </w:r>
          </w:p>
        </w:tc>
        <w:tc>
          <w:tcPr>
            <w:tcW w:w="2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27,194</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24,873</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40" w:firstLine="551"/>
        <w:spacing w:after="0" w:line="246" w:lineRule="auto"/>
        <w:rPr>
          <w:sz w:val="20"/>
          <w:szCs w:val="20"/>
          <w:color w:val="auto"/>
        </w:rPr>
      </w:pPr>
      <w:r>
        <w:rPr>
          <w:rFonts w:ascii="Arial" w:cs="Arial" w:eastAsia="Arial" w:hAnsi="Arial"/>
          <w:sz w:val="18"/>
          <w:szCs w:val="18"/>
          <w:color w:val="auto"/>
        </w:rPr>
        <w:t>Depreciation expense was approximately $3.5 million and $6.4 million for the years ended December 31, 2016 and 2017, respectively.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8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66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expenses</w:t>
            </w:r>
          </w:p>
        </w:tc>
        <w:tc>
          <w:tcPr>
            <w:tcW w:w="26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$2,189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Clinical trials and research and development costs</w:t>
            </w:r>
          </w:p>
        </w:tc>
        <w:tc>
          <w:tcPr>
            <w:tcW w:w="3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2,184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3,239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Personnel-related costs</w:t>
            </w:r>
          </w:p>
        </w:tc>
        <w:tc>
          <w:tcPr>
            <w:tcW w:w="3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line="202" w:lineRule="exact"/>
              <w:rPr>
                <w:sz w:val="20"/>
                <w:szCs w:val="20"/>
                <w:color w:val="auto"/>
              </w:rPr>
            </w:pPr>
            <w:r>
              <w:rPr>
                <w:rFonts w:ascii="Arial" w:cs="Arial" w:eastAsia="Arial" w:hAnsi="Arial"/>
                <w:sz w:val="18"/>
                <w:szCs w:val="18"/>
                <w:color w:val="auto"/>
              </w:rPr>
              <w:t>Manufacturing costs</w:t>
            </w:r>
          </w:p>
        </w:tc>
        <w:tc>
          <w:tcPr>
            <w:tcW w:w="268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1,342</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accrued liabilities</w:t>
            </w:r>
          </w:p>
        </w:tc>
        <w:tc>
          <w:tcPr>
            <w:tcW w:w="3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8,934</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11,686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right="6640" w:firstLine="4"/>
        <w:spacing w:after="0" w:line="372" w:lineRule="auto"/>
        <w:tabs>
          <w:tab w:leader="none" w:pos="4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spacing w:after="0" w:line="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66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6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26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62,635</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58,341</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related party collaboration revenue</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81,435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77,141</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collaboration revenue</w:t>
            </w:r>
          </w:p>
        </w:tc>
        <w:tc>
          <w:tcPr>
            <w:tcW w:w="26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3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3,773</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6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Total other collaboration revenue</w:t>
            </w:r>
          </w:p>
        </w:tc>
        <w:tc>
          <w:tcPr>
            <w:tcW w:w="26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w:t>
            </w:r>
          </w:p>
        </w:tc>
        <w:tc>
          <w:tcPr>
            <w:tcW w:w="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collaboration revenue</w:t>
            </w:r>
          </w:p>
        </w:tc>
        <w:tc>
          <w:tcPr>
            <w:tcW w:w="3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85,589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77,141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JDRF</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years ended December 31, 2016 and 2017 the Company did not recognize any revenue from this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MedImmune</w:t>
      </w:r>
    </w:p>
    <w:p>
      <w:pPr>
        <w:spacing w:after="0" w:line="126"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In June 2013, the Company entered into a collaboration agreement with MedImmune Limited, or MedImmune, to identify and advance therapeutic agents for diabetes and/or obesity. Under the terms of the agreement, the Company received an upfront payment of $25 million, which was recognized as revenue on a straight-line basis over the three-year duration of the collaboration. In June 2016, the research term in the collaboration agreement with MedImmune expired, and the Company and MedImmune terminated the agreement in August 2016.</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Merck</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February 2015, the Company entered into a research collaboration, product development and license agreement with Merck,</w:t>
      </w:r>
    </w:p>
    <w:p>
      <w:pPr>
        <w:ind w:left="200"/>
        <w:spacing w:after="0" w:line="234" w:lineRule="auto"/>
        <w:rPr>
          <w:sz w:val="20"/>
          <w:szCs w:val="20"/>
          <w:color w:val="auto"/>
        </w:rPr>
      </w:pPr>
      <w:r>
        <w:rPr>
          <w:rFonts w:ascii="Arial" w:cs="Arial" w:eastAsia="Arial" w:hAnsi="Arial"/>
          <w:sz w:val="18"/>
          <w:szCs w:val="18"/>
          <w:color w:val="auto"/>
        </w:rPr>
        <w:t>covering the discovery, development and commercialization of novel therapies across a range of therapeutic areas (Merck Collaboration</w:t>
      </w:r>
    </w:p>
    <w:p>
      <w:pPr>
        <w:ind w:left="200"/>
        <w:spacing w:after="0" w:line="235" w:lineRule="auto"/>
        <w:rPr>
          <w:sz w:val="20"/>
          <w:szCs w:val="20"/>
          <w:color w:val="auto"/>
        </w:rPr>
      </w:pPr>
      <w:r>
        <w:rPr>
          <w:rFonts w:ascii="Arial" w:cs="Arial" w:eastAsia="Arial" w:hAnsi="Arial"/>
          <w:sz w:val="18"/>
          <w:szCs w:val="18"/>
          <w:color w:val="auto"/>
        </w:rPr>
        <w:t>Agreement). The collaboration includes an exclusive worldwide license to the GDF15 program, comprising NGM386 and NGM395 and</w:t>
      </w:r>
    </w:p>
    <w:p>
      <w:pPr>
        <w:ind w:left="200"/>
        <w:spacing w:after="0" w:line="235" w:lineRule="auto"/>
        <w:rPr>
          <w:sz w:val="20"/>
          <w:szCs w:val="20"/>
          <w:color w:val="auto"/>
        </w:rPr>
      </w:pPr>
      <w:r>
        <w:rPr>
          <w:rFonts w:ascii="Arial" w:cs="Arial" w:eastAsia="Arial" w:hAnsi="Arial"/>
          <w:sz w:val="18"/>
          <w:szCs w:val="18"/>
          <w:color w:val="auto"/>
        </w:rPr>
        <w:t>other GDF15 agonist compounds; the product candidates from this program that are being evaluated for the treatment of diabetes, obesity</w:t>
      </w:r>
    </w:p>
    <w:p>
      <w:pPr>
        <w:ind w:left="200"/>
        <w:spacing w:after="0" w:line="235" w:lineRule="auto"/>
        <w:rPr>
          <w:sz w:val="20"/>
          <w:szCs w:val="20"/>
          <w:color w:val="auto"/>
        </w:rPr>
      </w:pPr>
      <w:r>
        <w:rPr>
          <w:rFonts w:ascii="Arial" w:cs="Arial" w:eastAsia="Arial" w:hAnsi="Arial"/>
          <w:sz w:val="18"/>
          <w:szCs w:val="18"/>
          <w:color w:val="auto"/>
        </w:rPr>
        <w:t>and non-alcoholic steatohepatitis; and a broad, multi-year drug discovery and early development program financially supported by Merck</w:t>
      </w:r>
    </w:p>
    <w:p>
      <w:pPr>
        <w:ind w:left="200"/>
        <w:spacing w:after="0" w:line="235" w:lineRule="auto"/>
        <w:rPr>
          <w:sz w:val="20"/>
          <w:szCs w:val="20"/>
          <w:color w:val="auto"/>
        </w:rPr>
      </w:pPr>
      <w:r>
        <w:rPr>
          <w:rFonts w:ascii="Arial" w:cs="Arial" w:eastAsia="Arial" w:hAnsi="Arial"/>
          <w:sz w:val="18"/>
          <w:szCs w:val="18"/>
          <w:color w:val="auto"/>
        </w:rPr>
        <w:t>but scientifically directed by the Company. The goal of the drug discovery and early development program is to identify and develop,</w:t>
      </w:r>
    </w:p>
    <w:p>
      <w:pPr>
        <w:ind w:left="200"/>
        <w:spacing w:after="0" w:line="235" w:lineRule="auto"/>
        <w:rPr>
          <w:sz w:val="20"/>
          <w:szCs w:val="20"/>
          <w:color w:val="auto"/>
        </w:rPr>
      </w:pPr>
      <w:r>
        <w:rPr>
          <w:rFonts w:ascii="Arial" w:cs="Arial" w:eastAsia="Arial" w:hAnsi="Arial"/>
          <w:sz w:val="18"/>
          <w:szCs w:val="18"/>
          <w:color w:val="auto"/>
        </w:rPr>
        <w:t>through human proof-of-concept studies, multiple product candidates for various therapeutic areas. For those compounds resulting from</w:t>
      </w:r>
    </w:p>
    <w:p>
      <w:pPr>
        <w:ind w:left="200"/>
        <w:spacing w:after="0" w:line="235" w:lineRule="auto"/>
        <w:rPr>
          <w:sz w:val="20"/>
          <w:szCs w:val="20"/>
          <w:color w:val="auto"/>
        </w:rPr>
      </w:pPr>
      <w:r>
        <w:rPr>
          <w:rFonts w:ascii="Arial" w:cs="Arial" w:eastAsia="Arial" w:hAnsi="Arial"/>
          <w:sz w:val="18"/>
          <w:szCs w:val="18"/>
          <w:color w:val="auto"/>
        </w:rPr>
        <w:t>the research and development program that progress through human proof-of-concept studies, Merck has a one-time option at a cost of</w:t>
      </w:r>
    </w:p>
    <w:p>
      <w:pPr>
        <w:ind w:left="200"/>
        <w:spacing w:after="0" w:line="235" w:lineRule="auto"/>
        <w:rPr>
          <w:sz w:val="20"/>
          <w:szCs w:val="20"/>
          <w:color w:val="auto"/>
        </w:rPr>
      </w:pPr>
      <w:r>
        <w:rPr>
          <w:rFonts w:ascii="Arial" w:cs="Arial" w:eastAsia="Arial" w:hAnsi="Arial"/>
          <w:sz w:val="18"/>
          <w:szCs w:val="18"/>
          <w:color w:val="auto"/>
        </w:rPr>
        <w:t>$20.0 million for each compound, to obtain an exclusive, worldwide license, within 60 days after receipt of the complete data package from</w:t>
      </w:r>
    </w:p>
    <w:p>
      <w:pPr>
        <w:ind w:left="200"/>
        <w:spacing w:after="0" w:line="235" w:lineRule="auto"/>
        <w:rPr>
          <w:sz w:val="20"/>
          <w:szCs w:val="20"/>
          <w:color w:val="auto"/>
        </w:rPr>
      </w:pPr>
      <w:r>
        <w:rPr>
          <w:rFonts w:ascii="Arial" w:cs="Arial" w:eastAsia="Arial" w:hAnsi="Arial"/>
          <w:sz w:val="18"/>
          <w:szCs w:val="18"/>
          <w:color w:val="auto"/>
        </w:rPr>
        <w:t>the Company with respect to the option compound. If Merck exercises its option, the Company in turn has the right, at the start of the first</w:t>
      </w:r>
    </w:p>
    <w:p>
      <w:pPr>
        <w:ind w:left="200"/>
        <w:spacing w:after="0" w:line="234" w:lineRule="auto"/>
        <w:rPr>
          <w:sz w:val="20"/>
          <w:szCs w:val="20"/>
          <w:color w:val="auto"/>
        </w:rPr>
      </w:pPr>
      <w:r>
        <w:rPr>
          <w:rFonts w:ascii="Arial" w:cs="Arial" w:eastAsia="Arial" w:hAnsi="Arial"/>
          <w:sz w:val="18"/>
          <w:szCs w:val="18"/>
          <w:color w:val="auto"/>
        </w:rPr>
        <w:t>Phase 3 clinical study for that compound, to elect to participate in a worldwide cost and profit share with Merck, as well as the option to</w:t>
      </w:r>
    </w:p>
    <w:p>
      <w:pPr>
        <w:ind w:left="200"/>
        <w:spacing w:after="0" w:line="235" w:lineRule="auto"/>
        <w:rPr>
          <w:sz w:val="20"/>
          <w:szCs w:val="20"/>
          <w:color w:val="auto"/>
        </w:rPr>
      </w:pPr>
      <w:r>
        <w:rPr>
          <w:rFonts w:ascii="Arial" w:cs="Arial" w:eastAsia="Arial" w:hAnsi="Arial"/>
          <w:sz w:val="18"/>
          <w:szCs w:val="18"/>
          <w:color w:val="auto"/>
        </w:rPr>
        <w:t>co-detail the compound in the United States, or the Company can elect instead to receive milestones and royalties from Merck based on</w:t>
      </w:r>
    </w:p>
    <w:p>
      <w:pPr>
        <w:ind w:left="200"/>
        <w:spacing w:after="0" w:line="235" w:lineRule="auto"/>
        <w:rPr>
          <w:sz w:val="20"/>
          <w:szCs w:val="20"/>
          <w:color w:val="auto"/>
        </w:rPr>
      </w:pPr>
      <w:r>
        <w:rPr>
          <w:rFonts w:ascii="Arial" w:cs="Arial" w:eastAsia="Arial" w:hAnsi="Arial"/>
          <w:sz w:val="18"/>
          <w:szCs w:val="18"/>
          <w:color w:val="auto"/>
        </w:rPr>
        <w:t>its further development and commercialization of the compound. If the Company elects to participate in the cost and profit share, subject</w:t>
      </w:r>
    </w:p>
    <w:p>
      <w:pPr>
        <w:ind w:left="200"/>
        <w:spacing w:after="0" w:line="235" w:lineRule="auto"/>
        <w:rPr>
          <w:sz w:val="20"/>
          <w:szCs w:val="20"/>
          <w:color w:val="auto"/>
        </w:rPr>
      </w:pPr>
      <w:r>
        <w:rPr>
          <w:rFonts w:ascii="Arial" w:cs="Arial" w:eastAsia="Arial" w:hAnsi="Arial"/>
          <w:sz w:val="18"/>
          <w:szCs w:val="18"/>
          <w:color w:val="auto"/>
        </w:rPr>
        <w:t>to certain limitations, Merck will advance to the Company a portion of its share of the overall development costs, which Merck will recoup</w:t>
      </w:r>
    </w:p>
    <w:p>
      <w:pPr>
        <w:ind w:left="200"/>
        <w:spacing w:after="0" w:line="235" w:lineRule="auto"/>
        <w:rPr>
          <w:sz w:val="20"/>
          <w:szCs w:val="20"/>
          <w:color w:val="auto"/>
        </w:rPr>
      </w:pPr>
      <w:r>
        <w:rPr>
          <w:rFonts w:ascii="Arial" w:cs="Arial" w:eastAsia="Arial" w:hAnsi="Arial"/>
          <w:sz w:val="18"/>
          <w:szCs w:val="18"/>
          <w:color w:val="auto"/>
        </w:rPr>
        <w:t>from the Company’s share of any profit ultimately resulting from sales of the compound or, if unsuccessful, other compounds that reach</w:t>
      </w:r>
    </w:p>
    <w:p>
      <w:pPr>
        <w:ind w:left="200"/>
        <w:spacing w:after="0" w:line="235" w:lineRule="auto"/>
        <w:rPr>
          <w:sz w:val="20"/>
          <w:szCs w:val="20"/>
          <w:color w:val="auto"/>
        </w:rPr>
      </w:pPr>
      <w:r>
        <w:rPr>
          <w:rFonts w:ascii="Arial" w:cs="Arial" w:eastAsia="Arial" w:hAnsi="Arial"/>
          <w:sz w:val="18"/>
          <w:szCs w:val="18"/>
          <w:color w:val="auto"/>
        </w:rPr>
        <w:t>commercialization. If the Company does not opt in to the cost and profit sharing option, then the Company is eligible to receive milestone</w:t>
      </w:r>
    </w:p>
    <w:p>
      <w:pPr>
        <w:ind w:left="200"/>
        <w:spacing w:after="0" w:line="235" w:lineRule="auto"/>
        <w:rPr>
          <w:sz w:val="20"/>
          <w:szCs w:val="20"/>
          <w:color w:val="auto"/>
        </w:rPr>
      </w:pPr>
      <w:r>
        <w:rPr>
          <w:rFonts w:ascii="Arial" w:cs="Arial" w:eastAsia="Arial" w:hAnsi="Arial"/>
          <w:sz w:val="18"/>
          <w:szCs w:val="18"/>
          <w:color w:val="auto"/>
        </w:rPr>
        <w:t>payments upon the achievement of specific clinical development or regulatory events with respect to the licensed compound indications in</w:t>
      </w:r>
    </w:p>
    <w:p>
      <w:pPr>
        <w:ind w:left="200"/>
        <w:spacing w:after="0"/>
        <w:rPr>
          <w:sz w:val="20"/>
          <w:szCs w:val="20"/>
          <w:color w:val="auto"/>
        </w:rPr>
      </w:pPr>
      <w:r>
        <w:rPr>
          <w:rFonts w:ascii="Arial" w:cs="Arial" w:eastAsia="Arial" w:hAnsi="Arial"/>
          <w:sz w:val="18"/>
          <w:szCs w:val="18"/>
          <w:color w:val="auto"/>
        </w:rPr>
        <w:t>the United States, the European Union and Japan of up to an aggregate of $449.0 million.</w:t>
      </w:r>
    </w:p>
    <w:p>
      <w:pPr>
        <w:spacing w:after="0" w:line="190"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sufficiently advanced as of that time, Merck will fund up to an additional $25 million each year for use in funding IND-enabling or later-staged activities or will provide the Company with the equivalent value in in-kind services for preclinical and clinical development activities.</w:t>
      </w:r>
    </w:p>
    <w:p>
      <w:pPr>
        <w:spacing w:after="0" w:line="209"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Merck has the option to extend the initial five-year research phase for two additional two-year consecutive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 during the tail period.</w:t>
      </w:r>
    </w:p>
    <w:p>
      <w:pPr>
        <w:spacing w:after="0" w:line="181"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b w:val="1"/>
          <w:bCs w:val="1"/>
          <w:i w:val="1"/>
          <w:iCs w:val="1"/>
          <w:color w:val="auto"/>
        </w:rPr>
        <w:t xml:space="preserve">Merck Option to License the Company’s Programs. </w:t>
      </w:r>
      <w:r>
        <w:rPr>
          <w:rFonts w:ascii="Arial" w:cs="Arial" w:eastAsia="Arial" w:hAnsi="Arial"/>
          <w:sz w:val="18"/>
          <w:szCs w:val="18"/>
          <w:color w:val="auto"/>
        </w:rPr>
        <w:t>Upon completion of a human proof-of-concept study for a particular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60 days,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84"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exercisable for a period of 60 days to share up to 50% of the costs and profits with Merck on that compound (NGM Optioned Products). As part of the Company’s election to exercise the option to cost and profit share, the Company will also select the percentage share, up to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plus the prospective costs allocated to the Company across all NGM Optioned Products, plus the costs the Company is electing to incur if it exercises its option for the compound, reaches ascending thresholds, depending on the term of the research phase of the agreement, in the low single digit billions of dollars, the Company will not be able to exercise its option on any further licensed compounds that Merck takes forward.</w:t>
      </w:r>
    </w:p>
    <w:p>
      <w:pPr>
        <w:spacing w:after="0" w:line="20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 specified portion of the expected global costs for that NGM Optioned Product. These advances are subject to an aggregate cap across all NGM Optioned Products over the term of the collaboration.</w:t>
      </w:r>
    </w:p>
    <w:p>
      <w:pPr>
        <w:spacing w:after="0" w:line="181"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prescribers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4" w:lineRule="exact"/>
        <w:rPr>
          <w:sz w:val="20"/>
          <w:szCs w:val="20"/>
          <w:color w:val="auto"/>
        </w:rPr>
      </w:pPr>
    </w:p>
    <w:p>
      <w:pPr>
        <w:ind w:left="200" w:right="40" w:firstLine="551"/>
        <w:spacing w:after="0" w:line="244"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199"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Side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w:t>
      </w:r>
    </w:p>
    <w:p>
      <w:pPr>
        <w:spacing w:after="0" w:line="18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1" w:lineRule="exact"/>
        <w:rPr>
          <w:sz w:val="20"/>
          <w:szCs w:val="20"/>
          <w:color w:val="auto"/>
        </w:rPr>
      </w:pPr>
    </w:p>
    <w:p>
      <w:pPr>
        <w:jc w:val="both"/>
        <w:ind w:left="200" w:right="220" w:firstLine="4"/>
        <w:spacing w:after="0"/>
        <w:tabs>
          <w:tab w:leader="none" w:pos="4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3"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w:t>
      </w:r>
    </w:p>
    <w:p>
      <w:pPr>
        <w:ind w:left="200"/>
        <w:spacing w:after="0" w:line="234" w:lineRule="auto"/>
        <w:rPr>
          <w:sz w:val="20"/>
          <w:szCs w:val="20"/>
          <w:color w:val="auto"/>
        </w:rPr>
      </w:pPr>
      <w:r>
        <w:rPr>
          <w:rFonts w:ascii="Arial" w:cs="Arial" w:eastAsia="Arial" w:hAnsi="Arial"/>
          <w:sz w:val="18"/>
          <w:szCs w:val="18"/>
          <w:color w:val="auto"/>
        </w:rPr>
        <w:t>GDF15 program, each Optioned Program is eligible to receive a one-time payment of $20.0 million upon Merck’s exercise of its one-time</w:t>
      </w:r>
    </w:p>
    <w:p>
      <w:pPr>
        <w:ind w:left="200"/>
        <w:spacing w:after="0" w:line="235" w:lineRule="auto"/>
        <w:rPr>
          <w:sz w:val="20"/>
          <w:szCs w:val="20"/>
          <w:color w:val="auto"/>
        </w:rPr>
      </w:pPr>
      <w:r>
        <w:rPr>
          <w:rFonts w:ascii="Arial" w:cs="Arial" w:eastAsia="Arial" w:hAnsi="Arial"/>
          <w:sz w:val="18"/>
          <w:szCs w:val="18"/>
          <w:color w:val="auto"/>
        </w:rPr>
        <w:t>option to obtain an exclusive, worldwide license for a licensed compound following the completion of a human proof-of-concept study. In</w:t>
      </w:r>
    </w:p>
    <w:p>
      <w:pPr>
        <w:ind w:left="200"/>
        <w:spacing w:after="0" w:line="235" w:lineRule="auto"/>
        <w:rPr>
          <w:sz w:val="20"/>
          <w:szCs w:val="20"/>
          <w:color w:val="auto"/>
        </w:rPr>
      </w:pPr>
      <w:r>
        <w:rPr>
          <w:rFonts w:ascii="Arial" w:cs="Arial" w:eastAsia="Arial" w:hAnsi="Arial"/>
          <w:sz w:val="18"/>
          <w:szCs w:val="18"/>
          <w:color w:val="auto"/>
        </w:rPr>
        <w:t>addition, if the Company does not opt in to the cost and profit sharing option, then the Company is eligible to receive an aggregate of</w:t>
      </w:r>
    </w:p>
    <w:p>
      <w:pPr>
        <w:ind w:left="200"/>
        <w:spacing w:after="0" w:line="235" w:lineRule="auto"/>
        <w:rPr>
          <w:sz w:val="20"/>
          <w:szCs w:val="20"/>
          <w:color w:val="auto"/>
        </w:rPr>
      </w:pPr>
      <w:r>
        <w:rPr>
          <w:rFonts w:ascii="Arial" w:cs="Arial" w:eastAsia="Arial" w:hAnsi="Arial"/>
          <w:sz w:val="18"/>
          <w:szCs w:val="18"/>
          <w:color w:val="auto"/>
        </w:rPr>
        <w:t>$449.0 million in milestone payments, of which $77.7 million relates to the potential achievement of specific clinical development events</w:t>
      </w:r>
    </w:p>
    <w:p>
      <w:pPr>
        <w:ind w:left="200"/>
        <w:spacing w:after="0" w:line="235" w:lineRule="auto"/>
        <w:rPr>
          <w:sz w:val="20"/>
          <w:szCs w:val="20"/>
          <w:color w:val="auto"/>
        </w:rPr>
      </w:pPr>
      <w:r>
        <w:rPr>
          <w:rFonts w:ascii="Arial" w:cs="Arial" w:eastAsia="Arial" w:hAnsi="Arial"/>
          <w:sz w:val="18"/>
          <w:szCs w:val="18"/>
          <w:color w:val="auto"/>
        </w:rPr>
        <w:t>and $371.3 million relates to the potential achievement of certain regulatory events with respect to the licensed compounds for the first</w:t>
      </w:r>
    </w:p>
    <w:p>
      <w:pPr>
        <w:ind w:left="200"/>
        <w:spacing w:after="0"/>
        <w:rPr>
          <w:sz w:val="20"/>
          <w:szCs w:val="20"/>
          <w:color w:val="auto"/>
        </w:rPr>
      </w:pPr>
      <w:r>
        <w:rPr>
          <w:rFonts w:ascii="Arial" w:cs="Arial" w:eastAsia="Arial" w:hAnsi="Arial"/>
          <w:sz w:val="18"/>
          <w:szCs w:val="18"/>
          <w:color w:val="auto"/>
        </w:rPr>
        <w:t>three indications in the United States, the European Union and Japan.</w:t>
      </w:r>
    </w:p>
    <w:p>
      <w:pPr>
        <w:spacing w:after="0" w:line="212"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Merck Collaboration Agreement,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Non-substantive milestones will be recognized when achieved to the extent the Company has no remaining performance obligations under the arrangement. Milestone payments earned upon achievement of commercial milestone events will be recognized when earned.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Related Party Transactions</w:t>
      </w:r>
    </w:p>
    <w:p>
      <w:pPr>
        <w:spacing w:after="0" w:line="126"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Revenues from related parties refer to the collaboration agreement with Merck. The Company recognized related party collaboration revenue of $81.4 million and $77.1 million for the years ended December 31, 2016 and 2017, respectively. As of December 31, 2016, the Company recorded deferred revenue from related party collaboration agreements of $60.6 million, comprised of $60.3 million of amortized upfront payments and $0.3 million relating to advance payments for research and development activities. As of December 31, 2017, the Company recorded deferred revenue from related party collaboration agreements of $44.1 million, comprised of $41.5 million of amortized upfront payments and $2.6 million relating to advance payments for research and development activities.</w:t>
      </w:r>
    </w:p>
    <w:p>
      <w:pPr>
        <w:spacing w:after="0" w:line="291" w:lineRule="exact"/>
        <w:rPr>
          <w:sz w:val="20"/>
          <w:szCs w:val="20"/>
          <w:color w:val="auto"/>
        </w:rPr>
      </w:pPr>
    </w:p>
    <w:p>
      <w:pPr>
        <w:jc w:val="center"/>
        <w:ind w:left="200" w:right="7740" w:firstLine="4"/>
        <w:spacing w:after="0" w:line="394" w:lineRule="auto"/>
        <w:tabs>
          <w:tab w:leader="none" w:pos="40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00" w:right="700" w:firstLine="551"/>
        <w:spacing w:after="0" w:line="234"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2"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3"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In June 2015, the Company entered into an operating lease for additional office space for its corporate office at 600 Gateway Blvd, in South San Francisco, California (600 Gateway) for approximately 7,900 square feet that expired in November 2016.</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2"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 reduce the letter of credit amount by $0.4 million on each the 3rd anniversary and 4th anniversary of rent commencement date, respectively.</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assessed the need for a potential guarantee liability on the assigned lease, and concluded that the value of the guarantee was insignificant as of December 31, 2017 because of the short duration of the remaining lease term through November 2020, and Merck’s credit rating of AA/A1 and subsequent investment in tenant improvements to the facility. As of December 31, 2016 and 2017, the remaining lease payments due for 630 Gateway were approximately $7.5 million and $5.7 million, respectively.</w:t>
      </w:r>
    </w:p>
    <w:p>
      <w:pPr>
        <w:spacing w:after="0" w:line="20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$3.7 million and $2.2 million for the years ended December 31, 2016 and 2017, respectively.</w:t>
      </w:r>
    </w:p>
    <w:p>
      <w:pPr>
        <w:spacing w:after="0" w:line="202"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2017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 and thereafter</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10,749</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29,857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89" w:lineRule="exact"/>
        <w:rPr>
          <w:sz w:val="20"/>
          <w:szCs w:val="20"/>
          <w:color w:val="auto"/>
        </w:rPr>
      </w:pPr>
    </w:p>
    <w:p>
      <w:pPr>
        <w:ind w:left="200" w:right="8460" w:firstLine="4"/>
        <w:spacing w:after="0" w:line="394" w:lineRule="auto"/>
        <w:tabs>
          <w:tab w:leader="none" w:pos="40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The Company has elected to follow the SEC staff’s guidance (included in ASC 480-10-S99, SEC Materials) when evaluating the classification for its shares within the consolidated balance sheets. A</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liquidation, winding up, change in control, or sale of substantially all assets of the Company could constitute a redemption event. Although the majority of the Company’s preferred stock is not mandatorily or currently redeemable, a liquidation or winding up of the Company could constitute an event outside its control. Therefore, all shares of convertible preferred stock have been presented outside the permanent equity for all periods presented due to being contingently redeemable.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Convertible preferred stock at December 31, 2016 and 2017, consisted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vMerge w:val="restart"/>
          </w:tcPr>
          <w:p>
            <w:pPr>
              <w:jc w:val="right"/>
              <w:ind w:right="71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Issuance</w:t>
            </w: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Price per</w:t>
            </w:r>
          </w:p>
        </w:tc>
        <w:tc>
          <w:tcPr>
            <w:tcW w:w="12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Liquidation</w:t>
            </w:r>
          </w:p>
        </w:tc>
        <w:tc>
          <w:tcPr>
            <w:tcW w:w="460" w:type="dxa"/>
            <w:vAlign w:val="bottom"/>
          </w:tcPr>
          <w:p>
            <w:pPr>
              <w:spacing w:after="0"/>
              <w:rPr>
                <w:sz w:val="7"/>
                <w:szCs w:val="7"/>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w w:val="97"/>
              </w:rPr>
              <w:t>Share</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2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22,156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22,156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55,389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49,970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11,506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57,530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57,461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2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4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96,268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94,535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26"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The significant rights and obligations of the Company’s convertible preferred stock as of December 31, 2017 are as follows:</w:t>
      </w:r>
    </w:p>
    <w:p>
      <w:pPr>
        <w:spacing w:after="0" w:line="181" w:lineRule="exact"/>
        <w:rPr>
          <w:sz w:val="20"/>
          <w:szCs w:val="20"/>
          <w:color w:val="auto"/>
        </w:rPr>
      </w:pPr>
    </w:p>
    <w:p>
      <w:pPr>
        <w:jc w:val="both"/>
        <w:ind w:left="200" w:right="440" w:firstLine="551"/>
        <w:spacing w:after="0" w:line="24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holder of convertible preferred stock is entitled to the number of votes equal to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into which such shares of convertible preferred stock are convertible. In the event the preferred stockholders control a majority of the Board of Directors through direct representation on the Board of Directors or through other rights, the stockholders can approve redemption of the preferred stock.</w:t>
      </w:r>
    </w:p>
    <w:p>
      <w:pPr>
        <w:spacing w:after="0" w:line="174" w:lineRule="exact"/>
        <w:rPr>
          <w:sz w:val="20"/>
          <w:szCs w:val="20"/>
          <w:color w:val="auto"/>
        </w:rPr>
      </w:pPr>
    </w:p>
    <w:p>
      <w:pPr>
        <w:ind w:left="200" w:right="40" w:firstLine="551"/>
        <w:spacing w:after="0" w:line="25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Each holder of convertible preferred stock is entitled to receive non-cumulative dividends at the rate of 8% per annum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share of convertible preferred stock outstanding, when, as, and if declared by the Board of Directors. These dividends are payable in preference to common stock dividends. To date, the Company has not declared or paid any dividends.</w:t>
      </w:r>
    </w:p>
    <w:p>
      <w:pPr>
        <w:spacing w:after="0" w:line="169"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In the event of any liquidation, dissolution or winding-up of the Company, each holder of convertible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will only be eligible to receive an amount equal to $5.00 per share plus all declared and unpaid dividends on the convertible preferred stock. In the event that the available funds and assets are insufficient for full payment to the holders of convertible preferred stock on a per-share basis as outlined above, the entire assets and funds of the Company legally available for distribution shall be distributed ratably among the holders of convertible preferred stock in proportion to the full amount to which they would otherwise be respectively entitled. Upon completion of the distribution of assets as set forth above, all of the remaining assets, if any, shall be distributed ratably among the holders of common stock.</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right="140" w:firstLine="551"/>
        <w:spacing w:after="0" w:line="253"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share of convertible preferred stock is convertible at the option of the holder into the number of fully paid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non-assessable shares of common stock that result from dividing the original issue price by the conversion price of the convertible preferred stock. The conversion ratio for each series of convertible preferred stock is 1:1.</w:t>
      </w:r>
    </w:p>
    <w:p>
      <w:pPr>
        <w:spacing w:after="0" w:line="191"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Conversion of each series of convertible preferred stock into common stock is automatic upon the earlier of: (a) the closing of an initial public offering of the Company’s common stock, registered under the Securities Act of 1933, which results in aggregate proceeds equal to or exceeding $30.0 million to the Company; or (b) at any time upon the affirmative election of the 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Convertible Preferred Stock Warrant</w:t>
      </w:r>
    </w:p>
    <w:p>
      <w:pPr>
        <w:spacing w:after="0" w:line="126"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During 2009, the Company entered into a $ 1.7 million loan and security agreement with one lender. On June 29, 2010, the Company paid off the loan. In conjunction with the debt facility, the Company issued to the lender a warrant to acquire a total of 39,274 shares of Series A convertible preferred stock exercisable at $1.00 per share and that expires on February 2, 2019. The warrant was valued at approximately $0.72 per share, as calculated using the Black-Scholes option-pricing model using a Series A preferred stock estimated fair value of $1.00 per share, a volatility of 60%, a risk-free interest rate of 3.59%, an expected life of ten years and no dividends. The estimated warrant fair value was initially calculated as approximately $28,000 and was recorded as a discount to the debt. At each subsequent reporting date, the estimated fair value of the warrant is remeasured (Note 3) to adjust the liability for changes in fair value until the earlier of the exercise or expiration of the warrants, or the completion of a deemed liquidation event. At that time, the convertible preferred stock warrant liability will be reclassified to convertible preferred stock or additional paid-in-capital, as applicable.</w:t>
      </w:r>
    </w:p>
    <w:p>
      <w:pPr>
        <w:spacing w:after="0" w:line="294" w:lineRule="exact"/>
        <w:rPr>
          <w:sz w:val="20"/>
          <w:szCs w:val="20"/>
          <w:color w:val="auto"/>
        </w:rPr>
      </w:pPr>
    </w:p>
    <w:p>
      <w:pPr>
        <w:ind w:left="200" w:right="8940" w:firstLine="4"/>
        <w:spacing w:after="0" w:line="372" w:lineRule="auto"/>
        <w:tabs>
          <w:tab w:leader="none" w:pos="5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As of December 31, 2016 and 2017, the Company had 12,185,937 and 12,437,613 shares of common stock outstanding, respectively, which includes shares subject to repurchase of 582,734 and 227,655, respectively, as a result of early exercise of stock options not yet vested. As of December 31, 2016 and 2017, the Company reserved shares of common stock, on an as-if-converted basis, for issuance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780" w:type="dxa"/>
            <w:vAlign w:val="bottom"/>
            <w:gridSpan w:val="4"/>
          </w:tcPr>
          <w:p>
            <w:pPr>
              <w:ind w:left="8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2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440" w:type="dxa"/>
            <w:vAlign w:val="bottom"/>
            <w:tcBorders>
              <w:top w:val="single" w:sz="8" w:color="auto"/>
            </w:tcBorders>
            <w:gridSpan w:val="2"/>
          </w:tcPr>
          <w:p>
            <w:pPr>
              <w:jc w:val="right"/>
              <w:ind w:right="39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Conversion of convertible preferred stock</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94,534,932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Common stock options outstanding</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13,746,122</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16,709,748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available for grant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4,419,190</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1,225,208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Warrant to purchase convertible preferred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39,274</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39,274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401(k) Matching Plan</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117,270</w:t>
            </w:r>
          </w:p>
        </w:tc>
        <w:tc>
          <w:tcPr>
            <w:tcW w:w="1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95,950</w:t>
            </w:r>
          </w:p>
        </w:tc>
        <w:tc>
          <w:tcPr>
            <w:tcW w:w="80" w:type="dxa"/>
            <w:vAlign w:val="bottom"/>
            <w:shd w:val="clear" w:color="auto" w:fill="CCEEFF"/>
          </w:tcPr>
          <w:p>
            <w:pPr>
              <w:spacing w:after="0"/>
              <w:rPr>
                <w:sz w:val="17"/>
                <w:szCs w:val="17"/>
                <w:color w:val="auto"/>
              </w:rPr>
            </w:pPr>
          </w:p>
        </w:tc>
      </w:tr>
      <w:tr>
        <w:trPr>
          <w:trHeight w:val="210"/>
        </w:trPr>
        <w:tc>
          <w:tcPr>
            <w:tcW w:w="8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112,856,788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112,605,112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26"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In 2008, the Company adopted the 2008 Equity Incentive Plan (the 2008 Plan) for eligible employees, officers, directors, advisors and consultants, which provides for the grant of incentive and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non-statutory stock options, restricted stock awards and stock appreciation rights. The terms of the stock option agreements, including vesting requirements, are determined by the Board of Directors, subject to the provisions of the 2008 Plan. Options granted by the Company generally vest within four years and are exercisable from the grant date until ten years after the date of grant. Vesting of certain employee options may be accelerated in the event of a change in control of the Company. As of December 31, 2017, 27,000,000 shares of common stock have been authorized for issuance under the 2008 Plan.</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Outstanding Options</w:t>
            </w:r>
          </w:p>
        </w:tc>
        <w:tc>
          <w:tcPr>
            <w:tcW w:w="50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ind w:left="260"/>
              <w:spacing w:after="0"/>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Available</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Contractual Life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 Grant</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51"/>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2015</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4,356,090</w:t>
            </w: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11,216,673</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Additional shares reserved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3,000,000</w:t>
            </w:r>
          </w:p>
        </w:tc>
        <w:tc>
          <w:tcPr>
            <w:tcW w:w="58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(3,504,500)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3,504,500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(407,451)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567,600</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(567,600)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Balances at December 31, 2016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4,419,190</w:t>
            </w:r>
          </w:p>
        </w:tc>
        <w:tc>
          <w:tcPr>
            <w:tcW w:w="5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13,746,122</w:t>
            </w:r>
          </w:p>
        </w:tc>
        <w:tc>
          <w:tcPr>
            <w:tcW w:w="3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(3,777,250)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3,777,250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(234,796)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578,828</w:t>
            </w: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(578,828)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Options repurchased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4,440</w:t>
            </w:r>
          </w:p>
        </w:tc>
        <w:tc>
          <w:tcPr>
            <w:tcW w:w="580" w:type="dxa"/>
            <w:vAlign w:val="bottom"/>
          </w:tcPr>
          <w:p>
            <w:pPr>
              <w:spacing w:after="0"/>
              <w:rPr>
                <w:sz w:val="18"/>
                <w:szCs w:val="18"/>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1,225,208</w:t>
            </w:r>
          </w:p>
        </w:tc>
        <w:tc>
          <w:tcPr>
            <w:tcW w:w="5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16,709,748</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2017</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16,062,280</w:t>
            </w:r>
          </w:p>
        </w:tc>
        <w:tc>
          <w:tcPr>
            <w:tcW w:w="300" w:type="dxa"/>
            <w:vAlign w:val="bottom"/>
          </w:tcPr>
          <w:p>
            <w:pPr>
              <w:spacing w:after="0"/>
              <w:rPr>
                <w:sz w:val="17"/>
                <w:szCs w:val="17"/>
                <w:color w:val="auto"/>
              </w:rPr>
            </w:pPr>
          </w:p>
        </w:tc>
        <w:tc>
          <w:tcPr>
            <w:tcW w:w="380" w:type="dxa"/>
            <w:vAlign w:val="bottom"/>
            <w:gridSpan w:val="2"/>
          </w:tcPr>
          <w:p>
            <w:pPr>
              <w:ind w:left="26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2.36</w:t>
            </w:r>
          </w:p>
        </w:tc>
        <w:tc>
          <w:tcPr>
            <w:tcW w:w="16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6.73</w:t>
            </w:r>
          </w:p>
        </w:tc>
        <w:tc>
          <w:tcPr>
            <w:tcW w:w="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27,537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and exercisable as of</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December 31, 2017</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16,709,748</w:t>
            </w:r>
          </w:p>
        </w:tc>
        <w:tc>
          <w:tcPr>
            <w:tcW w:w="3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2.41</w:t>
            </w:r>
          </w:p>
        </w:tc>
        <w:tc>
          <w:tcPr>
            <w:tcW w:w="1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27,814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2016 and 2017 was $3.82 and $3.85 per share, respectively. The intrinsic value of stock options exercised was $ 1.3 million and $0.5 million for the years ended December 31, 2016 and 2017, respectively. Because of the Company’s net operating losses, the Company did not realize any tax benefits from stock-based payment arrangements for the years ended December 31, 2016 and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Early Exercise of Stock Options</w:t>
      </w:r>
    </w:p>
    <w:p>
      <w:pPr>
        <w:spacing w:after="0" w:line="12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2008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5"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At December 31, 2016 and 2017, there were 582,734 and 227,655 shares of common stock outstanding, respectively, subject to the Company’s right of repurchase at prices ranging from $1.08 to $3.82 per share. At December 31, 2016 and 2017, the Company recorded $0.9 million and $0.4 million, respectively, as early exercise stock option liabilities associated with shares issued with repurchase rights.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Employee and director stock-based compensation expense for the years ended December 31, 2016 and 2017, was calculated based on awards ultimately expected to vest and has been reduced for estimated forfeitures. The following table summarizes stock-based compensation expense related to stock-based payment awards to employees and directors for the years ended December 31, 2016 and 2017, which was allocated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8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$3,610</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$4,473</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2,267</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5,877</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7,467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Valuation Assumptions</w:t>
      </w:r>
    </w:p>
    <w:p>
      <w:pPr>
        <w:spacing w:after="0" w:line="12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valuation assumptions: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8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8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2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1.73%</w:t>
            </w:r>
          </w:p>
        </w:tc>
      </w:tr>
      <w:tr>
        <w:trPr>
          <w:trHeight w:val="203"/>
        </w:trPr>
        <w:tc>
          <w:tcPr>
            <w:tcW w:w="20" w:type="dxa"/>
            <w:vAlign w:val="bottom"/>
          </w:tcPr>
          <w:p>
            <w:pPr>
              <w:spacing w:after="0"/>
              <w:rPr>
                <w:sz w:val="17"/>
                <w:szCs w:val="17"/>
                <w:color w:val="auto"/>
              </w:rPr>
            </w:pPr>
          </w:p>
        </w:tc>
        <w:tc>
          <w:tcPr>
            <w:tcW w:w="9220" w:type="dxa"/>
            <w:vAlign w:val="bottom"/>
          </w:tcPr>
          <w:p>
            <w:pPr>
              <w:spacing w:after="0" w:line="202" w:lineRule="exact"/>
              <w:rPr>
                <w:sz w:val="20"/>
                <w:szCs w:val="20"/>
                <w:color w:val="auto"/>
              </w:rPr>
            </w:pPr>
            <w:r>
              <w:rPr>
                <w:rFonts w:ascii="Arial" w:cs="Arial" w:eastAsia="Arial" w:hAnsi="Arial"/>
                <w:sz w:val="18"/>
                <w:szCs w:val="18"/>
                <w:color w:val="auto"/>
              </w:rPr>
              <w:t>Expected term of options (in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5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76.18%</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75.48%</w:t>
            </w:r>
          </w:p>
        </w:tc>
      </w:tr>
      <w:tr>
        <w:trPr>
          <w:trHeight w:val="217"/>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Expected Dividends</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weighted-average valuation assumptions were determined as follows:</w:t>
      </w:r>
    </w:p>
    <w:p>
      <w:pPr>
        <w:spacing w:after="0" w:line="82"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stock of similar entities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industry over periods commensurate with the Company’s expected term assumption.</w:t>
      </w:r>
    </w:p>
    <w:p>
      <w:pPr>
        <w:spacing w:after="0" w:line="46"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1"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Company bases the risk-free interest rate on the interest rate payable on U.S. Treasury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at the time of grant for a period that is commensurate with the assumed expected option term.</w:t>
      </w:r>
    </w:p>
    <w:p>
      <w:pPr>
        <w:spacing w:after="0" w:line="46"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$0 because the Company has not historically paid, and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for the foreseeable future to pay, a dividend.</w:t>
      </w:r>
    </w:p>
    <w:p>
      <w:pPr>
        <w:spacing w:after="0" w:line="176" w:lineRule="exact"/>
        <w:rPr>
          <w:sz w:val="20"/>
          <w:szCs w:val="20"/>
          <w:color w:val="auto"/>
        </w:rPr>
      </w:pPr>
    </w:p>
    <w:p>
      <w:pPr>
        <w:ind w:left="200" w:right="340" w:firstLine="551"/>
        <w:spacing w:after="0"/>
        <w:rPr>
          <w:sz w:val="20"/>
          <w:szCs w:val="20"/>
          <w:color w:val="auto"/>
        </w:rPr>
      </w:pPr>
      <w:r>
        <w:rPr>
          <w:rFonts w:ascii="Arial" w:cs="Arial" w:eastAsia="Arial" w:hAnsi="Arial"/>
          <w:sz w:val="18"/>
          <w:szCs w:val="18"/>
          <w:color w:val="auto"/>
        </w:rPr>
        <w:t>As of December 31, 2017, there was approximately $12.5 million in total unrecognized compensation expense, net of estimated forfeitures, related to unvested options granted to employees and directors under the 2008 Plan. The expense is expected to be recognized over a weighted-average period of 2.4 years.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During the years ended December 31, 2016, the Company granted options to purchase 95,000 shares of common stock to non-employees. During the year ended December 31, 2017, the Company did not grant any options to purchase shares of common stock to non-employees. The weighted-average exercise price of the options granted to these consultants in 2016 was $3.82 per share. The following table summarizes stock-based compensation expense related to stock-based payment awards to non-employees for the years ended December 31, 2016 and 2017, which was allocated as follows (in thousands):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60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$141</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420" w:type="dxa"/>
            <w:vAlign w:val="bottom"/>
            <w:gridSpan w:val="2"/>
          </w:tcPr>
          <w:p>
            <w:pPr>
              <w:jc w:val="right"/>
              <w:ind w:right="4401"/>
              <w:spacing w:after="0"/>
              <w:rPr>
                <w:sz w:val="20"/>
                <w:szCs w:val="20"/>
                <w:color w:val="auto"/>
              </w:rPr>
            </w:pPr>
            <w:r>
              <w:rPr>
                <w:rFonts w:ascii="Arial" w:cs="Arial" w:eastAsia="Arial" w:hAnsi="Arial"/>
                <w:sz w:val="18"/>
                <w:szCs w:val="18"/>
                <w:color w:val="auto"/>
              </w:rPr>
              <w:t>F-32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the Black-Scholes option-pricing model with the following weighted-average valuation assumptions: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2.48%</w:t>
            </w:r>
          </w:p>
        </w:tc>
      </w:tr>
      <w:tr>
        <w:trPr>
          <w:trHeight w:val="203"/>
        </w:trPr>
        <w:tc>
          <w:tcPr>
            <w:tcW w:w="20" w:type="dxa"/>
            <w:vAlign w:val="bottom"/>
          </w:tcPr>
          <w:p>
            <w:pPr>
              <w:spacing w:after="0"/>
              <w:rPr>
                <w:sz w:val="17"/>
                <w:szCs w:val="17"/>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7.25</w:t>
            </w:r>
          </w:p>
        </w:tc>
        <w:tc>
          <w:tcPr>
            <w:tcW w:w="5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6.95</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75.44%</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64.93%</w:t>
            </w:r>
          </w:p>
        </w:tc>
      </w:tr>
      <w:tr>
        <w:trPr>
          <w:trHeight w:val="217"/>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Expected Dividends</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In general, the options vest over the contractual periods of the respective non-employee arrangement. The Company revalues the options each reporting period and, accordingly, adjusts the compensation expense related to these options over the remaining vesting periods. As of December 31, 2016 and 2017, non-employee stock options to purchase 100,419 and 63,752 shares, respectively, remain unvested.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Income Taxes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Cuts and Jobs Act of 2017</w:t>
      </w:r>
    </w:p>
    <w:p>
      <w:pPr>
        <w:spacing w:after="0" w:line="126"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3"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The Act reduces the corporate tax rate to 21 percent, effective January 1, 2018. Consequently, the Company has recorded a decrease in net deferred tax assets of $13.0 million, with a corresponding adjustment to valuation allowance of $13.0 million for the year ended December 31, 2017. The state deferred tax effect on federal deferred tax assets has been calculated using 79% rather than the previous 66% federal benefit. The increase in deferred tax assets has been offset against an increase to the valuation allowance.</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Act also repealed the corporate AMT for tax years beginning January 1, 2018, and provides that existing AMT credit carryovers are refundable beginning in 2018. The Company expects to realize a refund of $1.0 million related to its current AMT credit carryovers. The Company believes it is appropriate to classify the AMT credits that are expected to be refundable in future periods as an income tax receivable, and has included this receivable with other non-current assets on the balance sheet.</w:t>
      </w:r>
    </w:p>
    <w:p>
      <w:pPr>
        <w:spacing w:after="0" w:line="202"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The Act provides that the 50% bonus depreciation amount provided by Internal Revenue Code Section 168(k)(1)(A) increases to 100% for qualified property placed into service after September 27, 2017 and before January 1, 2023. The current tax provision calculation reflects the applicable bonus depreciation taken on qualified property placed into service in 2017.</w:t>
      </w:r>
    </w:p>
    <w:p>
      <w:pPr>
        <w:spacing w:after="0" w:line="203"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foreign subsidiaries. To determine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amount of the Transition Tax, the Company must determine, in addition to other factors, the amount of post-1986 E&amp;P of the relevant subsidiaries, as well as the amount of non-U.S. income taxes paid on such earnings. Since NGM Biopharmaceuticals Australia Pty Ltd, the Company’s only subsidiary, has a cumulative deficit in E&amp;P, there is no Transition Tax to be included in the December 31, 2017 tax provision.</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 xml:space="preserve">On December 22, 2017 the Securities and Exchange Commission (SEC) staff issued Staff Accounting Bulletin No. 118 (“SAB 118”), which provides guidance for the tax effect of the Act. SAB 118 provides a measurement period that should not extend beyond one year from the Act’s enactment date for companies to complete the accounting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In accordance with SAB 118, the Company must reflect the income tax effects of those aspects of the Act for which the accounting under ASC 740 is complete. To the extent the Company’s accounting for certain income tax effects of the Act is incomplete, but it is able to determine a reasonable estimate, the Company must record a provisional estimate to be included in its consolidated financial statements. If the Company cannot determine a provisional estimate to be included in its consolidated financial statements, it should continue to apply ASC 740 on the basis of the provisions of the tax laws that were in effective immediately before the enactment of the Act. The amounts of the tax effects related to the Act described in the paragraphs above represent the Company’s reasonable estimates and are provisional amounts within the meaning of SAB 118. Also, it is expected the U.S. Treasury will issue regulations and other guidance on the application of certain provisions of the Act. In subsequent periods, but within the measurement period, the Company will analyze that guidance and other necessary information to refine its estimates and complete its accounting for the tax effects of the Act as necessary.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left="200" w:right="540" w:firstLine="551"/>
        <w:spacing w:after="0" w:line="239" w:lineRule="auto"/>
        <w:rPr>
          <w:sz w:val="20"/>
          <w:szCs w:val="20"/>
          <w:color w:val="auto"/>
        </w:rPr>
      </w:pPr>
      <w:r>
        <w:rPr>
          <w:rFonts w:ascii="Arial" w:cs="Arial" w:eastAsia="Arial" w:hAnsi="Arial"/>
          <w:sz w:val="18"/>
          <w:szCs w:val="18"/>
          <w:color w:val="auto"/>
        </w:rPr>
        <w:t>The benefit from income taxes was $1.0 million for the year ended December 31, 2017, related to the receivable for refund of Company’s AMT carryovers. The provision for income taxes was $0.5 million for the year ended December 31, 2016, although the Company incurred operating losses on a consolidated basis. The provision for 2016 was comprised primarily of federal alternative minimum tax.</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6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$(2,600)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60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69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(15,219)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940" w:type="dxa"/>
            <w:vAlign w:val="bottom"/>
            <w:gridSpan w:val="3"/>
          </w:tcPr>
          <w:p>
            <w:pPr>
              <w:jc w:val="right"/>
              <w:ind w:right="4280"/>
              <w:spacing w:after="0"/>
              <w:rPr>
                <w:sz w:val="20"/>
                <w:szCs w:val="20"/>
                <w:color w:val="auto"/>
              </w:rPr>
            </w:pPr>
            <w:r>
              <w:rPr>
                <w:rFonts w:ascii="Arial" w:cs="Arial" w:eastAsia="Arial" w:hAnsi="Arial"/>
                <w:sz w:val="18"/>
                <w:szCs w:val="18"/>
                <w:color w:val="auto"/>
              </w:rPr>
              <w:t>F-34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tax at statutory rate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Foreign rate differential</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 net of federal benefit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Remeasurement of deferred taxes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540"/>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gridSpan w:val="2"/>
          </w:tcPr>
          <w:p>
            <w:pPr>
              <w:jc w:val="right"/>
              <w:ind w:right="3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22,964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credit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8,819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temporary differences</w:t>
            </w:r>
          </w:p>
        </w:tc>
        <w:tc>
          <w:tcPr>
            <w:tcW w:w="1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50,613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39,974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Non-qualified stock options with 83(b) election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 before valuation allowance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48,795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38,411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(48,795)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w w:val="98"/>
              </w:rPr>
              <w:t>(38,411)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1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203" w:lineRule="exact"/>
        <w:rPr>
          <w:sz w:val="20"/>
          <w:szCs w:val="20"/>
          <w:color w:val="auto"/>
        </w:rPr>
      </w:pPr>
    </w:p>
    <w:p>
      <w:pPr>
        <w:ind w:left="200" w:right="780" w:firstLine="551"/>
        <w:spacing w:after="0" w:line="23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$0.6 million and decreased by approximately $10.4 million during the years ended December 31, 2016 and 2017, respectively.</w:t>
      </w:r>
    </w:p>
    <w:p>
      <w:pPr>
        <w:spacing w:after="0" w:line="202"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As of December 31, 2016 and 2017, the Company had approximately $42.3 million and $60.2 million, respectively, in federal net operating loss carryforwards and had approximately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$69.0 million and $ 71.8 million, respectively, in state net operating loss carryforwards to reduce future taxable income. The federal and state net operating loss carryforwards will begin to expire in the years 2028 through 2037, if not utilized.</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2016 and 2017, the Company had approximately $3.2 million and $3.1 million, respectively, in federal, and</w:t>
      </w:r>
    </w:p>
    <w:p>
      <w:pPr>
        <w:ind w:left="200"/>
        <w:spacing w:after="0" w:line="234" w:lineRule="auto"/>
        <w:rPr>
          <w:sz w:val="20"/>
          <w:szCs w:val="20"/>
          <w:color w:val="auto"/>
        </w:rPr>
      </w:pPr>
      <w:r>
        <w:rPr>
          <w:rFonts w:ascii="Arial" w:cs="Arial" w:eastAsia="Arial" w:hAnsi="Arial"/>
          <w:sz w:val="18"/>
          <w:szCs w:val="18"/>
          <w:color w:val="auto"/>
        </w:rPr>
        <w:t>$4.0 million and $4.0 million, respectively, in state research and development tax credits. The federal research credits will begin to expire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years 2028 through 2037, if not utilized, and the state research and development credits have no expiration date.</w:t>
      </w:r>
    </w:p>
    <w:p>
      <w:pPr>
        <w:spacing w:after="0" w:line="212" w:lineRule="exact"/>
        <w:rPr>
          <w:sz w:val="20"/>
          <w:szCs w:val="20"/>
          <w:color w:val="auto"/>
        </w:rPr>
      </w:pPr>
    </w:p>
    <w:p>
      <w:pPr>
        <w:ind w:left="200" w:right="120" w:firstLine="551"/>
        <w:spacing w:after="0" w:line="246" w:lineRule="auto"/>
        <w:rPr>
          <w:sz w:val="20"/>
          <w:szCs w:val="20"/>
          <w:color w:val="auto"/>
        </w:rPr>
      </w:pPr>
      <w:r>
        <w:rPr>
          <w:rFonts w:ascii="Arial" w:cs="Arial" w:eastAsia="Arial" w:hAnsi="Arial"/>
          <w:sz w:val="18"/>
          <w:szCs w:val="18"/>
          <w:color w:val="auto"/>
        </w:rPr>
        <w:t>As of December 31, 2016 and 2017, the Company had foreign net operating loss carryforwards of approximately $10.3 million and $17.3 million, which have no expiration date.</w:t>
      </w:r>
    </w:p>
    <w:p>
      <w:pPr>
        <w:spacing w:after="0" w:line="197"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20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A reconciliation of the Company’s unrecognized tax benefits for the years ended December 31, 2016 and 2017 is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0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2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2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$ 4,090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line="202" w:lineRule="exact"/>
              <w:rPr>
                <w:sz w:val="20"/>
                <w:szCs w:val="20"/>
                <w:color w:val="auto"/>
              </w:rPr>
            </w:pPr>
            <w:r>
              <w:rPr>
                <w:rFonts w:ascii="Arial" w:cs="Arial" w:eastAsia="Arial" w:hAnsi="Arial"/>
                <w:sz w:val="18"/>
                <w:szCs w:val="18"/>
                <w:color w:val="auto"/>
              </w:rPr>
              <w:t>Additions (deletions) based on tax positions related to prior year</w:t>
            </w:r>
          </w:p>
        </w:tc>
        <w:tc>
          <w:tcPr>
            <w:tcW w:w="212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(2,562)</w:t>
            </w:r>
          </w:p>
        </w:tc>
        <w:tc>
          <w:tcPr>
            <w:tcW w:w="1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year</w:t>
            </w:r>
          </w:p>
        </w:tc>
        <w:tc>
          <w:tcPr>
            <w:tcW w:w="2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$ 1,528</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551"/>
        <w:spacing w:after="0"/>
        <w:rPr>
          <w:sz w:val="20"/>
          <w:szCs w:val="20"/>
          <w:color w:val="auto"/>
        </w:rPr>
      </w:pPr>
      <w:r>
        <w:rPr>
          <w:rFonts w:ascii="Arial" w:cs="Arial" w:eastAsia="Arial" w:hAnsi="Arial"/>
          <w:sz w:val="18"/>
          <w:szCs w:val="18"/>
          <w:color w:val="auto"/>
        </w:rPr>
        <w:t>There is approximately $1.5 million of unrecognized tax benefits included in the balance sheet that would, if recognized, affect the effective tax rate before consideration of valuation allowance. The Company does not believe that its unrecognized tax benefits will significantly change within the next 12 months.</w:t>
      </w:r>
    </w:p>
    <w:p>
      <w:pPr>
        <w:spacing w:after="0" w:line="203" w:lineRule="exact"/>
        <w:rPr>
          <w:sz w:val="20"/>
          <w:szCs w:val="20"/>
          <w:color w:val="auto"/>
        </w:rPr>
      </w:pPr>
    </w:p>
    <w:p>
      <w:pPr>
        <w:ind w:left="200" w:right="760" w:firstLine="551"/>
        <w:spacing w:after="0" w:line="246"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2016 and 2017, the Company had no accrued interest and penalties related to uncertain tax positions.</w:t>
      </w:r>
    </w:p>
    <w:p>
      <w:pPr>
        <w:spacing w:after="0" w:line="197"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Employee Benefit Plan</w:t>
      </w:r>
    </w:p>
    <w:p>
      <w:pPr>
        <w:spacing w:after="0" w:line="126"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$0.50 for each $1.00 of employee contributions up to a maximum $750 of common stock per year. As of December 31, 2016 and 2017, the Company had reserved 117,270 and 95,950 shares of common stock for issuance pursuant to the 401(k) Matching Plan, respectively. Matching contributions of 17,141 and 21,320 shares, or $82,000 and $93,000 were issued for the years ended December 31, 2016 and 2017, respectively.</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Subsequent Events</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For the consolidated financial statements as of the years ended December 31, 2016 and 2017, the Company has reviewed and evaluated material subsequent events through the consolidated financial statements’ issuance date of August 10, 2018. No subsequent events have been identified for disclosure.</w:t>
      </w:r>
    </w:p>
    <w:p>
      <w:pPr>
        <w:spacing w:after="0" w:line="13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80"/>
          </w:cols>
          <w:pgMar w:left="240" w:top="459" w:right="6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(Note 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25,593</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38,912</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148,092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150,315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175,533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191,476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15,944</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24,873</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26,731</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248,941</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237,563</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1,892</w:t>
            </w:r>
          </w:p>
        </w:tc>
        <w:tc>
          <w:tcPr>
            <w:tcW w:w="320" w:type="dxa"/>
            <w:vAlign w:val="bottom"/>
          </w:tcPr>
          <w:p>
            <w:pPr>
              <w:spacing w:after="0"/>
              <w:rPr>
                <w:sz w:val="17"/>
                <w:szCs w:val="17"/>
                <w:color w:val="auto"/>
              </w:rPr>
            </w:pP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4,196</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11,275</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40"/>
              <w:spacing w:after="0" w:line="202" w:lineRule="exact"/>
              <w:rPr>
                <w:sz w:val="20"/>
                <w:szCs w:val="20"/>
                <w:color w:val="auto"/>
              </w:rPr>
            </w:pPr>
            <w:r>
              <w:rPr>
                <w:rFonts w:ascii="Arial" w:cs="Arial" w:eastAsia="Arial" w:hAnsi="Arial"/>
                <w:sz w:val="18"/>
                <w:szCs w:val="18"/>
                <w:color w:val="auto"/>
              </w:rPr>
              <w:t>Deferred rent, current</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1,957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2,610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21,358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20,819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non-current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14,904</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22,742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13,342</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Early exercise stock option liability</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75,045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66,138</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$0.001 par value;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96,268,206 shares authorized at December 31, 2017 and June 30, 2018;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94,534,932 shares issued and outstanding at December 31, 2017 and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June 30, 2018; aggregate liquidation preference of $277,774 at December 31,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2017 and June 30, 2018; no shares issued and outstanding at June 30, 2018,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294,874</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129,000,000 shares authorized at December 31, 2017 and June 30, 2018;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12,437,613 and 12,649,712 shares issued and outstanding at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December 31, 2017 and June 30, 2018, respectively; 107,184,644 shares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issued and outstanding at June 30, 2018, pro forma</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26,141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30,877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325,778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(146,700)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(153,841)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stockholders’ equity (deficit)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(120,978)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w w:val="98"/>
              </w:rPr>
              <w:t>(123,449)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171,546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248,941</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237,563</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Related party collaboration revenue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37,918</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Total related party collaboration revenue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37,918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40,645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42,300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7,643</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(10,370)</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1,048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(9,476)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(0.80)</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net loss per common share, basic and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11,774,231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12,326,850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Pro forma net loss per common share, basic and diluted (unaudited)</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pro forma net loss per common share, basic</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160"/>
              <w:spacing w:after="0" w:line="203" w:lineRule="exact"/>
              <w:rPr>
                <w:sz w:val="20"/>
                <w:szCs w:val="20"/>
                <w:color w:val="auto"/>
              </w:rPr>
            </w:pPr>
            <w:r>
              <w:rPr>
                <w:rFonts w:ascii="Arial" w:cs="Arial" w:eastAsia="Arial" w:hAnsi="Arial"/>
                <w:sz w:val="18"/>
                <w:szCs w:val="18"/>
                <w:color w:val="auto"/>
              </w:rPr>
              <w:t>and diluted (unaudited)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106,861,782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ind w:right="-1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$(9,476)</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$(7,141)</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unrealized loss on available-for-sale marketable securities</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w:t>
            </w:r>
          </w:p>
        </w:tc>
        <w:tc>
          <w:tcPr>
            <w:tcW w:w="9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w:t>
            </w: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ind w:left="700"/>
              <w:spacing w:after="0"/>
              <w:rPr>
                <w:sz w:val="20"/>
                <w:szCs w:val="20"/>
                <w:color w:val="auto"/>
              </w:rPr>
            </w:pPr>
            <w:r>
              <w:rPr>
                <w:rFonts w:ascii="Arial" w:cs="Arial" w:eastAsia="Arial" w:hAnsi="Arial"/>
                <w:sz w:val="18"/>
                <w:szCs w:val="18"/>
                <w:color w:val="auto"/>
              </w:rPr>
              <w:t>Total comprehensive loss</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(9,505)</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(7,208)</w:t>
            </w: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7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(9,476)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 (accretion) of premium on marketable securities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Early exercised stock options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Change in fair value of convertible preferred stock warrant liability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Receivable from related party collaboration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2,769</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700"/>
              <w:spacing w:after="0" w:line="202" w:lineRule="exact"/>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(1,265)</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700"/>
              <w:spacing w:after="0" w:line="202" w:lineRule="exact"/>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70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(7,382)</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1060"/>
              <w:spacing w:after="0" w:line="202" w:lineRule="exact"/>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(8,754)</w:t>
            </w:r>
          </w:p>
        </w:tc>
        <w:tc>
          <w:tcPr>
            <w:tcW w:w="0" w:type="dxa"/>
            <w:vAlign w:val="bottom"/>
          </w:tcPr>
          <w:p>
            <w:pPr>
              <w:spacing w:after="0"/>
              <w:rPr>
                <w:sz w:val="1"/>
                <w:szCs w:val="1"/>
                <w:color w:val="auto"/>
              </w:rPr>
            </w:pPr>
          </w:p>
        </w:tc>
      </w:tr>
      <w:tr>
        <w:trPr>
          <w:trHeight w:val="21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marketable securities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(94,801)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(70,245)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Proceeds from sales and maturities of marketable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123,703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97,332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Purchase of property and equipment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24,439</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13,362</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45,463</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58,825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Vesting of common stock from early exercises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line="202" w:lineRule="exact"/>
              <w:rPr>
                <w:sz w:val="20"/>
                <w:szCs w:val="20"/>
                <w:color w:val="auto"/>
              </w:rPr>
            </w:pPr>
            <w:r>
              <w:rPr>
                <w:rFonts w:ascii="Arial" w:cs="Arial" w:eastAsia="Arial" w:hAnsi="Arial"/>
                <w:sz w:val="18"/>
                <w:szCs w:val="18"/>
                <w:color w:val="auto"/>
              </w:rPr>
              <w:t>Cost of property and equipment in accounts payable and accrued liabilities</w:t>
            </w:r>
          </w:p>
        </w:tc>
        <w:tc>
          <w:tcPr>
            <w:tcW w:w="1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w:t>
            </w:r>
          </w:p>
        </w:tc>
        <w:tc>
          <w:tcPr>
            <w:tcW w:w="5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NGM Biopharmaceuticals, Inc. and its wholly owned subsidiary (collectively referred to as the “Company”) is a research-driven, clinical-stage biopharmaceutical company committed to discovering and developing first-in-class therapeutics for major diseases with an initial focus on cardio-metabolic and liver diseases. The Company’s current portfolio is composed of seven product candidates (NGM282, NGM313, NGM386, NGM395, NGM217, NGM120 and NGM621) focused on non-alcoholic steatohepatitis, or NASH, type 2 diabetes, obesity, oncology and age-related macular degeneration, or AMD.</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was incorporated in Delaware on December 20, 2007 and its headquarters are located at 333 Oyster Point Blvd.</w:t>
      </w:r>
    </w:p>
    <w:p>
      <w:pPr>
        <w:ind w:left="200"/>
        <w:spacing w:after="0"/>
        <w:rPr>
          <w:sz w:val="20"/>
          <w:szCs w:val="20"/>
          <w:color w:val="auto"/>
        </w:rPr>
      </w:pPr>
      <w:r>
        <w:rPr>
          <w:rFonts w:ascii="Arial" w:cs="Arial" w:eastAsia="Arial" w:hAnsi="Arial"/>
          <w:sz w:val="18"/>
          <w:szCs w:val="18"/>
          <w:color w:val="auto"/>
        </w:rPr>
        <w:t>South San Francisco, California 94080. The Company operates in one business segment.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jc w:val="both"/>
        <w:ind w:left="200" w:right="100" w:firstLine="551"/>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the consolidated accounts of the Company and its subsidiary. During 2012, the Company established a wholly owned foreign subsidiary in Australia. All intercompany balances and transactions have been eliminated in consolidation.</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accompanying condensed consolidated balance sheet as of June 30, 2018, the statements of operations and comprehensive loss and cash flows for the six months ended June 30, 2017 and 2018, and the related interim information contained within the notes to the consolidated financial statements are unaudited. The unaudited interim consolidated financial statements have been prepared on the same basis as the audited consolidated financial statements and, in the opinion of management, reflect all normal recurring adjustments necessary for a fair statement of the Company’s financial position as of June 30, 2018 and the consolidated results of the Company’s operations and cash flows for the six months ended June 30, 2017 and 2018. The results of the Company’s consolidated operations for the six months ended June 30, 2018 are not necessarily indicative of the results to be expected for the year ended December 31, 2018 or for other future interim periods or years. The condensed consolidated balance sheet as of December 31, 2017 included herein was derived from the audited consolidated financial statements as of that date. These condensed consolidated financial statements should be read in conjunction with the Company’s audited consolidated financial statements included elsewhere in this prospectus.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Stockholders’ Equity and Net Loss per Common Share</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June 30, 2018 unaudited pro forma stockholders’ equity has been prepared assuming upon the closing of the Company’s initial public offering (IPO): (1) the automatic conversion of all outstanding shares of convertible preferred stock into shares of common stock and (2) the conversion of the warrant exercisable for convertible preferred stock outstanding as of June 30, 2018 into a warrant exercisable for shares of common stock, resulting in the reclassification of the related convertible preferred stock warrant liability to additional paid-in capital. The unaudited pro forma stockholders’ equity does not include the shares expected to be sold and related proceeds to be received from the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IPO or from the concurrent private placement of shares to Merck Sharp &amp; Dohme Corp., (Merck). For purposes of the pro forma basic and diluted net loss per common share, all shares of convertible preferred stock have been treated as though they had been converted to common stock in all periods in which such shares were outstanding.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ended June 30,</w:t>
            </w:r>
          </w:p>
        </w:tc>
      </w:tr>
      <w:tr>
        <w:trPr>
          <w:trHeight w:val="175"/>
        </w:trPr>
        <w:tc>
          <w:tcPr>
            <w:tcW w:w="20" w:type="dxa"/>
            <w:vAlign w:val="bottom"/>
          </w:tcPr>
          <w:p>
            <w:pPr>
              <w:spacing w:after="0"/>
              <w:rPr>
                <w:sz w:val="15"/>
                <w:szCs w:val="15"/>
                <w:color w:val="auto"/>
              </w:rPr>
            </w:pPr>
          </w:p>
        </w:tc>
        <w:tc>
          <w:tcPr>
            <w:tcW w:w="88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(7,141)</w:t>
            </w:r>
          </w:p>
        </w:tc>
        <w:tc>
          <w:tcPr>
            <w:tcW w:w="140" w:type="dxa"/>
            <w:vAlign w:val="bottom"/>
            <w:shd w:val="clear" w:color="auto" w:fill="CCEEFF"/>
          </w:tcPr>
          <w:p>
            <w:pPr>
              <w:spacing w:after="0"/>
              <w:rPr>
                <w:sz w:val="17"/>
                <w:szCs w:val="17"/>
                <w:color w:val="auto"/>
              </w:rPr>
            </w:pPr>
          </w:p>
        </w:tc>
      </w:tr>
      <w:tr>
        <w:trPr>
          <w:trHeight w:val="20"/>
        </w:trPr>
        <w:tc>
          <w:tcPr>
            <w:tcW w:w="8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8840" w:type="dxa"/>
            <w:vAlign w:val="bottom"/>
            <w:gridSpan w:val="2"/>
          </w:tcPr>
          <w:p>
            <w:pPr>
              <w:spacing w:after="0" w:line="196" w:lineRule="exact"/>
              <w:rPr>
                <w:sz w:val="20"/>
                <w:szCs w:val="20"/>
                <w:color w:val="auto"/>
              </w:rPr>
            </w:pPr>
            <w:r>
              <w:rPr>
                <w:rFonts w:ascii="Arial" w:cs="Arial" w:eastAsia="Arial" w:hAnsi="Arial"/>
                <w:sz w:val="18"/>
                <w:szCs w:val="18"/>
                <w:color w:val="auto"/>
              </w:rPr>
              <w:t>Shares used in computing net loss per share—basic and diluted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12,326,850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assumed conversion of non-redeemable convertible preferred stock</w:t>
            </w:r>
          </w:p>
        </w:tc>
        <w:tc>
          <w:tcPr>
            <w:tcW w:w="9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40" w:type="dxa"/>
            <w:vAlign w:val="bottom"/>
            <w:shd w:val="clear" w:color="auto" w:fill="CCEEFF"/>
          </w:tcPr>
          <w:p>
            <w:pPr>
              <w:spacing w:after="0"/>
              <w:rPr>
                <w:sz w:val="17"/>
                <w:szCs w:val="17"/>
                <w:color w:val="auto"/>
              </w:rPr>
            </w:pPr>
          </w:p>
        </w:tc>
      </w:tr>
      <w:tr>
        <w:trPr>
          <w:trHeight w:val="210"/>
        </w:trPr>
        <w:tc>
          <w:tcPr>
            <w:tcW w:w="8840" w:type="dxa"/>
            <w:vAlign w:val="bottom"/>
            <w:gridSpan w:val="2"/>
          </w:tcPr>
          <w:p>
            <w:pPr>
              <w:spacing w:after="0"/>
              <w:rPr>
                <w:sz w:val="20"/>
                <w:szCs w:val="20"/>
                <w:color w:val="auto"/>
              </w:rPr>
            </w:pPr>
            <w:r>
              <w:rPr>
                <w:rFonts w:ascii="Arial" w:cs="Arial" w:eastAsia="Arial" w:hAnsi="Arial"/>
                <w:sz w:val="18"/>
                <w:szCs w:val="18"/>
                <w:color w:val="auto"/>
              </w:rPr>
              <w:t>Shares used to compute pro forma net loss per share—basic and diluted</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106,861,782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share—basic and diluted</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(0.07)</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research and development periods under multiple element agreements, the valuation of convertible preferred stock warrants, the fair value of convertible preferred and common stock, contract manufacturing accruals and clinical trial accruals.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six months ended June 30, 2017 and 2018 the Company incurred a net loss of $9.5 million and $7.1 million, respectively. At June 30, 2018 the Company had an accumulated deficit of $ 153.8 million and does not expect to experience positive cash flows from operations in the near future. The Company had $205.2 million of cash, cash equivalents and marketable securities at June 30, 2018. Based on the Company’s business plan, management believes this is sufficient to meet its obligations for at least the next twelve months from the issuance date of these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jc w:val="both"/>
        <w:ind w:left="200" w:right="80" w:firstLine="551"/>
        <w:spacing w:after="0"/>
        <w:rPr>
          <w:sz w:val="20"/>
          <w:szCs w:val="20"/>
          <w:color w:val="auto"/>
        </w:rPr>
      </w:pPr>
      <w:r>
        <w:rPr>
          <w:rFonts w:ascii="Arial" w:cs="Arial" w:eastAsia="Arial" w:hAnsi="Arial"/>
          <w:sz w:val="18"/>
          <w:szCs w:val="18"/>
          <w:color w:val="auto"/>
        </w:rPr>
        <w:t>The carrying amounts of cash and cash equivalents and other current assets and liabilities approximate their respective fair values because of the short-term nature of those instruments. Fair value accounting is applied to the convertible preferred stock warrant liabilities that are recorded at their estimated fair value in the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IPO Costs</w:t>
      </w:r>
    </w:p>
    <w:p>
      <w:pPr>
        <w:spacing w:after="0" w:line="126"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Deferred IPO costs will be capitalized and included with other non-current assets on the condensed consolidated balance sheet, and offset against proceeds from the IPO upon the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consummation of the IPO. In the event the IPO is terminated, all capitalized costs will be expensed. There were no deferred IPO costs as of June 30,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Cash and cash equivalents are stated at fair value. Cash equivalents relate to securities having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2017 and June 30, 2018, cash and cash equivalents consisted of bank deposits and investments in money market funds.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determines the appropriate classification of its marketable securities at the time of purchase and re-evaluates such designation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income and reported in accumulated other comprehensive income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5"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The Company regularly reviews all of its investments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Revenue from collaboration agreements may include non-refundable upfront license fees, partial or complete reimbursement of research and development costs, contingent consideration payments based on the achievement of defined collaboration objectives and royalties on sales of commercialized products. Revenue from research activities earned under collaboration arrangements are recognized when there is persuasive evidence that an arrangement exists, services have been rendered, the price is fixed or determinable and collectability is reasonably assured. Revenue generated from the Company’s collaboration arrangements is not subject to repayment. The Company’s obligations under collaboration agreements may include the transfer of intellectual property rights in the form of licenses, obligations to provide research and development services and obligations to participate on certain development committees with the collaboration party. The Company makes judgments that affect the period over which the Company recognizes revenue. At each reporting period, the Company reviews its estimated period of performance for its collaboration and license revenue based on the progress under the arrangement and accounts for the impact of any changes in estimated periods of</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performance on a prospective basis. The Company records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203"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For revenue agreements with multiple-element arrangements, such as license and development agreements, the Company allocates revenue to each non-contingent element based on the relative selling price of each element. When applying the relative selling price method, the Company determines the selling price for each deliverable using vendor-specific objective evidence or third-party evidence. If neither exists, the Company uses the best estimate of selling price for that deliverable. Revenue allocated is then recognized when all of the following criteria are met: persuasive evidence of an arrangement exists; transfer of technology has been completed or services have been rendered; the price to the customer is fixed or determinable and collectability is reasonably assured.</w:t>
      </w:r>
    </w:p>
    <w:p>
      <w:pPr>
        <w:spacing w:after="0" w:line="205" w:lineRule="exact"/>
        <w:rPr>
          <w:sz w:val="20"/>
          <w:szCs w:val="20"/>
          <w:color w:val="auto"/>
        </w:rPr>
      </w:pPr>
    </w:p>
    <w:p>
      <w:pPr>
        <w:ind w:left="200" w:right="120" w:firstLine="551"/>
        <w:spacing w:after="0" w:line="234" w:lineRule="auto"/>
        <w:rPr>
          <w:sz w:val="20"/>
          <w:szCs w:val="20"/>
          <w:color w:val="auto"/>
        </w:rPr>
      </w:pPr>
      <w:r>
        <w:rPr>
          <w:rFonts w:ascii="Arial" w:cs="Arial" w:eastAsia="Arial" w:hAnsi="Arial"/>
          <w:sz w:val="18"/>
          <w:szCs w:val="18"/>
          <w:color w:val="auto"/>
        </w:rPr>
        <w:t>Payments that are contingent upon the achievement of a substantive milestone are recognized entirely as revenue in the period in which the milestone is achieved. A milestone is defined as an event: (a) that can only be achieved based in whole or in part on either</w:t>
      </w:r>
    </w:p>
    <w:p>
      <w:pPr>
        <w:spacing w:after="0" w:line="2" w:lineRule="exact"/>
        <w:rPr>
          <w:sz w:val="20"/>
          <w:szCs w:val="20"/>
          <w:color w:val="auto"/>
        </w:rPr>
      </w:pPr>
    </w:p>
    <w:p>
      <w:pPr>
        <w:ind w:left="200" w:right="40" w:firstLine="4"/>
        <w:spacing w:after="0" w:line="236" w:lineRule="auto"/>
        <w:tabs>
          <w:tab w:leader="none" w:pos="4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performance or (2) on the occurrence of a specific outcome resulting from the Company’s performance; (b) for which there is substantive uncertainty at the date the arrangement is entered into that the event will be achieved; and (c) that would result in additional payments being due to the entity. A milestone is considered substantive if the consideration earned from the achievement of the milestone meets all of the following criteria: (a) the consideration is commensurate with either (1) the Company’s performance to achieve the milestone, or (2) the enhancement of the value of the delivered item(s) as a result of a specific outcome resulting from the Company’s performance to achieve the milestone; (b) the consideration relates solely to past performance; and (c) the consideration is reasonable relative to all of the deliverables and payment terms (including other potential milestone consideration) within the arrangement. To the extent that non-substantive milestones are achieved and the Company has remaining performance obligations, payments in respect of such milestones are deferred and recognized as revenue over the estimated remaining period of performance. If there were no remaining performance obligations, the Company would recognize the revenue in the period it is earned.</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Payments related to options to license the Company’s program candidates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assuming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w:t>
      </w:r>
    </w:p>
    <w:p>
      <w:pPr>
        <w:spacing w:after="0" w:line="207"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Revenue related to research collaboration services and grants are recognized as research costs are incurred and/or the underlying services are performed over the term as specified in the related agreements.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and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left="200" w:right="40" w:firstLine="551"/>
        <w:spacing w:after="0" w:line="234" w:lineRule="auto"/>
        <w:rPr>
          <w:sz w:val="20"/>
          <w:szCs w:val="20"/>
          <w:color w:val="auto"/>
        </w:rPr>
      </w:pPr>
      <w:r>
        <w:rPr>
          <w:rFonts w:ascii="Arial" w:cs="Arial" w:eastAsia="Arial" w:hAnsi="Arial"/>
          <w:sz w:val="18"/>
          <w:szCs w:val="18"/>
          <w:color w:val="auto"/>
        </w:rPr>
        <w:t>The Company values stock-based payments to employees on the grant date of each award and recognizes the estimated fair value of such awards over the period during which the employee is required to provide service in exchange for the award, which is generally the vesting period of each award. Stock-based payments to consultants are subject to periodic remeasurement over their vesting terms.</w:t>
      </w:r>
    </w:p>
    <w:p>
      <w:pPr>
        <w:spacing w:after="0" w:line="2" w:lineRule="exact"/>
        <w:rPr>
          <w:sz w:val="20"/>
          <w:szCs w:val="20"/>
          <w:color w:val="auto"/>
        </w:rPr>
      </w:pPr>
    </w:p>
    <w:p>
      <w:pPr>
        <w:jc w:val="both"/>
        <w:ind w:left="200" w:right="160"/>
        <w:spacing w:after="0"/>
        <w:rPr>
          <w:sz w:val="20"/>
          <w:szCs w:val="20"/>
          <w:color w:val="auto"/>
        </w:rPr>
      </w:pPr>
      <w:r>
        <w:rPr>
          <w:rFonts w:ascii="Arial" w:cs="Arial" w:eastAsia="Arial" w:hAnsi="Arial"/>
          <w:sz w:val="18"/>
          <w:szCs w:val="18"/>
          <w:color w:val="auto"/>
        </w:rPr>
        <w:t>Stock-based payments are valued using the Black-Scholes option-pricing model. Because non-cash stock-based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potentially dilutive common shares, including common stock issuable upon exercise of stock options, and unvested restricted common stock and stock units. As the Company had net losses for the six months ended June 30, 2017 and 2018, all potential common shares were determined to be anti-dilutive.</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per share):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340"/>
              <w:spacing w:after="0" w:line="202" w:lineRule="exact"/>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(9,476)</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number of common shares used in calculating net income per share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ind w:left="520"/>
              <w:spacing w:after="0" w:line="203" w:lineRule="exact"/>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11,774,231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12,326,850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(0.80)</w:t>
            </w:r>
          </w:p>
        </w:tc>
        <w:tc>
          <w:tcPr>
            <w:tcW w:w="8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5300"/>
              <w:spacing w:after="0"/>
              <w:rPr>
                <w:sz w:val="20"/>
                <w:szCs w:val="20"/>
                <w:color w:val="auto"/>
              </w:rPr>
            </w:pPr>
            <w:r>
              <w:rPr>
                <w:rFonts w:ascii="Arial" w:cs="Arial" w:eastAsia="Arial" w:hAnsi="Arial"/>
                <w:sz w:val="18"/>
                <w:szCs w:val="18"/>
                <w:color w:val="auto"/>
              </w:rPr>
              <w:t>F-46</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2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7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94,534,932</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17,351,025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19,498,137</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39,274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39,274</w:t>
            </w:r>
          </w:p>
        </w:tc>
        <w:tc>
          <w:tcPr>
            <w:tcW w:w="80" w:type="dxa"/>
            <w:vAlign w:val="bottom"/>
            <w:shd w:val="clear" w:color="auto" w:fill="CCEEFF"/>
          </w:tcPr>
          <w:p>
            <w:pPr>
              <w:spacing w:after="0"/>
              <w:rPr>
                <w:sz w:val="17"/>
                <w:szCs w:val="17"/>
                <w:color w:val="auto"/>
              </w:rPr>
            </w:pPr>
          </w:p>
        </w:tc>
      </w:tr>
      <w:tr>
        <w:trPr>
          <w:trHeight w:val="210"/>
        </w:trPr>
        <w:tc>
          <w:tcPr>
            <w:tcW w:w="8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111,925,231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114,072,343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The Company operates in one segment. Substantially all of the Company’s long-lived assets are based in the United States. Long-lived assets are primarily comprised of property and equipment. For the six months ended June 30, 2017 and 2018, the Company’s revenues were in the United States based upon the location of the customer.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Adopted Accounting Pronouncements</w:t>
      </w:r>
    </w:p>
    <w:p>
      <w:pPr>
        <w:spacing w:after="0" w:line="126"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us as of the specified effective date. Unless otherwise discussed, the impact of recently issued standards that are not yet effective will not have a material impact on our consolidated financial statements upon adoption. Under the Jumpstart Our Business Startups Act of 2012, as amended (the JOBS Act), we meet the definition of an emerging growth company, and have elected the extended transition period for complying with new or revised accounting standards pursuant to Section 107(b) of the JOBS Act.</w:t>
      </w:r>
    </w:p>
    <w:p>
      <w:pPr>
        <w:spacing w:after="0" w:line="185"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Based Payment Accounting </w:t>
      </w:r>
      <w:r>
        <w:rPr>
          <w:rFonts w:ascii="Arial" w:cs="Arial" w:eastAsia="Arial" w:hAnsi="Arial"/>
          <w:sz w:val="18"/>
          <w:szCs w:val="18"/>
          <w:color w:val="auto"/>
        </w:rPr>
        <w:t>as part of the FASB simplification initiative. The new standard provides for changes to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compensation including 1) excess tax benefits and tax deficiencies related to share based payment awards will be recognized as income tax expense in the reporting period in which they occur; 2) excess tax benefits will be classified as an operating activity in the statement of cash flows; 3) the option to elect to estimate forfeitures or account for them when they occur; and 4) increase tax withholding requirements threshold to qualify for equity classification. The Company adopted ASU 2016-09 as of January 1, 2018; however, there was no impact on the Company’s consolidated financial statements as a result of adopting ASU 2016-09.</w:t>
      </w:r>
    </w:p>
    <w:p>
      <w:pPr>
        <w:spacing w:after="0" w:line="185" w:lineRule="exact"/>
        <w:rPr>
          <w:sz w:val="20"/>
          <w:szCs w:val="20"/>
          <w:color w:val="auto"/>
        </w:rPr>
      </w:pPr>
    </w:p>
    <w:p>
      <w:pPr>
        <w:ind w:left="200" w:right="160" w:firstLine="551"/>
        <w:spacing w:after="0" w:line="24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2017-09 defines which changes to the terms or conditions of a share-based payment award require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modification accounting. The Company adopted ASU 2017-09 in 2018. However, during the six months ended June 30, 2018 there have been no changes to terms or conditions of share-based payment awards that require modification accounting.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left="200" w:right="720" w:firstLine="551"/>
        <w:spacing w:after="0" w:line="26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supersedes the revenue recognition requirements in Accounting Standards Codification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ASU’s effective date will be for the fiscal year beginning January 1, 2019 using one of two retrospective application methods. The Company is currently assessing the impact of adoption on its consolidated financial statements and developing a plan for transition to the new guidance. The Company is currently at the early stages of analyzing its research collaboration, product development and license agreement with Merck to determine the differences in the accounting treatment under ASU 2014-09 compared to the current accounting treatment. The consideration the Company is eligible to receive under this agreement includes upfront payments, research and development funding, option payments, milestone payments, and royalties. The new revenue recognition standard differs from the current accounting standard in many respects, such as in the accounting for variable consideration and the measurement of progress toward completion of performance obligations. While the Company has not completed an assessment of the impact of adoption, the adoption of ASU 2014-09 may have a material effect on its consolidated financial statements.</w:t>
      </w:r>
    </w:p>
    <w:p>
      <w:pPr>
        <w:spacing w:after="0" w:line="186" w:lineRule="exact"/>
        <w:rPr>
          <w:sz w:val="20"/>
          <w:szCs w:val="20"/>
          <w:color w:val="auto"/>
        </w:rPr>
      </w:pPr>
    </w:p>
    <w:p>
      <w:pPr>
        <w:ind w:left="200" w:right="60" w:firstLine="551"/>
        <w:spacing w:after="0" w:line="24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is aimed at making leasing activities more transparent and comparable, and requires substantially all leases be recognized by lessees on their balance sheet as a right-of-use asset and corresponding lease liability, including leases currently accounted for as operating leases. ASU 2016-02 is effective for all annual reporting periods beginning after December 15, 2019. Early adoption is permitted. The Company is currently evaluating the impact that the adoption of ASU 2016-02 will have on its financial statements and related disclosures.</w:t>
      </w:r>
    </w:p>
    <w:p>
      <w:pPr>
        <w:spacing w:after="0" w:line="185"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230)—Restricted Cash</w:t>
      </w:r>
      <w:r>
        <w:rPr>
          <w:rFonts w:ascii="Arial" w:cs="Arial" w:eastAsia="Arial" w:hAnsi="Arial"/>
          <w:sz w:val="18"/>
          <w:szCs w:val="18"/>
          <w:color w:val="auto"/>
        </w:rPr>
        <w:t>, to clarify the presentation of the change in restricted cash on the statement of cash flows. The new standard clarifies the FASB’s position that changes to restricted cash are not reflective of an entity’s operating, investing or financing activities, and therefore should be included with cash and cash equivalents when reconciling the beginning-of-period and end-of-period total amounts shown on the statement of cash flows. The ASU is effective for fiscal years beginning after December 15, 2018. The Company is currently assessing the impact of this ASU on the presentation of its consolidated statement of cash flows.</w:t>
      </w:r>
    </w:p>
    <w:p>
      <w:pPr>
        <w:spacing w:after="0" w:line="184" w:lineRule="exact"/>
        <w:rPr>
          <w:sz w:val="20"/>
          <w:szCs w:val="20"/>
          <w:color w:val="auto"/>
        </w:rPr>
      </w:pPr>
    </w:p>
    <w:p>
      <w:pPr>
        <w:ind w:left="200" w:right="160" w:firstLine="551"/>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 part of the FASB simplification initiative. The new standard expands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Topic 718, allowing the Company to apply the requirements of Topic 718 to certain non-employee awards to acquire goods and services from non-employees. This ASU will be effective for the Company for fiscal years beginning after December 15, 2019, and interim periods within fiscal years beginning after December 15, 2020, with early adoption permitted. The Company is currently assessing the impact of this ASU on its consolidated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 FASB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108"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117" w:lineRule="exact"/>
        <w:rPr>
          <w:sz w:val="20"/>
          <w:szCs w:val="20"/>
          <w:color w:val="auto"/>
        </w:rPr>
      </w:pPr>
    </w:p>
    <w:p>
      <w:pPr>
        <w:ind w:left="1740" w:right="160" w:hanging="985"/>
        <w:spacing w:after="0"/>
        <w:tabs>
          <w:tab w:leader="none" w:pos="17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8" w:lineRule="exact"/>
        <w:rPr>
          <w:sz w:val="20"/>
          <w:szCs w:val="20"/>
          <w:color w:val="auto"/>
        </w:rPr>
      </w:pPr>
    </w:p>
    <w:p>
      <w:pPr>
        <w:ind w:left="1740" w:right="360" w:hanging="985"/>
        <w:spacing w:after="0" w:line="246" w:lineRule="auto"/>
        <w:tabs>
          <w:tab w:leader="none" w:pos="17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89"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related to other-than-temporary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5"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For the six months ended June 30, 2017 and 2018, the Company did not realize any gains or losses on the sale and maturity of available-for-sale securities.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60"/>
          </w:cols>
          <w:pgMar w:left="240" w:top="460"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Cash equivalents and marketable securities, all of which are classified as available-for-sale securities consisted of the following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At December 31, 2017</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7"/>
              <w:spacing w:after="0" w:line="143"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5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56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Gain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93,025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(301)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66,255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211,936</w:t>
            </w:r>
          </w:p>
        </w:tc>
        <w:tc>
          <w:tcPr>
            <w:tcW w:w="6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(431)</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148,092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Total cash equivalents and marketable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At June 30, 2018</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Gross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Amortized</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60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Gain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Loss</w:t>
            </w:r>
          </w:p>
        </w:tc>
        <w:tc>
          <w:tcPr>
            <w:tcW w:w="26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8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Corporate and agency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82,600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82,185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24,449</w:t>
            </w: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line="202" w:lineRule="exact"/>
              <w:rPr>
                <w:sz w:val="20"/>
                <w:szCs w:val="20"/>
                <w:color w:val="auto"/>
              </w:rPr>
            </w:pPr>
            <w:r>
              <w:rPr>
                <w:rFonts w:ascii="Arial" w:cs="Arial" w:eastAsia="Arial" w:hAnsi="Arial"/>
                <w:sz w:val="18"/>
                <w:szCs w:val="18"/>
                <w:color w:val="auto"/>
              </w:rPr>
              <w:t>U.S. government agencies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59,708</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59,625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16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200,942</w:t>
            </w:r>
          </w:p>
        </w:tc>
        <w:tc>
          <w:tcPr>
            <w:tcW w:w="66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(498)</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200,444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At June 30, 2018</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8"/>
              </w:rPr>
              <w:t>Gross</w:t>
            </w:r>
          </w:p>
        </w:tc>
        <w:tc>
          <w:tcPr>
            <w:tcW w:w="70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Gross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620" w:type="dxa"/>
            <w:vAlign w:val="bottom"/>
            <w:gridSpan w:val="2"/>
          </w:tcPr>
          <w:p>
            <w:pPr>
              <w:jc w:val="center"/>
              <w:ind w:left="5793"/>
              <w:spacing w:after="0"/>
              <w:rPr>
                <w:sz w:val="20"/>
                <w:szCs w:val="20"/>
                <w:color w:val="auto"/>
              </w:rPr>
            </w:pPr>
            <w:r>
              <w:rPr>
                <w:rFonts w:ascii="Arial" w:cs="Arial" w:eastAsia="Arial" w:hAnsi="Arial"/>
                <w:sz w:val="14"/>
                <w:szCs w:val="14"/>
                <w:b w:val="1"/>
                <w:bCs w:val="1"/>
                <w:color w:val="auto"/>
              </w:rPr>
              <w:t>Amortized</w:t>
            </w:r>
          </w:p>
        </w:tc>
        <w:tc>
          <w:tcPr>
            <w:tcW w:w="144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Unrealized</w:t>
            </w:r>
          </w:p>
        </w:tc>
        <w:tc>
          <w:tcPr>
            <w:tcW w:w="142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Unrealized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Cost</w:t>
            </w:r>
          </w:p>
        </w:tc>
        <w:tc>
          <w:tcPr>
            <w:tcW w:w="7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Gain</w:t>
            </w:r>
          </w:p>
        </w:tc>
        <w:tc>
          <w:tcPr>
            <w:tcW w:w="7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Loss</w:t>
            </w:r>
          </w:p>
        </w:tc>
        <w:tc>
          <w:tcPr>
            <w:tcW w:w="70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Classified as:</w:t>
            </w: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34,185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Short-term marketable securities</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150,315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Long-term marketable securities</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15,944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cash equivalents and marketable securities</w:t>
            </w: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200,444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 in the table above exclude cash of $7.3 million as of December 31, 2017 and $4.7 million as of June 30,</w:t>
      </w:r>
    </w:p>
    <w:p>
      <w:pPr>
        <w:ind w:left="200"/>
        <w:spacing w:after="0"/>
        <w:rPr>
          <w:sz w:val="20"/>
          <w:szCs w:val="20"/>
          <w:color w:val="auto"/>
        </w:rPr>
      </w:pPr>
      <w:r>
        <w:rPr>
          <w:rFonts w:ascii="Arial" w:cs="Arial" w:eastAsia="Arial" w:hAnsi="Arial"/>
          <w:sz w:val="18"/>
          <w:szCs w:val="18"/>
          <w:color w:val="auto"/>
        </w:rPr>
        <w:t>2018.</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680" w:firstLine="551"/>
        <w:spacing w:after="0" w:line="246" w:lineRule="auto"/>
        <w:rPr>
          <w:sz w:val="20"/>
          <w:szCs w:val="20"/>
          <w:color w:val="auto"/>
        </w:rPr>
      </w:pPr>
      <w:r>
        <w:rPr>
          <w:rFonts w:ascii="Arial" w:cs="Arial" w:eastAsia="Arial" w:hAnsi="Arial"/>
          <w:sz w:val="18"/>
          <w:szCs w:val="18"/>
          <w:color w:val="auto"/>
        </w:rPr>
        <w:t>As of December 31, 2017 and June 30, 2018, the Company’s marketable securities had the following remaining contractual maturities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At December 31, 2017</w:t>
            </w: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148,280</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$148,092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45,394</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45,150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193,674</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193,242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At June 30, 2018</w:t>
            </w: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Amortized Cost</w:t>
            </w:r>
          </w:p>
        </w:tc>
        <w:tc>
          <w:tcPr>
            <w:tcW w:w="5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Fair Value</w:t>
            </w: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150,647</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$150,315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line="202" w:lineRule="exact"/>
              <w:rPr>
                <w:sz w:val="20"/>
                <w:szCs w:val="20"/>
                <w:color w:val="auto"/>
              </w:rPr>
            </w:pPr>
            <w:r>
              <w:rPr>
                <w:rFonts w:ascii="Arial" w:cs="Arial" w:eastAsia="Arial" w:hAnsi="Arial"/>
                <w:sz w:val="18"/>
                <w:szCs w:val="18"/>
                <w:color w:val="auto"/>
              </w:rPr>
              <w:t>Greater than one year but less than five years</w:t>
            </w:r>
          </w:p>
        </w:tc>
        <w:tc>
          <w:tcPr>
            <w:tcW w:w="2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16,110</w:t>
            </w:r>
          </w:p>
        </w:tc>
        <w:tc>
          <w:tcPr>
            <w:tcW w:w="5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15,944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166,757</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166,259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6" w:lineRule="exact"/>
        <w:rPr>
          <w:sz w:val="20"/>
          <w:szCs w:val="20"/>
          <w:color w:val="auto"/>
        </w:rPr>
      </w:pPr>
    </w:p>
    <w:p>
      <w:pPr>
        <w:ind w:left="200" w:right="340" w:firstLine="551"/>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2017 and June 30, 2018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18,263</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$18,263</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92,724</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34,393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66,125</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211,505</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18,263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193,242</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gridSpan w:val="6"/>
          </w:tcPr>
          <w:p>
            <w:pPr>
              <w:jc w:val="center"/>
              <w:spacing w:after="0"/>
              <w:rPr>
                <w:sz w:val="20"/>
                <w:szCs w:val="20"/>
                <w:color w:val="auto"/>
              </w:rPr>
            </w:pPr>
            <w:r>
              <w:rPr>
                <w:rFonts w:ascii="Arial" w:cs="Arial" w:eastAsia="Arial" w:hAnsi="Arial"/>
                <w:sz w:val="14"/>
                <w:szCs w:val="14"/>
                <w:b w:val="1"/>
                <w:bCs w:val="1"/>
                <w:color w:val="auto"/>
              </w:rPr>
              <w:t>Fair Value Measurements at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rPr>
              <w:t>June 30, 2018</w:t>
            </w:r>
          </w:p>
        </w:tc>
        <w:tc>
          <w:tcPr>
            <w:tcW w:w="3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680" w:type="dxa"/>
            <w:vAlign w:val="bottom"/>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Money market funds</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34,185</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$34,185</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Corporate and agency bonds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82,185</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82,185</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Commercial paper</w:t>
            </w: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24,449</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24,449</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U.S. government agencies securities</w:t>
            </w:r>
          </w:p>
        </w:tc>
        <w:tc>
          <w:tcPr>
            <w:tcW w:w="2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59,625</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59,625</w:t>
            </w:r>
          </w:p>
        </w:tc>
        <w:tc>
          <w:tcPr>
            <w:tcW w:w="3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200,444</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34,185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166,259</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Convertible preferred stock warrant liability</w:t>
            </w:r>
          </w:p>
        </w:tc>
        <w:tc>
          <w:tcPr>
            <w:tcW w:w="2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$ 121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00" w:type="dxa"/>
            <w:vAlign w:val="bottom"/>
            <w:gridSpan w:val="2"/>
          </w:tcPr>
          <w:p>
            <w:pPr>
              <w:jc w:val="right"/>
              <w:ind w:right="1540"/>
              <w:spacing w:after="0"/>
              <w:rPr>
                <w:sz w:val="20"/>
                <w:szCs w:val="20"/>
                <w:color w:val="auto"/>
              </w:rPr>
            </w:pPr>
            <w:r>
              <w:rPr>
                <w:rFonts w:ascii="Arial" w:cs="Arial" w:eastAsia="Arial" w:hAnsi="Arial"/>
                <w:sz w:val="18"/>
                <w:szCs w:val="18"/>
                <w:color w:val="auto"/>
              </w:rPr>
              <w:t>F-51</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w:t>
      </w:r>
    </w:p>
    <w:p>
      <w:pPr>
        <w:ind w:left="200"/>
        <w:spacing w:after="0"/>
        <w:rPr>
          <w:sz w:val="20"/>
          <w:szCs w:val="20"/>
          <w:color w:val="auto"/>
        </w:rPr>
      </w:pPr>
      <w:r>
        <w:rPr>
          <w:rFonts w:ascii="Arial" w:cs="Arial" w:eastAsia="Arial" w:hAnsi="Arial"/>
          <w:sz w:val="18"/>
          <w:szCs w:val="18"/>
          <w:color w:val="auto"/>
        </w:rPr>
        <w:t>2018.</w:t>
      </w:r>
    </w:p>
    <w:p>
      <w:pPr>
        <w:spacing w:after="0" w:line="212"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The original estimated fair value of the convertible preferred stock warrants of approximately $28,000, issued in February 2009 in conjunction with entering into a loan and security agreement with a lender, was measured upon issuance using the Black-Scholes option-pricing model. The Company recorded other income of $1,000 for the change in estimated fair value of the warrant liabilities for the six months ended June 30, 2017. The Company did not record any gains or losses related to changes in the estimated fair value of the warrant liabilities for the six months ended June 30, 2018. The inputs used in the determination of the fair value of the warrants as of June 30, 2018 used an estimated fair value per share of the Company’s common stock fair value per share, one year for the expected term of the warrant, 68.32% for the stock value volatility using publicly traded peer company volatility as a basis, and 2.11% for the risk-free interest rate on U.S. Treasury securities at 1-year constant maturity.</w:t>
      </w:r>
    </w:p>
    <w:p>
      <w:pPr>
        <w:spacing w:after="0" w:line="208" w:lineRule="exact"/>
        <w:rPr>
          <w:sz w:val="20"/>
          <w:szCs w:val="20"/>
          <w:color w:val="auto"/>
        </w:rPr>
      </w:pPr>
    </w:p>
    <w:p>
      <w:pPr>
        <w:ind w:left="200" w:right="260" w:firstLine="551"/>
        <w:spacing w:after="0" w:line="246"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0260" w:type="dxa"/>
            <w:vAlign w:val="bottom"/>
            <w:gridSpan w:val="3"/>
          </w:tcPr>
          <w:p>
            <w:pPr>
              <w:spacing w:after="0"/>
              <w:rPr>
                <w:sz w:val="20"/>
                <w:szCs w:val="20"/>
                <w:color w:val="auto"/>
              </w:rPr>
            </w:pPr>
            <w:r>
              <w:rPr>
                <w:rFonts w:ascii="Arial" w:cs="Arial" w:eastAsia="Arial" w:hAnsi="Arial"/>
                <w:sz w:val="14"/>
                <w:szCs w:val="14"/>
                <w:b w:val="1"/>
                <w:bCs w:val="1"/>
                <w:color w:val="auto"/>
              </w:rPr>
              <w:t>Fair Value Using Level 3 Inputs</w:t>
            </w:r>
          </w:p>
        </w:tc>
        <w:tc>
          <w:tcPr>
            <w:tcW w:w="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bottom w:val="single" w:sz="8" w:color="CCEEFF"/>
            </w:tcBorders>
            <w:shd w:val="clear" w:color="auto" w:fill="000000"/>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2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December 31, 2016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2017</w:t>
            </w:r>
          </w:p>
        </w:tc>
        <w:tc>
          <w:tcPr>
            <w:tcW w:w="220" w:type="dxa"/>
            <w:vAlign w:val="bottom"/>
            <w:gridSpan w:val="2"/>
            <w:shd w:val="clear" w:color="auto" w:fill="CCEEFF"/>
          </w:tcPr>
          <w:p>
            <w:pPr>
              <w:jc w:val="right"/>
              <w:ind w:right="45"/>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60" w:type="dxa"/>
            <w:vAlign w:val="bottom"/>
            <w:gridSpan w:val="3"/>
          </w:tcPr>
          <w:p>
            <w:pPr>
              <w:spacing w:after="0" w:line="196" w:lineRule="exact"/>
              <w:rPr>
                <w:sz w:val="20"/>
                <w:szCs w:val="20"/>
                <w:color w:val="auto"/>
              </w:rPr>
            </w:pPr>
            <w:r>
              <w:rPr>
                <w:rFonts w:ascii="Arial" w:cs="Arial" w:eastAsia="Arial" w:hAnsi="Arial"/>
                <w:sz w:val="18"/>
                <w:szCs w:val="18"/>
                <w:color w:val="auto"/>
              </w:rPr>
              <w:t>Balance at December 31, 2017</w:t>
            </w:r>
          </w:p>
        </w:tc>
        <w:tc>
          <w:tcPr>
            <w:tcW w:w="220" w:type="dxa"/>
            <w:vAlign w:val="bottom"/>
            <w:gridSpan w:val="2"/>
          </w:tcPr>
          <w:p>
            <w:pPr>
              <w:jc w:val="right"/>
              <w:ind w:right="45"/>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 included in other income (expense),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6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right="6640" w:firstLine="4"/>
        <w:spacing w:after="0" w:line="372" w:lineRule="auto"/>
        <w:tabs>
          <w:tab w:leader="none" w:pos="4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Summary of Collaboration Revenue</w:t>
      </w:r>
    </w:p>
    <w:p>
      <w:pPr>
        <w:spacing w:after="0" w:line="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recognized revenue from its collaboration and license agreements as follows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9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9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Related party collaboration revenue: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9240" w:type="dxa"/>
            <w:vAlign w:val="bottom"/>
          </w:tcPr>
          <w:p>
            <w:pPr>
              <w:ind w:left="340"/>
              <w:spacing w:after="0" w:line="202" w:lineRule="exact"/>
              <w:rPr>
                <w:sz w:val="20"/>
                <w:szCs w:val="20"/>
                <w:color w:val="auto"/>
              </w:rPr>
            </w:pPr>
            <w:r>
              <w:rPr>
                <w:rFonts w:ascii="Arial" w:cs="Arial" w:eastAsia="Arial" w:hAnsi="Arial"/>
                <w:sz w:val="18"/>
                <w:szCs w:val="18"/>
                <w:color w:val="auto"/>
              </w:rPr>
              <w:t>Recognition of upfront license fee</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Collaboration service revenue</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28,518</w:t>
            </w:r>
          </w:p>
        </w:tc>
        <w:tc>
          <w:tcPr>
            <w:tcW w:w="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31,331</w:t>
            </w:r>
          </w:p>
        </w:tc>
        <w:tc>
          <w:tcPr>
            <w:tcW w:w="60" w:type="dxa"/>
            <w:vAlign w:val="bottom"/>
            <w:shd w:val="clear" w:color="auto" w:fill="CCEEFF"/>
          </w:tcPr>
          <w:p>
            <w:pPr>
              <w:spacing w:after="0"/>
              <w:rPr>
                <w:sz w:val="17"/>
                <w:szCs w:val="17"/>
                <w:color w:val="auto"/>
              </w:rPr>
            </w:pPr>
          </w:p>
        </w:tc>
      </w:tr>
      <w:tr>
        <w:trPr>
          <w:trHeight w:val="210"/>
        </w:trPr>
        <w:tc>
          <w:tcPr>
            <w:tcW w:w="9260" w:type="dxa"/>
            <w:vAlign w:val="bottom"/>
            <w:gridSpan w:val="2"/>
          </w:tcPr>
          <w:p>
            <w:pPr>
              <w:spacing w:after="0"/>
              <w:rPr>
                <w:sz w:val="20"/>
                <w:szCs w:val="20"/>
                <w:color w:val="auto"/>
              </w:rPr>
            </w:pPr>
            <w:r>
              <w:rPr>
                <w:rFonts w:ascii="Arial" w:cs="Arial" w:eastAsia="Arial" w:hAnsi="Arial"/>
                <w:sz w:val="18"/>
                <w:szCs w:val="18"/>
                <w:color w:val="auto"/>
              </w:rPr>
              <w:t>Total related party collaboration revenue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37,918</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40,731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JDRF</w:t>
      </w:r>
    </w:p>
    <w:p>
      <w:pPr>
        <w:spacing w:after="0" w:line="126"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In September 2011, the Company entered into a Research, Development and Commercialization Agreement with JDRF International, or JDRF, to conduct a research program to discover potential therapeutics for the treatment of diabetes. Under the terms of the agreement, the Company was eligible to receive research funding of up to $1.8 million. This research funding has been recognized in the service period in which it was earned. During the six months ended June 30, 2018 the Company did not recognize any revenue from this agreement.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Merck</w:t>
      </w:r>
    </w:p>
    <w:p>
      <w:pPr>
        <w:spacing w:after="0" w:line="126"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In February 2015, the Company entered into a research collaboration, product development and license agreement with Merck, covering the discovery, development and commercialization of novel therapies across a range of therapeutic areas (Merck Collaboration Agreement). The collaboration includes an exclusive worldwide license to the GDF15 program (consisting of GDF15 analogs NGM386 and NGM395); the product candidates from the GDF15 program that are being evaluated for the treatment of diabetes, obesity and non-alcoholic steatohepatitis; and a broad, multi -year drug discovery and early development program financially supported by Merck but scientifically directed by the Company. The goal of the drug discovery and early development program is to identify and develop, through human proof-of-concept studies, multiple product candidates for various therapeutic areas. For those compounds resulting from the research and development program that progress through human proof-of-concept studies, Merck has a one-time option to obtain an exclusive, worldwide license. If Merck exercises its option,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its further development and commercialization of the compound. If the Company elects to participate in the cost and profit share, subject to certain limitations, Merck will advance to the Company a portion of its share of the overall development costs, up to a limit of 25% of the overall global costs, which Merck will recoup from the Company’s share of any profit ultimately resulting from sales of the compound or, if unsuccessful, other compounds that reach commercialization.</w:t>
      </w:r>
    </w:p>
    <w:p>
      <w:pPr>
        <w:spacing w:after="0" w:line="180"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b w:val="1"/>
          <w:bCs w:val="1"/>
          <w:i w:val="1"/>
          <w:iCs w:val="1"/>
          <w:color w:val="auto"/>
        </w:rPr>
        <w:t xml:space="preserve">Research and Early Development Program. </w:t>
      </w:r>
      <w:r>
        <w:rPr>
          <w:rFonts w:ascii="Arial" w:cs="Arial" w:eastAsia="Arial" w:hAnsi="Arial"/>
          <w:sz w:val="18"/>
          <w:szCs w:val="18"/>
          <w:color w:val="auto"/>
        </w:rPr>
        <w:t>Pursuant to the collaboration agreement, the Company determines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studies,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Under the agreement, Merck reimburses the internal and external costs of the Company’s research and early development activities (research phase) in an amount up to $50 million per year, based on an estimated annual budget. If the Company exceeds this budget in a particular year, and if the program is sufficiently advanced as of that time, Merck will fund up to an additional $25 million each year for use in funding IND-enabling or later-staged activities or will provide the Company with the equivalent value in in-kind services for preclinical and clinical development activities.</w:t>
      </w:r>
    </w:p>
    <w:p>
      <w:pPr>
        <w:spacing w:after="0" w:line="209"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Merck has the option to extend the initial five-year research phase for two additional two-year periods by paying a fee for each extension. Exercising the option for the first of the two-year periods is required to be communicated by Merck to the Company by March 17, 2019. The level of research funding during the research phase extensions will be negotiated at the time of the extension, subject to certain minimum and maximum funding limits based on a percentage of the then-existing funding. At the end of any research phase, Merck has the right to either require the Company to continue to conduct research and development activities with respect to certain of the then-existing programs for up to three years (tail period), by agreeing to pay all of the Company’s internal and external costs, or to take over such selected programs and conduct such research and development activities itself, at its own cost, during the tail period.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b w:val="1"/>
          <w:bCs w:val="1"/>
          <w:i w:val="1"/>
          <w:iCs w:val="1"/>
          <w:color w:val="auto"/>
        </w:rPr>
        <w:t xml:space="preserve">Merck Option to License the Company’s Programs. </w:t>
      </w:r>
      <w:r>
        <w:rPr>
          <w:rFonts w:ascii="Arial" w:cs="Arial" w:eastAsia="Arial" w:hAnsi="Arial"/>
          <w:sz w:val="18"/>
          <w:szCs w:val="18"/>
          <w:color w:val="auto"/>
        </w:rPr>
        <w:t>Upon completion of a human proof-of-concept study for a particular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compound, regardless of the results of such study, Merck has the one-time option to obtain an exclusive, worldwide license, on specified terms, to that compound, as well as to other molecules that are directed against the same target in the same manner (Optioned Program). If Merck exercises its license option, Merck will be responsible, at its own cost, for any further development and commercialization activities for compounds within that Optioned Program, subject to the Company’s options to cost and profit share worldwide and to co-detail those compounds in the United States, as further described below. If Merck does not exercise its license option with respect to a particular compound within 60 days, the Company will retain all rights to research, develop and commercialize that compound and its related molecules on a worldwide basis at the Company’s expense, either alone or in partnership with a third party, subject to the payment to Merck of low single digit percentage royalties on any commercial sales of any resulting products.</w:t>
      </w:r>
    </w:p>
    <w:p>
      <w:pPr>
        <w:spacing w:after="0" w:line="184"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b w:val="1"/>
          <w:bCs w:val="1"/>
          <w:i w:val="1"/>
          <w:iCs w:val="1"/>
          <w:color w:val="auto"/>
        </w:rPr>
        <w:t xml:space="preserve">Company Option to Elect Cost and Profit Share and Merck Financial Assistance. </w:t>
      </w:r>
      <w:r>
        <w:rPr>
          <w:rFonts w:ascii="Arial" w:cs="Arial" w:eastAsia="Arial" w:hAnsi="Arial"/>
          <w:sz w:val="18"/>
          <w:szCs w:val="18"/>
          <w:color w:val="auto"/>
        </w:rPr>
        <w:t>If Merck exercises its license option,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point where it has advanced the licensed compound to its first Phase 3 clinical study, the Company has the option for a period of 60 days to share between 25% and 50% of the costs and profits with Merck on that compound (NGM Optioned Products). As part of the Company’s election to exercise the option to cost and profit share, the Company will also select the percentage share, between 25% and 50%, that it desires to fund of the total global costs of developing and, if approved, commercializing that NGM Optioned Product. The percentage of any profits the Company will receive from sales of the NGM Optioned Product will be the same as the percentage share the Company elects to contribute to the total global costs of developing the product. The Company’s right to participate in cost and profit sharing for each of the compounds that Merck licenses is subject to the following limitation: if, at the point in time when the Company is able to exercise its option for a licensed compound, the actual costs the Company has incurred, plus the prospective costs allocated to the Company across all NGM Optioned Products, plus the costs the Company is electing to incur if it exercises its option for the compound, reaches $1.0 billion (if the research phase ends in 2020), $1.4 billion (if the research phase is extended to 2022) or $1.8 billion (if the research phase is extended to 2024), the Company will not be able to exercise its option on any further licensed compounds that Merck takes forward.</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Pursuant to the collaboration agreement, at the Company’s election to cost and profit share on a NGM Optioned Product, Merck will advance to the Company an amount equal to 25% of the expected global costs for that NGM Optioned Product, which could cover 100% of the Company’s share of the relevant development costs where the Company elects to cost and profit share at the 25% rate, or half of the Company’s development cost obligation where the Company elects to cost and profit share at the 50% rate. These advances are subject to an aggregate cap of $500 million in total across all NGM Optioned Products over the term of the collaboration.</w:t>
      </w:r>
    </w:p>
    <w:p>
      <w:pPr>
        <w:spacing w:after="0" w:line="181" w:lineRule="exact"/>
        <w:rPr>
          <w:sz w:val="20"/>
          <w:szCs w:val="20"/>
          <w:color w:val="auto"/>
        </w:rPr>
      </w:pPr>
    </w:p>
    <w:p>
      <w:pPr>
        <w:ind w:left="200" w:right="40" w:firstLine="551"/>
        <w:spacing w:after="0" w:line="241" w:lineRule="auto"/>
        <w:rPr>
          <w:sz w:val="20"/>
          <w:szCs w:val="20"/>
          <w:color w:val="auto"/>
        </w:rPr>
      </w:pPr>
      <w:r>
        <w:rPr>
          <w:rFonts w:ascii="Arial" w:cs="Arial" w:eastAsia="Arial" w:hAnsi="Arial"/>
          <w:sz w:val="18"/>
          <w:szCs w:val="18"/>
          <w:b w:val="1"/>
          <w:bCs w:val="1"/>
          <w:i w:val="1"/>
          <w:iCs w:val="1"/>
          <w:color w:val="auto"/>
        </w:rPr>
        <w:t xml:space="preserve">Co-Detailing Rights in the United States. </w:t>
      </w:r>
      <w:r>
        <w:rPr>
          <w:rFonts w:ascii="Arial" w:cs="Arial" w:eastAsia="Arial" w:hAnsi="Arial"/>
          <w:sz w:val="18"/>
          <w:szCs w:val="18"/>
          <w:color w:val="auto"/>
        </w:rPr>
        <w:t>For each NGM Optioned Product, the Company also has the option to participate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commercial promotion (co-detailing) to prescribers in the United States of the NGM Optioned Product by fielding its own commercial sales force. The Company will be required to make this election prior to receiving regulatory approval in the U.S. for the NGM Optioned Product. The specifics of the participation in co-detailing will be determined by the parties according to guidelines set out in the collaboration agreement. If the Company elects to co-detail with Merck, the Company’s costs are included in the overall shared commercialization costs, but it will not share in any greater portion of the profits than it otherwise would be entitled to for that NGM Optioned Product.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b w:val="1"/>
          <w:bCs w:val="1"/>
          <w:i w:val="1"/>
          <w:iCs w:val="1"/>
          <w:color w:val="auto"/>
        </w:rPr>
        <w:t xml:space="preserve">Small Molecule Research and Development. </w:t>
      </w:r>
      <w:r>
        <w:rPr>
          <w:rFonts w:ascii="Arial" w:cs="Arial" w:eastAsia="Arial" w:hAnsi="Arial"/>
          <w:sz w:val="18"/>
          <w:szCs w:val="18"/>
          <w:color w:val="auto"/>
        </w:rPr>
        <w:t>Under the collaboration agreement, the Company also granted Merck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(Small Molecule Program).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184" w:lineRule="exact"/>
        <w:rPr>
          <w:sz w:val="20"/>
          <w:szCs w:val="20"/>
          <w:color w:val="auto"/>
        </w:rPr>
      </w:pPr>
    </w:p>
    <w:p>
      <w:pPr>
        <w:ind w:left="200" w:right="40" w:firstLine="551"/>
        <w:spacing w:after="0" w:line="244" w:lineRule="auto"/>
        <w:rPr>
          <w:sz w:val="20"/>
          <w:szCs w:val="20"/>
          <w:color w:val="auto"/>
        </w:rPr>
      </w:pPr>
      <w:r>
        <w:rPr>
          <w:rFonts w:ascii="Arial" w:cs="Arial" w:eastAsia="Arial" w:hAnsi="Arial"/>
          <w:sz w:val="18"/>
          <w:szCs w:val="18"/>
          <w:b w:val="1"/>
          <w:bCs w:val="1"/>
          <w:i w:val="1"/>
          <w:iCs w:val="1"/>
          <w:color w:val="auto"/>
        </w:rPr>
        <w:t xml:space="preserve">Upfront payment; Series E Convertible Preferred Stock Purchase Agreement, Extension of Research Phases(s) and Private Placement. </w:t>
      </w:r>
      <w:r>
        <w:rPr>
          <w:rFonts w:ascii="Arial" w:cs="Arial" w:eastAsia="Arial" w:hAnsi="Arial"/>
          <w:sz w:val="18"/>
          <w:szCs w:val="18"/>
          <w:color w:val="auto"/>
        </w:rPr>
        <w:t>Under the terms of the collaboration agreement, the Company received an upfront payment of $94.0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Merck entered into a stock purchase agreement to purchase 17,666,666 shares of Series E convertible preferred stock at a price of $6.00 per share, resulting in net proceeds of approximately $105.9 million. In April 2015, the Company received the $94.0 million upfront payment.</w:t>
      </w:r>
    </w:p>
    <w:p>
      <w:pPr>
        <w:spacing w:after="0" w:line="199"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connection with the Series E convertible preferred stock purchase agreement, the Company entered into a letter agreement whereby Merck has the irrevocable option to purchase or, if it does not, the Company has the irrevocable option to require Merck to purchase an additional amount of the Company’s common stock pursuant to a private placement conducted in parallel with its IPO, up to a limit of the number of shares that will result in Merck owning approximately 19.9% of the Company’s outstanding shares, at the same price per share as offered to the public. If Merck elects to extend the research phase of the collaboration until March 17, 2022, it has the option to purchase an additional $5.0 million of the Company’s common stock at a price per share equal to the last closing price of the Company’s shares on the date it notifies the Company of its desire to exercise such option and, if Merck elects again to extend the research phase to March 17, 2024, it has an option to purchase another $5.0 million of the Company’s common stock on the same terms; with both options subject to an overall cap on Merck’s ownership interest of 19.9%.</w:t>
      </w:r>
    </w:p>
    <w:p>
      <w:pPr>
        <w:spacing w:after="0" w:line="18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Standstill, Lock-Up and Voting Agreements. </w:t>
      </w:r>
      <w:r>
        <w:rPr>
          <w:rFonts w:ascii="Arial" w:cs="Arial" w:eastAsia="Arial" w:hAnsi="Arial"/>
          <w:sz w:val="18"/>
          <w:szCs w:val="18"/>
          <w:color w:val="auto"/>
        </w:rPr>
        <w:t>The Side Letter Agreement also includes standstill provisions providing that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ending on the earlier of the end of the initial five-year research term, the announcement of the Company’s intent to consummate a change in control transaction (subject to certain exceptions) or the termination of the collaboration agreement, neither Merck nor its representatives will, directly or indirectly, among other things: (i) acquire any of the Company’s securities to the extent it would result in Merck owning more than 19.9% of the Company’s shares, (ii) solicit proxies for the Company’s securities or (iii) participate in a business combination involving the Company, take any action that might result in the Company having to make a public announcement about (i) or</w:t>
      </w:r>
    </w:p>
    <w:p>
      <w:pPr>
        <w:spacing w:after="0" w:line="1" w:lineRule="exact"/>
        <w:rPr>
          <w:sz w:val="20"/>
          <w:szCs w:val="20"/>
          <w:color w:val="auto"/>
        </w:rPr>
      </w:pPr>
    </w:p>
    <w:p>
      <w:pPr>
        <w:jc w:val="both"/>
        <w:ind w:left="200" w:right="220" w:firstLine="4"/>
        <w:spacing w:after="0"/>
        <w:tabs>
          <w:tab w:leader="none" w:pos="4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or seek to influence the Company’s management or policies, except that Merck is not precluded from making confidential, non-public proposals to the Company or third parties with the Company’s express consent. In addition, during the period that ends on the earlier of the end of the initial five-year research term, the announcement of the Company’s intent to consummate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change in control transaction or the date on which Merck’s ownership of the Company’s securities drops below 5%, Merck has agreed to vote its shares in favor of the Company’s nominees to the board of directors, increases in the authorized capital stock of the company and amendments to the Company’s equity plans approved by the board of directors, in each case as recommended by the chairman the Company’s board of directors. Merck has also agreed, subject to specified exceptions and during the period of the initial five-year research phase, not to sell any of its shares of the Company’s capital stock (subject to certain limited exceptions).</w:t>
      </w:r>
    </w:p>
    <w:p>
      <w:pPr>
        <w:spacing w:after="0" w:line="203"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The Company identified several significant deliverables under the agreement, including the license and know-how to the GDF15 program, the license to a Small Molecule Program and research and development services to be performed by the Company on behalf of Merck, including research and early development activities up through human proof of concept. The Company concluded that the license to the GDF15 program and the license for the Small Molecule Program do not have stand-alone value to Merck apart from the related research and development services deliverables as there are no other vendors selling similar, competing products on a stand-alone basis and Merck is unable to use the license for its intended purpose without the Company’s performance of research and development services. Accordingly, the Company has accounted for the deliverables as one unit of accounting. As such, a total of $94.0 million of revenue is being recognized on a straight-line basis over the period over which the Company expects to fulfill its performance obligations (the performance period), which was determined to be five years. The Company evaluates the performance period at each reporting period.</w:t>
      </w:r>
    </w:p>
    <w:p>
      <w:pPr>
        <w:spacing w:after="0" w:line="20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Except for the GDF15 program, each Optioned Program is eligible to receive a one-time payment of $20.0 million upon Merck’s exercise of its one-time option to obtain an exclusive, worldwide license for a licensed compound following the completion of a human proof-of-concept study. In addition, if the Company does not opt in to the cost and profit sharing option, then the Company is eligible to receive milestone payments upon the achievement of specific clinical development or regulatory events with respect to the licensed compound for a particular indication in the United States, the European Union and Japan as follows: (i) up to a total of $200.0 million for the first indication; (ii) up to a total of $149.0 million for the second indication; and (iii) up to a total of $100.0 million for the third indication. 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207"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The Company has concluded that certain research, clinical development and regulatory milestones that may be received under the collaboration agreement with Merck, if the Company is involved in future product research, development and commercialization, are substantive. Factors considered in the evaluation of the milestones included the degree of risk associated with performance of the milestone, the level of effort and investment required, whether the milestone consideration was reasonable relative to the deliverables, whether there are substantive uncertainties at the date the arrangement was entered into that the milestone will be achieved, whether the products and services are priced at a significant and incremental discount, whether the consideration relates solely to past performance and whether the milestone was earned at least in part based on the Company’s performance. Revenues from substantive milestones, if they are non-refundable, are recognized as revenue upon successful accomplishment of the milestones. Research, clinical and regulatory milestones are deemed non-substantive if they are based solely on the collaborator’s performance. Non-substantive milestones will be recognized when achieved to the extent the Company has no</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remaining performance obligations under the arrangement. Milestone payments earned upon achievement of commercial milestone events will be recognized when earned.</w:t>
      </w:r>
    </w:p>
    <w:p>
      <w:pPr>
        <w:spacing w:after="0" w:line="197"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As of December 31, 2017, the Company recorded deferred revenue of $44.1 million, comprised of $41.5 million of upfront payment and $2.6 million relating to advance payments for research and development activities. As of June 30, 2018, the Company recorded deferred revenue of $34.2 million, comprised of $32.1 million of upfront payment and $2.1 million relating to advance payments for research and development activities.</w:t>
      </w:r>
    </w:p>
    <w:p>
      <w:pPr>
        <w:spacing w:after="0" w:line="288" w:lineRule="exact"/>
        <w:rPr>
          <w:sz w:val="20"/>
          <w:szCs w:val="20"/>
          <w:color w:val="auto"/>
        </w:rPr>
      </w:pPr>
    </w:p>
    <w:p>
      <w:pPr>
        <w:jc w:val="center"/>
        <w:ind w:left="200" w:right="7700" w:firstLine="4"/>
        <w:spacing w:after="0" w:line="394" w:lineRule="auto"/>
        <w:tabs>
          <w:tab w:leader="none" w:pos="400"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and Lease Guarantee</w:t>
      </w:r>
    </w:p>
    <w:p>
      <w:pPr>
        <w:spacing w:after="0" w:line="1" w:lineRule="exact"/>
        <w:rPr>
          <w:sz w:val="20"/>
          <w:szCs w:val="20"/>
          <w:color w:val="auto"/>
        </w:rPr>
      </w:pPr>
    </w:p>
    <w:p>
      <w:pPr>
        <w:ind w:left="200" w:right="660" w:firstLine="551"/>
        <w:spacing w:after="0" w:line="234"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3"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provides a tenant improvement allowance of up to $ 15.2 million that the Company used in 2016 towards $22.3 million in total leasehold improvements that are amortized over the lease term of seven years.</w:t>
      </w:r>
    </w:p>
    <w:p>
      <w:pPr>
        <w:spacing w:after="0" w:line="202"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The lease agreement requires a letter of credit in the amount of $2.3 million as a security deposit to the lease, which the Company has recorded as restricted cash. The Company has the right to reduce the letter of credit amount by $0.4 million on each the 3rd anniversary and 4th anniversary of rent commencement date, respectively.</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The Company paid rent on 630 Gateway through October 2016 until it completed the move to its new location.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June 30, 2018 because of the short duration of the remaining lease term through November 2020, and Merck’s credit rating of AA/A1 and subsequent investment in tenant improvements to the facility. As of December 31, 2017 and June 30, 2018, the remaining lease payments due for 630 Gateway were approximately $5.7 million and $4.8 million, respectively.</w:t>
      </w:r>
    </w:p>
    <w:p>
      <w:pPr>
        <w:spacing w:after="0" w:line="207"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$1.1 million and $1.1 million for the six months ended June 30, 2017 and 2018, respectively.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80"/>
          </w:cols>
          <w:pgMar w:left="24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Future minimum payments under the lease obligations described above are as follows as of June 30, 2018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 (six months)</w:t>
            </w:r>
          </w:p>
        </w:tc>
        <w:tc>
          <w:tcPr>
            <w:tcW w:w="4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2,388</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4,849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5,141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5,294</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2023 and thereafter</w:t>
            </w:r>
          </w:p>
        </w:tc>
        <w:tc>
          <w:tcPr>
            <w:tcW w:w="4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28,122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right="8460" w:firstLine="4"/>
        <w:spacing w:after="0" w:line="394" w:lineRule="auto"/>
        <w:tabs>
          <w:tab w:leader="none" w:pos="40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Preferred Stock </w:t>
      </w:r>
      <w:r>
        <w:rPr>
          <w:rFonts w:ascii="Arial" w:cs="Arial" w:eastAsia="Arial" w:hAnsi="Arial"/>
          <w:sz w:val="17"/>
          <w:szCs w:val="17"/>
          <w:b w:val="1"/>
          <w:bCs w:val="1"/>
          <w:i w:val="1"/>
          <w:iCs w:val="1"/>
          <w:color w:val="auto"/>
        </w:rPr>
        <w:t>Convertible Preferred Stock</w:t>
      </w:r>
    </w:p>
    <w:p>
      <w:pPr>
        <w:spacing w:after="0" w:line="1" w:lineRule="exact"/>
        <w:rPr>
          <w:rFonts w:ascii="Arial" w:cs="Arial" w:eastAsia="Arial" w:hAnsi="Arial"/>
          <w:sz w:val="17"/>
          <w:szCs w:val="17"/>
          <w:b w:val="1"/>
          <w:bCs w:val="1"/>
          <w:color w:val="auto"/>
        </w:rPr>
      </w:pP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Convertible preferred stock at December 31, 2017 and June 30, 2018, consisted of the following (in thousands):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vMerge w:val="restart"/>
          </w:tcPr>
          <w:p>
            <w:pPr>
              <w:jc w:val="right"/>
              <w:ind w:right="71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Issuance</w:t>
            </w:r>
          </w:p>
        </w:tc>
        <w:tc>
          <w:tcPr>
            <w:tcW w:w="4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2"/>
            <w:vMerge w:val="continue"/>
          </w:tcPr>
          <w:p>
            <w:pPr>
              <w:spacing w:after="0"/>
              <w:rPr>
                <w:sz w:val="7"/>
                <w:szCs w:val="7"/>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Price per</w:t>
            </w:r>
          </w:p>
        </w:tc>
        <w:tc>
          <w:tcPr>
            <w:tcW w:w="12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Liquidation</w:t>
            </w:r>
          </w:p>
        </w:tc>
        <w:tc>
          <w:tcPr>
            <w:tcW w:w="460" w:type="dxa"/>
            <w:vAlign w:val="bottom"/>
          </w:tcPr>
          <w:p>
            <w:pPr>
              <w:spacing w:after="0"/>
              <w:rPr>
                <w:sz w:val="7"/>
                <w:szCs w:val="7"/>
                <w:color w:val="auto"/>
              </w:rPr>
            </w:pP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b w:val="1"/>
                <w:bCs w:val="1"/>
                <w:color w:val="auto"/>
                <w:w w:val="97"/>
              </w:rPr>
              <w:t>Share</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23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26,589</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26,550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22,156</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22,156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55,389</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55,148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16,656</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16,656</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49,970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11,506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57,530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57,461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2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46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17,667</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4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88,335</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105,916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96,268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94,535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277,774</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right="9040" w:firstLine="4"/>
        <w:spacing w:after="0" w:line="372" w:lineRule="auto"/>
        <w:tabs>
          <w:tab w:leader="none" w:pos="4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Deficit </w:t>
      </w:r>
      <w:r>
        <w:rPr>
          <w:rFonts w:ascii="Arial" w:cs="Arial" w:eastAsia="Arial" w:hAnsi="Arial"/>
          <w:sz w:val="18"/>
          <w:szCs w:val="18"/>
          <w:b w:val="1"/>
          <w:bCs w:val="1"/>
          <w:i w:val="1"/>
          <w:iCs w:val="1"/>
          <w:color w:val="auto"/>
        </w:rPr>
        <w:t>Common Stock</w:t>
      </w:r>
    </w:p>
    <w:p>
      <w:pPr>
        <w:spacing w:after="0" w:line="2"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As of June 30, 2018, the Company had 12,649,712 shares of common stock outstanding, which includes 99,934 shares subject to repurchase as a result of early exercise of stock options not yet vested. As of June 30, 2018, the Company reserved shares of common stock, on an as-if-converted basis, for issuance as follows (in thousands):</w:t>
      </w:r>
    </w:p>
    <w:p>
      <w:pPr>
        <w:sectPr>
          <w:pgSz w:w="11900" w:h="16838" w:orient="portrait"/>
          <w:cols w:equalWidth="0" w:num="1">
            <w:col w:w="11240"/>
          </w:cols>
          <w:pgMar w:left="240" w:top="460" w:right="419" w:bottom="1440" w:gutter="0" w:footer="0" w:header="0"/>
        </w:sect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Conversion of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Common stock options outstanding</w:t>
      </w:r>
    </w:p>
    <w:p>
      <w:pPr>
        <w:ind w:left="200"/>
        <w:spacing w:after="0" w:line="235" w:lineRule="auto"/>
        <w:rPr>
          <w:sz w:val="20"/>
          <w:szCs w:val="20"/>
          <w:color w:val="auto"/>
        </w:rPr>
      </w:pPr>
      <w:r>
        <w:rPr>
          <w:rFonts w:ascii="Arial" w:cs="Arial" w:eastAsia="Arial" w:hAnsi="Arial"/>
          <w:sz w:val="18"/>
          <w:szCs w:val="18"/>
          <w:color w:val="auto"/>
        </w:rPr>
        <w:t>Common stock options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Warrant to purchase convertible preferred stock</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401(k) Matching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94,534,932</w:t>
      </w:r>
    </w:p>
    <w:p>
      <w:pPr>
        <w:jc w:val="right"/>
        <w:ind w:right="80"/>
        <w:spacing w:after="0" w:line="234" w:lineRule="auto"/>
        <w:rPr>
          <w:sz w:val="20"/>
          <w:szCs w:val="20"/>
          <w:color w:val="auto"/>
        </w:rPr>
      </w:pPr>
      <w:r>
        <w:rPr>
          <w:rFonts w:ascii="Arial" w:cs="Arial" w:eastAsia="Arial" w:hAnsi="Arial"/>
          <w:sz w:val="18"/>
          <w:szCs w:val="18"/>
          <w:color w:val="auto"/>
        </w:rPr>
        <w:t>19,398,203</w:t>
      </w:r>
    </w:p>
    <w:p>
      <w:pPr>
        <w:jc w:val="right"/>
        <w:ind w:right="80"/>
        <w:spacing w:after="0" w:line="235" w:lineRule="auto"/>
        <w:rPr>
          <w:sz w:val="20"/>
          <w:szCs w:val="20"/>
          <w:color w:val="auto"/>
        </w:rPr>
      </w:pPr>
      <w:r>
        <w:rPr>
          <w:rFonts w:ascii="Arial" w:cs="Arial" w:eastAsia="Arial" w:hAnsi="Arial"/>
          <w:sz w:val="18"/>
          <w:szCs w:val="18"/>
          <w:color w:val="auto"/>
        </w:rPr>
        <w:t>1,193,038</w:t>
      </w:r>
    </w:p>
    <w:p>
      <w:pPr>
        <w:jc w:val="right"/>
        <w:ind w:right="80"/>
        <w:spacing w:after="0" w:line="235" w:lineRule="auto"/>
        <w:rPr>
          <w:sz w:val="20"/>
          <w:szCs w:val="20"/>
          <w:color w:val="auto"/>
        </w:rPr>
      </w:pPr>
      <w:r>
        <w:rPr>
          <w:rFonts w:ascii="Arial" w:cs="Arial" w:eastAsia="Arial" w:hAnsi="Arial"/>
          <w:sz w:val="18"/>
          <w:szCs w:val="18"/>
          <w:color w:val="auto"/>
        </w:rPr>
        <w:t>39,274</w:t>
      </w:r>
    </w:p>
    <w:p>
      <w:pPr>
        <w:spacing w:after="0" w:line="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73,503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-1905</wp:posOffset>
            </wp:positionV>
            <wp:extent cx="8058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115,238,950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5080</wp:posOffset>
            </wp:positionV>
            <wp:extent cx="8058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22225</wp:posOffset>
            </wp:positionV>
            <wp:extent cx="8058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696" w:lineRule="exact"/>
        <w:rPr>
          <w:sz w:val="20"/>
          <w:szCs w:val="20"/>
          <w:color w:val="auto"/>
        </w:rPr>
      </w:pPr>
    </w:p>
    <w:p>
      <w:pPr>
        <w:sectPr>
          <w:pgSz w:w="11900" w:h="16838" w:orient="portrait"/>
          <w:cols w:equalWidth="0" w:num="2">
            <w:col w:w="9440" w:space="720"/>
            <w:col w:w="1080"/>
          </w:cols>
          <w:pgMar w:left="240" w:top="460" w:right="419" w:bottom="1440" w:gutter="0" w:footer="0" w:header="0"/>
          <w:type w:val="continuous"/>
        </w:sectPr>
      </w:pPr>
    </w:p>
    <w:p>
      <w:pPr>
        <w:ind w:left="200" w:right="260" w:firstLine="551"/>
        <w:spacing w:after="0" w:line="246" w:lineRule="auto"/>
        <w:rPr>
          <w:sz w:val="20"/>
          <w:szCs w:val="20"/>
          <w:color w:val="auto"/>
        </w:rPr>
      </w:pPr>
      <w:r>
        <w:rPr>
          <w:rFonts w:ascii="Arial" w:cs="Arial" w:eastAsia="Arial" w:hAnsi="Arial"/>
          <w:sz w:val="18"/>
          <w:szCs w:val="18"/>
          <w:color w:val="auto"/>
        </w:rPr>
        <w:t>In January 2018, the Company adopted the 2018 Equity Incentive Plan (the 2018 Plan) for eligible employees, officers, directors, advisors and consultants, which provides for the grant of</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240" w:top="460" w:right="419" w:bottom="1440" w:gutter="0" w:footer="0" w:header="0"/>
          <w:type w:val="continuous"/>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incentive and non-statutory stock options, restricted stock awards and stock appreciation rights. The 2018 Plan is the successor to and continuation of the 2008 Equity Inventive Plan (the 2008 Plan). The adoption of the 2018 Plan included the rollover of options available to grant from the 2008 Plan into the 2018 plan.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June 30, 2018, 4,116,604 shares of common stock have been authorized for issuance under the 2018 Plan.</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The Board of Directors determined the fair value of common stock using valuations prepared by an unrelated third-party valuation firm.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Option Activity</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Outstanding Options</w:t>
            </w:r>
          </w:p>
        </w:tc>
        <w:tc>
          <w:tcPr>
            <w:tcW w:w="5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Weighted</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Available</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Contractual Life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for Grant</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Price</w:t>
            </w:r>
          </w:p>
        </w:tc>
        <w:tc>
          <w:tcPr>
            <w:tcW w:w="5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1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1,225,208</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16,709,748</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2.41</w:t>
            </w: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6.79</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Additional options authorized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2,891,396</w:t>
            </w: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(3,323,800)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3,323,800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(235,111)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cancelled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400,234</w:t>
            </w:r>
          </w:p>
        </w:tc>
        <w:tc>
          <w:tcPr>
            <w:tcW w:w="5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(400,234)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1,193,038</w:t>
            </w:r>
          </w:p>
        </w:tc>
        <w:tc>
          <w:tcPr>
            <w:tcW w:w="5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19,398,203</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Vested and expected to vest as of June 30,</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2018</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18,557,344</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1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6.79</w:t>
            </w: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26,347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Outstanding and exercisable as of June 30,</w:t>
            </w: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tcPr>
          <w:p>
            <w:pPr>
              <w:jc w:val="right"/>
              <w:ind w:right="3510"/>
              <w:spacing w:after="0" w:line="203" w:lineRule="exact"/>
              <w:rPr>
                <w:sz w:val="20"/>
                <w:szCs w:val="20"/>
                <w:color w:val="auto"/>
              </w:rPr>
            </w:pPr>
            <w:r>
              <w:rPr>
                <w:rFonts w:ascii="Arial" w:cs="Arial" w:eastAsia="Arial" w:hAnsi="Arial"/>
                <w:sz w:val="18"/>
                <w:szCs w:val="18"/>
                <w:color w:val="auto"/>
              </w:rPr>
              <w:t>2018</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19,398,203</w:t>
            </w:r>
          </w:p>
        </w:tc>
        <w:tc>
          <w:tcPr>
            <w:tcW w:w="320" w:type="dxa"/>
            <w:vAlign w:val="bottom"/>
          </w:tcPr>
          <w:p>
            <w:pPr>
              <w:spacing w:after="0"/>
              <w:rPr>
                <w:sz w:val="17"/>
                <w:szCs w:val="17"/>
                <w:color w:val="auto"/>
              </w:rPr>
            </w:pP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2.70</w:t>
            </w:r>
          </w:p>
        </w:tc>
        <w:tc>
          <w:tcPr>
            <w:tcW w:w="16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6.87</w:t>
            </w: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26,521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40" w:firstLine="551"/>
        <w:spacing w:after="0"/>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2017 and 2018 was $3.85 and $4.07 per share, respectively.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240" w:top="460"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Early Exercise of Stock Options</w:t>
      </w:r>
    </w:p>
    <w:p>
      <w:pPr>
        <w:spacing w:after="0" w:line="122" w:lineRule="exact"/>
        <w:rPr>
          <w:sz w:val="20"/>
          <w:szCs w:val="20"/>
          <w:color w:val="auto"/>
        </w:rPr>
      </w:pPr>
    </w:p>
    <w:p>
      <w:pPr>
        <w:jc w:val="both"/>
        <w:ind w:left="200" w:right="60" w:firstLine="551"/>
        <w:spacing w:after="0" w:line="234" w:lineRule="auto"/>
        <w:rPr>
          <w:sz w:val="20"/>
          <w:szCs w:val="20"/>
          <w:color w:val="auto"/>
        </w:rPr>
      </w:pPr>
      <w:r>
        <w:rPr>
          <w:rFonts w:ascii="Arial" w:cs="Arial" w:eastAsia="Arial" w:hAnsi="Arial"/>
          <w:sz w:val="18"/>
          <w:szCs w:val="18"/>
          <w:color w:val="auto"/>
        </w:rPr>
        <w:t>The 2008 and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w:t>
      </w:r>
    </w:p>
    <w:p>
      <w:pPr>
        <w:spacing w:after="0" w:line="2" w:lineRule="exact"/>
        <w:rPr>
          <w:sz w:val="20"/>
          <w:szCs w:val="20"/>
          <w:color w:val="auto"/>
        </w:rPr>
      </w:pPr>
    </w:p>
    <w:p>
      <w:pPr>
        <w:ind w:left="200" w:right="480"/>
        <w:spacing w:after="0"/>
        <w:rPr>
          <w:sz w:val="20"/>
          <w:szCs w:val="20"/>
          <w:color w:val="auto"/>
        </w:rPr>
      </w:pPr>
      <w:r>
        <w:rPr>
          <w:rFonts w:ascii="Arial" w:cs="Arial" w:eastAsia="Arial" w:hAnsi="Arial"/>
          <w:sz w:val="18"/>
          <w:szCs w:val="18"/>
          <w:color w:val="auto"/>
        </w:rPr>
        <w:t>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At December 31, 2017 and June 30, 2018, there were 227,655 and 99,934 shares of common stock outstanding, respectively, subject to the Company’s right of repurchase at prices ranging from $1.08 to $3.82 per share. At December 31, 2017 and June 30, 2018, the Company recorded $0.4 million and $0.2 million, respectively, as early exercise stock option liabilities associated with shares issued with repurchase rights.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12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Employee and director stock-based compensation expense for the six months ended June 30, 2017 and 2018, was calculated based on awards ultimately expected to vest and has been reduced for estimated forfeitures. The following table summarizes stock-based compensation expense related to stock-based payment awards to employees and directors for the six months ended June 30, 2017 and 2018, which was allocated as follows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80" w:type="dxa"/>
            <w:vAlign w:val="bottom"/>
            <w:tcBorders>
              <w:top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2017</w:t>
            </w:r>
          </w:p>
        </w:tc>
        <w:tc>
          <w:tcPr>
            <w:tcW w:w="9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$2,281</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$2,633</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1,493</w:t>
            </w:r>
          </w:p>
        </w:tc>
        <w:tc>
          <w:tcPr>
            <w:tcW w:w="3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Valuation Assumptions</w:t>
      </w:r>
    </w:p>
    <w:p>
      <w:pPr>
        <w:spacing w:after="0" w:line="122"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2"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fair value of stock option awards granted to employees was estimated at the date of grant using a Black-Scholes option-pricing model with the following weighted-average assumptions: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5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2.59%</w:t>
            </w: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Term of options (in years)</w:t>
            </w:r>
          </w:p>
        </w:tc>
        <w:tc>
          <w:tcPr>
            <w:tcW w:w="5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63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71.59%</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70.81%</w:t>
            </w:r>
          </w:p>
        </w:tc>
      </w:tr>
      <w:tr>
        <w:trPr>
          <w:trHeight w:val="217"/>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Dividends</w:t>
            </w:r>
          </w:p>
        </w:tc>
        <w:tc>
          <w:tcPr>
            <w:tcW w:w="5160" w:type="dxa"/>
            <w:vAlign w:val="bottom"/>
          </w:tcPr>
          <w:p>
            <w:pPr>
              <w:spacing w:after="0"/>
              <w:rPr>
                <w:sz w:val="18"/>
                <w:szCs w:val="18"/>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20" w:type="dxa"/>
            <w:vAlign w:val="bottom"/>
            <w:gridSpan w:val="4"/>
          </w:tcPr>
          <w:p>
            <w:pPr>
              <w:ind w:left="1480"/>
              <w:spacing w:after="0"/>
              <w:rPr>
                <w:sz w:val="20"/>
                <w:szCs w:val="20"/>
                <w:color w:val="auto"/>
              </w:rPr>
            </w:pPr>
            <w:r>
              <w:rPr>
                <w:rFonts w:ascii="Arial" w:cs="Arial" w:eastAsia="Arial" w:hAnsi="Arial"/>
                <w:sz w:val="18"/>
                <w:szCs w:val="18"/>
                <w:color w:val="auto"/>
              </w:rPr>
              <w:t>F-60</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9"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As of June 30, 2018, there was approximately $15.2 million in total unrecognized compensation expense, net of estimated forfeitures, related to unvested options granted to employees and directors under the 2008 Plan and 2018 Plan. The expense is expected to be recognized over a weighted-average period of 2.6 years.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Options Granted to Non-employees</w:t>
      </w:r>
    </w:p>
    <w:p>
      <w:pPr>
        <w:spacing w:after="0" w:line="122"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The following table summarizes stock-based compensation expense related to stock-based payment awards to non-employees for the six months ended June 30, 2017 and 2018, which was allocated as follows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5"/>
          </w:tcPr>
          <w:p>
            <w:pPr>
              <w:ind w:left="24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354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3720" w:type="dxa"/>
            <w:vAlign w:val="bottom"/>
            <w:gridSpan w:val="2"/>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Income Taxes</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On December 22, 2017, the Tax Cuts and Jobs Act of 2017 (“Tax Act”) was signed into law making significant changes to the Internal Revenue Code. Changes include, but are not limited to, a corporate tax rate decrease from 35% to 21% effective for tax years beginning after December 31, 2017, eliminating the corporate alternative minimum tax (AMT) and changing how existing AMT credits can be realized, the transition of U.S. international taxation from a worldwide tax system to a territorial system and a one-time transition tax on the mandatory deemed repatriation of cumulative foreign earnings as of December 31, 2017.</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On December 22, 2017, Staff Accounting Bulletin No. 118 was issued to address the application of U.S. GAAP in situations when a registrant does not have the necessary information available, prepared or analyzed (including computations) in reasonable detail to complete the accounting for certain income tax effects of the Tax Act. For the six months ended June 30, 2018, the Company noted no additional guidance or information that affects the provisional amounts initially recorded at zero for the transition tax, the realization amount of the federal AMT credit carryovers and the remeasurement of the deferred tax assets for the year ended December 31, 2017. As a result, the Company recorded no adjustment to the transition tax, the federal AMT credit carryovers and the remeasurement of the deferred tax assets. The Company will continue to monitor and analyze any additional guidance and information that may be issued by the federal and state tax authorities. Any subsequent adjustment to these amounts will be recorded to current tax expense in the quarter of 2018 when the analysis is complete.</w:t>
      </w:r>
    </w:p>
    <w:p>
      <w:pPr>
        <w:spacing w:after="0" w:line="207"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Company has elected to treat any potential GILTI inclusions as a period cost and therefore has not recorded deferred taxes related to GILTI on its foreign subsidiaries. The final impact may differ from these provisional amounts. The Company expects to finalize the accounting for the impacts of US Tax Reform on GILTI during 2018.</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Subsequent Events</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Company has reviewed and evaluated material subsequent events through the unaudited condensed consolidated financial statements’ issuance date of August 10, 2018. No subsequent events have been identified for disclosure.</w:t>
      </w:r>
    </w:p>
    <w:p>
      <w:pPr>
        <w:spacing w:after="0" w:line="12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940"/>
          </w:cols>
          <w:pgMar w:left="240" w:top="459" w:right="719" w:bottom="1440" w:gutter="0" w:footer="0" w:header="0"/>
        </w:sectPr>
      </w:pPr>
    </w:p>
    <w:bookmarkStart w:id="272" w:name="page273"/>
    <w:bookmarkEnd w:id="2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60" w:right="4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4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1660525</wp:posOffset>
            </wp:positionV>
            <wp:extent cx="10547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3469640</wp:posOffset>
            </wp:positionV>
            <wp:extent cx="10547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1925955</wp:posOffset>
            </wp:positionV>
            <wp:extent cx="2272665" cy="12433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7266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tabs>
          <w:tab w:leader="none" w:pos="6480" w:val="left"/>
          <w:tab w:leader="none" w:pos="102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9"/>
          <w:szCs w:val="29"/>
          <w:b w:val="1"/>
          <w:bCs w:val="1"/>
          <w:color w:val="auto"/>
        </w:rPr>
        <w:t>Citigroup</w:t>
      </w:r>
      <w:r>
        <w:rPr>
          <w:sz w:val="20"/>
          <w:szCs w:val="20"/>
          <w:color w:val="auto"/>
        </w:rPr>
        <w:tab/>
      </w:r>
      <w:r>
        <w:rPr>
          <w:rFonts w:ascii="Arial" w:cs="Arial" w:eastAsia="Arial" w:hAnsi="Arial"/>
          <w:sz w:val="28"/>
          <w:szCs w:val="28"/>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right="40" w:firstLine="551"/>
        <w:spacing w:after="0" w:line="248" w:lineRule="auto"/>
        <w:rPr>
          <w:sz w:val="20"/>
          <w:szCs w:val="20"/>
          <w:color w:val="auto"/>
        </w:rPr>
      </w:pPr>
      <w:r>
        <w:rPr>
          <w:rFonts w:ascii="Arial" w:cs="Arial" w:eastAsia="Arial" w:hAnsi="Arial"/>
          <w:sz w:val="18"/>
          <w:szCs w:val="18"/>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284480</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344805</wp:posOffset>
            </wp:positionV>
            <wp:extent cx="699770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20"/>
          </w:cols>
          <w:pgMar w:left="240" w:top="460" w:right="439" w:bottom="835" w:gutter="0" w:footer="0" w:header="0"/>
          <w:type w:val="continuous"/>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6"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The following table sets forth all expenses, other than the underwriting discounts and commissions, payable by the registrant in connection with the sale of the common stock being registered. All the amounts shown are estimates except the SEC registration fee, the FINRA filing fee and the Nasdaq Global Market listing fees.</w:t>
      </w:r>
    </w:p>
    <w:p>
      <w:pPr>
        <w:sectPr>
          <w:pgSz w:w="11900" w:h="16838" w:orient="portrait"/>
          <w:cols w:equalWidth="0" w:num="1">
            <w:col w:w="11200"/>
          </w:cols>
          <w:pgMar w:left="240" w:top="460" w:right="459" w:bottom="1440" w:gutter="0" w:footer="0" w:header="0"/>
        </w:sect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FINRA filing fee</w:t>
      </w:r>
    </w:p>
    <w:p>
      <w:pPr>
        <w:ind w:left="200"/>
        <w:spacing w:after="0" w:line="235" w:lineRule="auto"/>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Legal fees and expenses</w:t>
      </w:r>
    </w:p>
    <w:p>
      <w:pPr>
        <w:ind w:left="20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Blue sky fees and expenses</w:t>
      </w:r>
    </w:p>
    <w:p>
      <w:pPr>
        <w:ind w:left="200"/>
        <w:spacing w:after="0" w:line="235" w:lineRule="auto"/>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Transfer agent and registrar fees and expenses</w:t>
      </w:r>
    </w:p>
    <w:p>
      <w:pPr>
        <w:ind w:left="20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118110</wp:posOffset>
            </wp:positionV>
            <wp:extent cx="6946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completed by amendment.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14. Indemnification of Officers and Directors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11" w:hanging="511"/>
        <w:spacing w:after="0"/>
        <w:tabs>
          <w:tab w:leader="none" w:pos="5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51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689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 w:lineRule="exact"/>
        <w:rPr>
          <w:sz w:val="20"/>
          <w:szCs w:val="20"/>
          <w:color w:val="auto"/>
        </w:rPr>
      </w:pPr>
    </w:p>
    <w:p>
      <w:pPr>
        <w:ind w:left="511" w:hanging="511"/>
        <w:spacing w:after="0"/>
        <w:tabs>
          <w:tab w:leader="none" w:pos="51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3689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3689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76" w:lineRule="exact"/>
        <w:rPr>
          <w:sz w:val="20"/>
          <w:szCs w:val="20"/>
          <w:color w:val="auto"/>
        </w:rPr>
      </w:pPr>
    </w:p>
    <w:p>
      <w:pPr>
        <w:sectPr>
          <w:pgSz w:w="11900" w:h="16838" w:orient="portrait"/>
          <w:cols w:equalWidth="0" w:num="2">
            <w:col w:w="9869" w:space="720"/>
            <w:col w:w="611"/>
          </w:cols>
          <w:pgMar w:left="240" w:top="460" w:right="459" w:bottom="1440" w:gutter="0" w:footer="0" w:header="0"/>
          <w:type w:val="continuous"/>
        </w:sectPr>
      </w:pPr>
    </w:p>
    <w:p>
      <w:pPr>
        <w:ind w:left="200" w:firstLine="551"/>
        <w:spacing w:after="0" w:line="236" w:lineRule="auto"/>
        <w:rPr>
          <w:sz w:val="20"/>
          <w:szCs w:val="20"/>
          <w:color w:val="auto"/>
        </w:rPr>
      </w:pPr>
      <w:r>
        <w:rPr>
          <w:rFonts w:ascii="Arial" w:cs="Arial" w:eastAsia="Arial" w:hAnsi="Arial"/>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spacing w:after="0" w:line="203"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spacing w:after="0" w:line="203" w:lineRule="exact"/>
        <w:rPr>
          <w:sz w:val="20"/>
          <w:szCs w:val="20"/>
          <w:color w:val="auto"/>
        </w:rPr>
      </w:pPr>
    </w:p>
    <w:p>
      <w:pPr>
        <w:ind w:left="200" w:right="280" w:firstLine="551"/>
        <w:spacing w:after="0" w:line="246" w:lineRule="auto"/>
        <w:rPr>
          <w:sz w:val="20"/>
          <w:szCs w:val="20"/>
          <w:color w:val="auto"/>
        </w:rPr>
      </w:pPr>
      <w:r>
        <w:rPr>
          <w:rFonts w:ascii="Arial" w:cs="Arial" w:eastAsia="Arial" w:hAnsi="Arial"/>
          <w:sz w:val="18"/>
          <w:szCs w:val="18"/>
          <w:color w:val="auto"/>
        </w:rPr>
        <w:t>Section 102(b)(7) of the General Corporation Law of the State of Delaware provides that a corporation may eliminate or limit the personal liability of a director to the corporation or its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60" w:right="459" w:bottom="1440" w:gutter="0" w:footer="0" w:header="0"/>
          <w:type w:val="continuous"/>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spacing w:after="0" w:line="205"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and plan to expand such coverage to include matters arising under the securities laws prior to the completion of this offering.</w:t>
      </w:r>
    </w:p>
    <w:p>
      <w:pPr>
        <w:spacing w:after="0" w:line="202" w:lineRule="exact"/>
        <w:rPr>
          <w:sz w:val="20"/>
          <w:szCs w:val="20"/>
          <w:color w:val="auto"/>
        </w:rPr>
      </w:pPr>
    </w:p>
    <w:p>
      <w:pPr>
        <w:ind w:left="200" w:right="300" w:firstLine="551"/>
        <w:spacing w:after="0" w:line="239" w:lineRule="auto"/>
        <w:rPr>
          <w:sz w:val="20"/>
          <w:szCs w:val="20"/>
          <w:color w:val="auto"/>
        </w:rPr>
      </w:pPr>
      <w:r>
        <w:rPr>
          <w:rFonts w:ascii="Arial" w:cs="Arial" w:eastAsia="Arial" w:hAnsi="Arial"/>
          <w:sz w:val="18"/>
          <w:szCs w:val="18"/>
          <w:color w:val="auto"/>
        </w:rPr>
        <w:t>In addition, the underwriting agreement related to this offering will provide for indemnification by the underwriters of us and our officers and directors for certain liabilities arising under the Securities Act or otherwise. Our amended and restated investors’ rights agreement with certain stockholders also provides for cross-indemnification in connection with the registration of our common stock on behalf of such investors.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list sets forth information regarding all unregistered securities issued by us since January 1, 2015:</w:t>
      </w:r>
    </w:p>
    <w:p>
      <w:pPr>
        <w:spacing w:after="0" w:line="117" w:lineRule="exact"/>
        <w:rPr>
          <w:sz w:val="20"/>
          <w:szCs w:val="20"/>
          <w:color w:val="auto"/>
        </w:rPr>
      </w:pPr>
    </w:p>
    <w:p>
      <w:pPr>
        <w:ind w:left="1280" w:right="200" w:hanging="536"/>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January 1, 2015 to date, we granted to our directors, officers, employees and consultants options to purchase an aggregate of 15,479,704 shares of common stock under our 2008 Equity Incentive Plan and 2018 Equity Incentive Plan at exercise prices ranging from $2.00 to $4.79 per share.</w:t>
      </w:r>
    </w:p>
    <w:p>
      <w:pPr>
        <w:spacing w:after="0" w:line="108" w:lineRule="exact"/>
        <w:rPr>
          <w:rFonts w:ascii="Arial" w:cs="Arial" w:eastAsia="Arial" w:hAnsi="Arial"/>
          <w:sz w:val="18"/>
          <w:szCs w:val="18"/>
          <w:color w:val="auto"/>
        </w:rPr>
      </w:pPr>
    </w:p>
    <w:p>
      <w:pPr>
        <w:jc w:val="both"/>
        <w:ind w:left="1280" w:right="280" w:hanging="536"/>
        <w:spacing w:after="0" w:line="239" w:lineRule="auto"/>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From January 1, 2015 to date, we issued and sold to our directors, officers, employees and consultants an aggregate of 2,171,829 shares of common stock upon the exercise of options under our 2008 Equity Incentive Plan at exercise prices ranging from $0.10 to $3.85 per share, for aggregate consideration of $3.4 million. None of the options granted under the 2018 Equity Incentive Plan have been exercised.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80" w:right="680" w:hanging="536"/>
        <w:spacing w:after="0" w:line="246" w:lineRule="auto"/>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From January 1, 2015 to date, we issued and sold 84,654 shares of our common stock to the trustee under the NGM Biopharmaceuticals Matching Plan for aggregate consideration of $291,102.</w:t>
      </w:r>
    </w:p>
    <w:p>
      <w:pPr>
        <w:spacing w:after="0" w:line="102" w:lineRule="exact"/>
        <w:rPr>
          <w:rFonts w:ascii="Arial" w:cs="Arial" w:eastAsia="Arial" w:hAnsi="Arial"/>
          <w:sz w:val="18"/>
          <w:szCs w:val="18"/>
          <w:color w:val="auto"/>
        </w:rPr>
      </w:pPr>
    </w:p>
    <w:p>
      <w:pPr>
        <w:ind w:left="1280" w:right="320" w:hanging="536"/>
        <w:spacing w:after="0" w:line="246" w:lineRule="auto"/>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February 2015, we issued and sold an aggregate of 7,314,000 shares of our Series D convertible preferred stock to 20 accredited investors at a per share price of $5.00, for aggregate consideration of $36.6 million.</w:t>
      </w:r>
    </w:p>
    <w:p>
      <w:pPr>
        <w:spacing w:after="0" w:line="102" w:lineRule="exact"/>
        <w:rPr>
          <w:rFonts w:ascii="Arial" w:cs="Arial" w:eastAsia="Arial" w:hAnsi="Arial"/>
          <w:sz w:val="18"/>
          <w:szCs w:val="18"/>
          <w:color w:val="auto"/>
        </w:rPr>
      </w:pPr>
    </w:p>
    <w:p>
      <w:pPr>
        <w:ind w:left="1280" w:right="700" w:hanging="536"/>
        <w:spacing w:after="0" w:line="246" w:lineRule="auto"/>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March 2015, we issued and sold an aggregate of 50,000 shares of our Series D convertible preferred stock to one accredited investor at a per share price of $5.00, for aggregate consideration of $250,000.</w:t>
      </w:r>
    </w:p>
    <w:p>
      <w:pPr>
        <w:spacing w:after="0" w:line="102" w:lineRule="exact"/>
        <w:rPr>
          <w:rFonts w:ascii="Arial" w:cs="Arial" w:eastAsia="Arial" w:hAnsi="Arial"/>
          <w:sz w:val="18"/>
          <w:szCs w:val="18"/>
          <w:color w:val="auto"/>
        </w:rPr>
      </w:pPr>
    </w:p>
    <w:p>
      <w:pPr>
        <w:ind w:left="1280" w:right="360" w:hanging="536"/>
        <w:spacing w:after="0" w:line="246" w:lineRule="auto"/>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March 2015, we issued and sold an aggregate of 17,666,666 shares of our Series E convertible preferred stock to one accredited investor at a per share price of $6.00, for aggregate consideration of $106.0 million.</w:t>
      </w:r>
    </w:p>
    <w:p>
      <w:pPr>
        <w:spacing w:after="0" w:line="197"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9820" w:type="dxa"/>
            <w:vAlign w:val="bottom"/>
          </w:tcPr>
          <w:p>
            <w:pPr>
              <w:spacing w:after="0"/>
              <w:rPr>
                <w:sz w:val="14"/>
                <w:szCs w:val="14"/>
                <w:color w:val="auto"/>
              </w:rPr>
            </w:pPr>
          </w:p>
        </w:tc>
      </w:tr>
      <w:tr>
        <w:trPr>
          <w:trHeight w:val="195"/>
        </w:trPr>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16"/>
                <w:szCs w:val="16"/>
                <w:color w:val="auto"/>
              </w:rPr>
            </w:pPr>
          </w:p>
        </w:tc>
        <w:tc>
          <w:tcPr>
            <w:tcW w:w="9820" w:type="dxa"/>
            <w:vAlign w:val="bottom"/>
          </w:tcPr>
          <w:p>
            <w:pPr>
              <w:ind w:left="4160"/>
              <w:spacing w:after="0"/>
              <w:rPr>
                <w:sz w:val="20"/>
                <w:szCs w:val="20"/>
                <w:color w:val="auto"/>
              </w:rPr>
            </w:pPr>
            <w:r>
              <w:rPr>
                <w:rFonts w:ascii="Arial" w:cs="Arial" w:eastAsia="Arial" w:hAnsi="Arial"/>
                <w:sz w:val="14"/>
                <w:szCs w:val="14"/>
                <w:b w:val="1"/>
                <w:bCs w:val="1"/>
                <w:color w:val="auto"/>
              </w:rPr>
              <w:t>Description of exhibit</w:t>
            </w:r>
          </w:p>
        </w:tc>
      </w:tr>
      <w:tr>
        <w:trPr>
          <w:trHeight w:val="204"/>
        </w:trPr>
        <w:tc>
          <w:tcPr>
            <w:tcW w:w="20" w:type="dxa"/>
            <w:vAlign w:val="bottom"/>
          </w:tcPr>
          <w:p>
            <w:pPr>
              <w:spacing w:after="0"/>
              <w:rPr>
                <w:sz w:val="17"/>
                <w:szCs w:val="17"/>
                <w:color w:val="auto"/>
              </w:rPr>
            </w:pPr>
          </w:p>
        </w:tc>
        <w:tc>
          <w:tcPr>
            <w:tcW w:w="540" w:type="dxa"/>
            <w:vAlign w:val="bottom"/>
            <w:tcBorders>
              <w:top w:val="single" w:sz="8" w:color="auto"/>
            </w:tcBorders>
          </w:tcPr>
          <w:p>
            <w:pPr>
              <w:ind w:left="80"/>
              <w:spacing w:after="0" w:line="197"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982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Form of Underwriting Agreement.</w:t>
            </w:r>
          </w:p>
        </w:tc>
      </w:tr>
      <w:tr>
        <w:trPr>
          <w:trHeight w:val="310"/>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Amended and Restated Certificate of Incorporation of NGM Biopharmaceuticals, Inc., as currently in effect.</w:t>
            </w:r>
          </w:p>
        </w:tc>
      </w:tr>
      <w:tr>
        <w:trPr>
          <w:trHeight w:val="296"/>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Form of Amended and Restated Certificate of Incorporation of NGM Biopharmaceuticals, Inc., to be in effect upon</w:t>
            </w: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completion of this offering.</w:t>
            </w:r>
          </w:p>
        </w:tc>
      </w:tr>
      <w:tr>
        <w:trPr>
          <w:trHeight w:val="311"/>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Amended and Restated Bylaws of NGM Biopharmaceuticals, Inc., as currently in effect.</w:t>
            </w:r>
          </w:p>
        </w:tc>
      </w:tr>
      <w:tr>
        <w:trPr>
          <w:trHeight w:val="296"/>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Form of Amended and Restated Bylaws of the NGM Biopharmaceuticals, Inc. to be in effect upon completion of this</w:t>
            </w: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offering.</w:t>
            </w:r>
          </w:p>
        </w:tc>
      </w:tr>
      <w:tr>
        <w:trPr>
          <w:trHeight w:val="296"/>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Amended and Restated Investors’ Rights Agreement among the Registrant and certain of its stockholders, dated</w:t>
            </w: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March 20, 2015.</w:t>
            </w:r>
          </w:p>
        </w:tc>
      </w:tr>
      <w:tr>
        <w:trPr>
          <w:trHeight w:val="311"/>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Form of Common Stock Certificate.</w:t>
            </w:r>
          </w:p>
        </w:tc>
      </w:tr>
      <w:tr>
        <w:trPr>
          <w:trHeight w:val="311"/>
        </w:trPr>
        <w:tc>
          <w:tcPr>
            <w:tcW w:w="5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Opinion of Cooley LLP.</w:t>
            </w:r>
          </w:p>
        </w:tc>
      </w:tr>
      <w:tr>
        <w:trPr>
          <w:trHeight w:val="311"/>
        </w:trPr>
        <w:tc>
          <w:tcPr>
            <w:tcW w:w="560" w:type="dxa"/>
            <w:vAlign w:val="bottom"/>
            <w:gridSpan w:val="2"/>
          </w:tcPr>
          <w:p>
            <w:pPr>
              <w:spacing w:after="0"/>
              <w:rPr>
                <w:sz w:val="20"/>
                <w:szCs w:val="20"/>
                <w:color w:val="auto"/>
              </w:rPr>
            </w:pPr>
            <w:r>
              <w:rPr>
                <w:rFonts w:ascii="Arial" w:cs="Arial" w:eastAsia="Arial" w:hAnsi="Arial"/>
                <w:sz w:val="18"/>
                <w:szCs w:val="18"/>
                <w:color w:val="auto"/>
              </w:rPr>
              <w:t>10.1+</w:t>
            </w:r>
          </w:p>
        </w:tc>
        <w:tc>
          <w:tcPr>
            <w:tcW w:w="10480" w:type="dxa"/>
            <w:vAlign w:val="bottom"/>
            <w:gridSpan w:val="2"/>
          </w:tcPr>
          <w:p>
            <w:pPr>
              <w:ind w:left="660"/>
              <w:spacing w:after="0"/>
              <w:rPr>
                <w:sz w:val="20"/>
                <w:szCs w:val="20"/>
                <w:color w:val="auto"/>
              </w:rPr>
            </w:pPr>
            <w:r>
              <w:rPr>
                <w:rFonts w:ascii="Arial" w:cs="Arial" w:eastAsia="Arial" w:hAnsi="Arial"/>
                <w:sz w:val="18"/>
                <w:szCs w:val="18"/>
                <w:color w:val="auto"/>
              </w:rPr>
              <w:t>2008 Equity Incentive Plan, as amended.</w:t>
            </w:r>
          </w:p>
        </w:tc>
      </w:tr>
      <w:tr>
        <w:trPr>
          <w:trHeight w:val="35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20" w:type="dxa"/>
            <w:vAlign w:val="bottom"/>
          </w:tcPr>
          <w:p>
            <w:pPr>
              <w:ind w:left="41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240"/>
          </w:cols>
          <w:pgMar w:left="240" w:top="460" w:right="4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820" w:type="dxa"/>
            <w:vAlign w:val="bottom"/>
          </w:tcPr>
          <w:p>
            <w:pPr>
              <w:spacing w:after="0"/>
              <w:rPr>
                <w:sz w:val="14"/>
                <w:szCs w:val="14"/>
                <w:color w:val="auto"/>
              </w:rPr>
            </w:pPr>
          </w:p>
        </w:tc>
      </w:tr>
      <w:tr>
        <w:trPr>
          <w:trHeight w:val="182"/>
        </w:trPr>
        <w:tc>
          <w:tcPr>
            <w:tcW w:w="1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9820" w:type="dxa"/>
            <w:vAlign w:val="bottom"/>
            <w:tcBorders>
              <w:bottom w:val="single" w:sz="8" w:color="auto"/>
            </w:tcBorders>
          </w:tcPr>
          <w:p>
            <w:pPr>
              <w:ind w:left="4160"/>
              <w:spacing w:after="0"/>
              <w:rPr>
                <w:sz w:val="20"/>
                <w:szCs w:val="20"/>
                <w:color w:val="auto"/>
              </w:rPr>
            </w:pPr>
            <w:r>
              <w:rPr>
                <w:rFonts w:ascii="Arial" w:cs="Arial" w:eastAsia="Arial" w:hAnsi="Arial"/>
                <w:sz w:val="14"/>
                <w:szCs w:val="14"/>
                <w:b w:val="1"/>
                <w:bCs w:val="1"/>
                <w:color w:val="auto"/>
              </w:rPr>
              <w:t>Description of exhibit</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10.2+</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Form of Stock Option Agreement and Stock Option Grant Notice under the 2008 Equity Incentive Plan.</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10.3*</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Amended and Restated 2018 Equity Incentive Plan, to be in effect upon the completion of this offering.</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Forms of Stock Option Agreement and Notice of Grant of Stock Option under the Amended and Restated 2018 Equity</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Incentive Plan, to be in effect upon the completion of this offering.</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10.5*</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Forms of Restricted Stock Unit Agreement and Notice of Grant of Restricted Stock Unit under the Amended and Restated</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2018 Equity Incentive Plan, to be in effect upon the completion of this offering.</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2018 Employee Stock Purchase Plan, to be in effect upon completion of this offering.</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Form of Indemnification Agreement, by and between NGM Biopharmaceuticals, Inc. and each of its directors and executive</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officers.</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NGM Biopharmaceuticals, Inc. Non-Employee Director Compensation Policy.</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10.9+</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Sublease Agreement, by and between NGM Biopharmaceuticals, Inc. and AMGEN Inc., dated December 11, 2015.</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Executive Employment Agreement, by and between NGM Biopharmaceuticals, Inc. and William J. Rieflin.</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Executive Employment Offer Letter, by and between NGM Biopharmaceuticals, Inc. and Jin-Long Chen, Ph.D.</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Executive Employment Agreement, by and between NGM Biopharmaceuticals, Inc. and Jeffrey Jonker.</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Executive Employment Offer Letter, by and between NGM Biopharmaceuticals, Inc. and Aetna Wun Trombley, Ph.D.</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Executive Employment Agreement, by and between NGM Biopharmaceuticals, Inc. and David Woodhouse, Ph.D.</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r>
              <w:rPr>
                <w:rFonts w:ascii="Arial" w:cs="Arial" w:eastAsia="Arial" w:hAnsi="Arial"/>
                <w:sz w:val="18"/>
                <w:szCs w:val="18"/>
                <w:color w:val="auto"/>
              </w:rPr>
              <w:t>+</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Research Collaboration, Product Development and License Agreement by and between NGM Biopharmaceuticals, Inc.</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and Merck Sharp &amp; Dohme Corp., dated as of February 18, 2015.</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w:t>
            </w:r>
            <w:r>
              <w:rPr>
                <w:rFonts w:ascii="Arial" w:cs="Arial" w:eastAsia="Arial" w:hAnsi="Arial"/>
                <w:sz w:val="18"/>
                <w:szCs w:val="18"/>
                <w:color w:val="auto"/>
              </w:rPr>
              <w:t>+</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First Amendment to Research Collaboration, Product Development and License Agreement by and between NGM</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Biopharmaceuticals, Inc. and Merck Sharp &amp; Dohme Corp., dated as of January 1, 2016.</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Letter Agreement, by and between NGM Biopharmaceuticals, Inc. and Merck Sharp &amp; Dohme Corp., dated as of March 20,</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2015.</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Warrant to Purchase Stock, by and between NGM Biopharmaceuticals, Inc. and Silicon Valley Bank, dated February 3,</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2009.</w:t>
            </w:r>
          </w:p>
        </w:tc>
      </w:tr>
      <w:tr>
        <w:trPr>
          <w:trHeight w:val="296"/>
        </w:trPr>
        <w:tc>
          <w:tcPr>
            <w:tcW w:w="68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w:t>
            </w:r>
            <w:r>
              <w:rPr>
                <w:rFonts w:ascii="Arial" w:cs="Arial" w:eastAsia="Arial" w:hAnsi="Arial"/>
                <w:sz w:val="18"/>
                <w:szCs w:val="18"/>
                <w:color w:val="auto"/>
              </w:rPr>
              <w:t>*</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Multi-Product Licence Agreement by and between NGM Biopharmaceuticals, Inc. and Lonza Sales AG, dated as of</w:t>
            </w:r>
          </w:p>
        </w:tc>
      </w:tr>
      <w:tr>
        <w:trPr>
          <w:trHeight w:val="203"/>
        </w:trPr>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36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October 31, 2014, as amended by Amendment No. 1 on July 28, 2015, Amendment No. 2 on October 7, 2015,</w:t>
            </w:r>
          </w:p>
        </w:tc>
      </w:tr>
      <w:tr>
        <w:trPr>
          <w:trHeight w:val="217"/>
        </w:trPr>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Amendment No. 3 on April 26, 2016, Amendment No. 4 on October 3, 2017 and Amendment No. 5 on March 16, 2018.</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Consent of Cooley LLP (included in Exhibit 5.1).</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Power of Attorney (see page II-6 of this Form S-1).</w:t>
            </w:r>
          </w:p>
        </w:tc>
      </w:tr>
      <w:tr>
        <w:trPr>
          <w:trHeight w:val="35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tcPr>
          <w:p>
            <w:pPr>
              <w:ind w:left="41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ind w:left="200" w:right="8120" w:firstLine="4"/>
        <w:spacing w:after="0" w:line="246" w:lineRule="auto"/>
        <w:tabs>
          <w:tab w:leader="none" w:pos="4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Confidential treatment requested. + Previously filed.</w:t>
      </w:r>
    </w:p>
    <w:p>
      <w:pPr>
        <w:spacing w:after="0" w:line="196" w:lineRule="exact"/>
        <w:rPr>
          <w:rFonts w:ascii="Arial" w:cs="Arial" w:eastAsia="Arial" w:hAnsi="Arial"/>
          <w:sz w:val="18"/>
          <w:szCs w:val="18"/>
          <w:color w:val="auto"/>
        </w:rPr>
      </w:pPr>
    </w:p>
    <w:p>
      <w:pPr>
        <w:ind w:left="760" w:right="7700" w:hanging="5"/>
        <w:spacing w:after="0" w:line="496" w:lineRule="auto"/>
        <w:tabs>
          <w:tab w:leader="none" w:pos="103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by the registrant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80" w:right="40" w:hanging="536"/>
        <w:spacing w:after="0" w:line="239" w:lineRule="auto"/>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7" w:lineRule="exact"/>
        <w:rPr>
          <w:rFonts w:ascii="Arial" w:cs="Arial" w:eastAsia="Arial" w:hAnsi="Arial"/>
          <w:sz w:val="18"/>
          <w:szCs w:val="18"/>
          <w:color w:val="auto"/>
        </w:rPr>
      </w:pPr>
    </w:p>
    <w:p>
      <w:pPr>
        <w:ind w:left="1280" w:right="120" w:hanging="536"/>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60"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w:t>
      </w:r>
    </w:p>
    <w:tbl>
      <w:tblPr>
        <w:tblLayout w:type="fixed"/>
        <w:tblInd w:w="200" w:type="dxa"/>
        <w:tblCellMar>
          <w:top w:w="0" w:type="dxa"/>
          <w:left w:w="0" w:type="dxa"/>
          <w:bottom w:w="0" w:type="dxa"/>
          <w:right w:w="0" w:type="dxa"/>
        </w:tblCellMar>
      </w:tblPr>
      <w:tr>
        <w:trPr>
          <w:trHeight w:val="217"/>
        </w:trPr>
        <w:tc>
          <w:tcPr>
            <w:tcW w:w="9700" w:type="dxa"/>
            <w:vAlign w:val="bottom"/>
          </w:tcPr>
          <w:p>
            <w:pPr>
              <w:spacing w:after="0"/>
              <w:rPr>
                <w:sz w:val="20"/>
                <w:szCs w:val="20"/>
                <w:color w:val="auto"/>
              </w:rPr>
            </w:pPr>
            <w:r>
              <w:rPr>
                <w:rFonts w:ascii="Arial" w:cs="Arial" w:eastAsia="Arial" w:hAnsi="Arial"/>
                <w:sz w:val="18"/>
                <w:szCs w:val="18"/>
                <w:color w:val="auto"/>
              </w:rPr>
              <w:t>on its behalf by the undersigned, thereunto duly authorized, in the city of South San Francisco, State of California, on</w:t>
            </w:r>
          </w:p>
        </w:tc>
        <w:tc>
          <w:tcPr>
            <w:tcW w:w="96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NGM BIOPHARMACEUTICALS, INC.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David J. Woodhouse, Ph.D.</w:t>
      </w:r>
    </w:p>
    <w:p>
      <w:pPr>
        <w:ind w:left="7180"/>
        <w:spacing w:after="0" w:line="234" w:lineRule="auto"/>
        <w:rPr>
          <w:sz w:val="20"/>
          <w:szCs w:val="20"/>
          <w:color w:val="auto"/>
        </w:rPr>
      </w:pPr>
      <w:r>
        <w:rPr>
          <w:rFonts w:ascii="Arial" w:cs="Arial" w:eastAsia="Arial" w:hAnsi="Arial"/>
          <w:sz w:val="18"/>
          <w:szCs w:val="18"/>
          <w:color w:val="auto"/>
        </w:rPr>
        <w:t>Chief Executive Officer and Acting Chief Financial</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and David J. Woodhouse,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07"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20"/>
          </w:cols>
          <w:pgMar w:left="240" w:top="460" w:right="439" w:bottom="1440" w:gutter="0" w:footer="0" w:header="0"/>
        </w:sectPr>
      </w:pPr>
    </w:p>
    <w:p>
      <w:pPr>
        <w:spacing w:after="0" w:line="212" w:lineRule="exact"/>
        <w:rPr>
          <w:sz w:val="20"/>
          <w:szCs w:val="20"/>
          <w:color w:val="auto"/>
        </w:rPr>
      </w:pPr>
    </w:p>
    <w:p>
      <w:pPr>
        <w:jc w:val="center"/>
        <w:ind w:left="82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283210</wp:posOffset>
            </wp:positionV>
            <wp:extent cx="31127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512445</wp:posOffset>
            </wp:positionV>
            <wp:extent cx="31127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William J. Rieflin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272415</wp:posOffset>
            </wp:positionV>
            <wp:extent cx="31127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Jin-Long Chen,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272415</wp:posOffset>
            </wp:positionV>
            <wp:extent cx="31127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David V. Goeddel,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272415</wp:posOffset>
            </wp:positionV>
            <wp:extent cx="31127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Suzanne Sawochka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272415</wp:posOffset>
            </wp:positionV>
            <wp:extent cx="31127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Mark Leschly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Date</w:t>
            </w:r>
          </w:p>
        </w:tc>
        <w:tc>
          <w:tcPr>
            <w:tcW w:w="480" w:type="dxa"/>
            <w:vAlign w:val="bottom"/>
          </w:tcPr>
          <w:p>
            <w:pPr>
              <w:spacing w:after="0"/>
              <w:rPr>
                <w:sz w:val="15"/>
                <w:szCs w:val="15"/>
                <w:color w:val="auto"/>
              </w:rPr>
            </w:pPr>
          </w:p>
        </w:tc>
      </w:tr>
      <w:tr>
        <w:trPr>
          <w:trHeight w:val="393"/>
        </w:trPr>
        <w:tc>
          <w:tcPr>
            <w:tcW w:w="4840" w:type="dxa"/>
            <w:vAlign w:val="bottom"/>
            <w:gridSpan w:val="3"/>
          </w:tcPr>
          <w:p>
            <w:pPr>
              <w:spacing w:after="0"/>
              <w:rPr>
                <w:sz w:val="20"/>
                <w:szCs w:val="20"/>
                <w:color w:val="auto"/>
              </w:rPr>
            </w:pPr>
            <w:r>
              <w:rPr>
                <w:rFonts w:ascii="Arial" w:cs="Arial" w:eastAsia="Arial" w:hAnsi="Arial"/>
                <w:sz w:val="18"/>
                <w:szCs w:val="18"/>
                <w:color w:val="auto"/>
              </w:rPr>
              <w:t>Chief Executive Officer, Acting Chief Financial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03"/>
        </w:trPr>
        <w:tc>
          <w:tcPr>
            <w:tcW w:w="48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 xml:space="preserve">Officer and Director </w:t>
            </w:r>
            <w:r>
              <w:rPr>
                <w:rFonts w:ascii="Arial" w:cs="Arial" w:eastAsia="Arial" w:hAnsi="Arial"/>
                <w:sz w:val="18"/>
                <w:szCs w:val="18"/>
                <w:i w:val="1"/>
                <w:iCs w:val="1"/>
                <w:color w:val="auto"/>
              </w:rPr>
              <w:t>(principle executive</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84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officer, principal financial officer and principal</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5"/>
        </w:trPr>
        <w:tc>
          <w:tcPr>
            <w:tcW w:w="4840" w:type="dxa"/>
            <w:vAlign w:val="bottom"/>
            <w:gridSpan w:val="3"/>
          </w:tcPr>
          <w:p>
            <w:pPr>
              <w:ind w:left="180"/>
              <w:spacing w:after="0"/>
              <w:rPr>
                <w:sz w:val="20"/>
                <w:szCs w:val="20"/>
                <w:color w:val="auto"/>
              </w:rPr>
            </w:pPr>
            <w:r>
              <w:rPr>
                <w:rFonts w:ascii="Arial" w:cs="Arial" w:eastAsia="Arial" w:hAnsi="Arial"/>
                <w:sz w:val="18"/>
                <w:szCs w:val="18"/>
                <w:i w:val="1"/>
                <w:iCs w:val="1"/>
                <w:color w:val="auto"/>
              </w:rPr>
              <w:t>accounting officer)</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9"/>
        </w:trPr>
        <w:tc>
          <w:tcPr>
            <w:tcW w:w="48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648"/>
        </w:trPr>
        <w:tc>
          <w:tcPr>
            <w:tcW w:w="4840" w:type="dxa"/>
            <w:vAlign w:val="bottom"/>
            <w:gridSpan w:val="3"/>
          </w:tcPr>
          <w:p>
            <w:pPr>
              <w:spacing w:after="0"/>
              <w:rPr>
                <w:sz w:val="20"/>
                <w:szCs w:val="20"/>
                <w:color w:val="auto"/>
              </w:rPr>
            </w:pPr>
            <w:r>
              <w:rPr>
                <w:rFonts w:ascii="Arial" w:cs="Arial" w:eastAsia="Arial" w:hAnsi="Arial"/>
                <w:sz w:val="18"/>
                <w:szCs w:val="18"/>
                <w:color w:val="auto"/>
              </w:rPr>
              <w:t>Chief Scientific Officer and 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648"/>
        </w:trPr>
        <w:tc>
          <w:tcPr>
            <w:tcW w:w="48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648"/>
        </w:trPr>
        <w:tc>
          <w:tcPr>
            <w:tcW w:w="48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648"/>
        </w:trPr>
        <w:tc>
          <w:tcPr>
            <w:tcW w:w="48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581"/>
        </w:trPr>
        <w:tc>
          <w:tcPr>
            <w:tcW w:w="4840" w:type="dxa"/>
            <w:vAlign w:val="bottom"/>
            <w:gridSpan w:val="3"/>
          </w:tcPr>
          <w:p>
            <w:pPr>
              <w:ind w:left="360"/>
              <w:spacing w:after="0"/>
              <w:rPr>
                <w:sz w:val="20"/>
                <w:szCs w:val="20"/>
                <w:color w:val="auto"/>
              </w:rPr>
            </w:pPr>
            <w:r>
              <w:rPr>
                <w:rFonts w:ascii="Arial" w:cs="Arial" w:eastAsia="Arial" w:hAnsi="Arial"/>
                <w:sz w:val="18"/>
                <w:szCs w:val="18"/>
                <w:color w:val="auto"/>
              </w:rPr>
              <w:t>II-6</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2">
            <w:col w:w="4500" w:space="720"/>
            <w:col w:w="6000"/>
          </w:cols>
          <w:pgMar w:left="240" w:top="460" w:right="43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120" w:type="dxa"/>
            <w:vAlign w:val="bottom"/>
          </w:tcPr>
          <w:p>
            <w:pPr>
              <w:spacing w:after="0"/>
              <w:rPr>
                <w:sz w:val="15"/>
                <w:szCs w:val="15"/>
                <w:color w:val="auto"/>
              </w:rPr>
            </w:pPr>
          </w:p>
        </w:tc>
        <w:tc>
          <w:tcPr>
            <w:tcW w:w="2140" w:type="dxa"/>
            <w:vAlign w:val="bottom"/>
            <w:gridSpan w:val="2"/>
          </w:tcPr>
          <w:p>
            <w:pPr>
              <w:ind w:left="184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2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2018</w:t>
            </w:r>
          </w:p>
        </w:tc>
      </w:tr>
      <w:tr>
        <w:trPr>
          <w:trHeight w:val="210"/>
        </w:trPr>
        <w:tc>
          <w:tcPr>
            <w:tcW w:w="49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David Schnell, M.D.</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18"/>
        </w:trPr>
        <w:tc>
          <w:tcPr>
            <w:tcW w:w="2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r>
        <w:trPr>
          <w:trHeight w:val="210"/>
        </w:trPr>
        <w:tc>
          <w:tcPr>
            <w:tcW w:w="49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Peter Svennilson</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30"/>
        </w:trPr>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00" w:type="dxa"/>
            <w:vAlign w:val="bottom"/>
            <w:gridSpan w:val="3"/>
          </w:tcPr>
          <w:p>
            <w:pPr>
              <w:jc w:val="right"/>
              <w:spacing w:after="0"/>
              <w:rPr>
                <w:sz w:val="20"/>
                <w:szCs w:val="20"/>
                <w:color w:val="auto"/>
              </w:rPr>
            </w:pPr>
            <w:r>
              <w:rPr>
                <w:rFonts w:ascii="Arial" w:cs="Arial" w:eastAsia="Arial" w:hAnsi="Arial"/>
                <w:sz w:val="18"/>
                <w:szCs w:val="18"/>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wp:posOffset>
            </wp:positionV>
            <wp:extent cx="31127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McHenry T. Tichenor, Jr.</w:t>
      </w:r>
    </w:p>
    <w:p>
      <w:pPr>
        <w:spacing w:after="0" w:line="15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II-7</w:t>
      </w:r>
    </w:p>
    <w:sectPr>
      <w:pgSz w:w="11900" w:h="16838" w:orient="portrait"/>
      <w:cols w:equalWidth="0" w:num="1">
        <w:col w:w="10860"/>
      </w:cols>
      <w:pgMar w:left="240" w:top="46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decimal"/>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1)"/>
      <w:numFmt w:val="decimal"/>
      <w:start w:val="1"/>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1)"/>
      <w:numFmt w:val="decimal"/>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lvl w:ilvl="1">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1"/>
    </w:lvl>
  </w:abstractNum>
  <w:abstractNum w:abstractNumId="71">
    <w:nsid w:val="68EBC550"/>
    <w:multiLevelType w:val="hybridMultilevel"/>
    <w:lvl w:ilvl="0">
      <w:lvlJc w:val="left"/>
      <w:lvlText w:val="(%1)"/>
      <w:numFmt w:val="lowerRoman"/>
      <w:start w:val="1"/>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
      <w:numFmt w:val="bullet"/>
      <w:start w:val="1"/>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
      <w:numFmt w:val="bullet"/>
      <w:start w:val="1"/>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3"/>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
      <w:numFmt w:val="bullet"/>
      <w:start w:val="1"/>
    </w:lvl>
  </w:abstractNum>
  <w:abstractNum w:abstractNumId="84">
    <w:nsid w:val="5FB8370B"/>
    <w:multiLevelType w:val="hybridMultilevel"/>
    <w:lvl w:ilvl="0">
      <w:lvlJc w:val="left"/>
      <w:lvlText w:val="•"/>
      <w:numFmt w:val="bullet"/>
      <w:start w:val="1"/>
    </w:lvl>
  </w:abstractNum>
  <w:abstractNum w:abstractNumId="85">
    <w:nsid w:val="50801EE1"/>
    <w:multiLevelType w:val="hybridMultilevel"/>
    <w:lvl w:ilvl="0">
      <w:lvlJc w:val="left"/>
      <w:lvlText w:val="•"/>
      <w:numFmt w:val="bullet"/>
      <w:start w:val="1"/>
    </w:lvl>
  </w:abstractNum>
  <w:abstractNum w:abstractNumId="86">
    <w:nsid w:val="488AC1A"/>
    <w:multiLevelType w:val="hybridMultilevel"/>
    <w:lvl w:ilvl="0">
      <w:lvlJc w:val="left"/>
      <w:lvlText w:val="$"/>
      <w:numFmt w:val="bullet"/>
      <w:start w:val="1"/>
    </w:lvl>
  </w:abstractNum>
  <w:abstractNum w:abstractNumId="87">
    <w:nsid w:val="5FB8011C"/>
    <w:multiLevelType w:val="hybridMultilevel"/>
    <w:lvl w:ilvl="0">
      <w:lvlJc w:val="left"/>
      <w:lvlText w:val="•"/>
      <w:numFmt w:val="bullet"/>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1."/>
      <w:numFmt w:val="decimal"/>
      <w:start w:val="4"/>
    </w:lvl>
  </w:abstractNum>
  <w:abstractNum w:abstractNumId="91">
    <w:nsid w:val="6A5F7029"/>
    <w:multiLevelType w:val="hybridMultilevel"/>
    <w:lvl w:ilvl="0">
      <w:lvlJc w:val="left"/>
      <w:lvlText w:val="%1."/>
      <w:numFmt w:val="decimal"/>
      <w:start w:val="5"/>
    </w:lvl>
  </w:abstractNum>
  <w:abstractNum w:abstractNumId="92">
    <w:nsid w:val="7D5E18F8"/>
    <w:multiLevelType w:val="hybridMultilevel"/>
    <w:lvl w:ilvl="0">
      <w:lvlJc w:val="left"/>
      <w:lvlText w:val="(%1)"/>
      <w:numFmt w:val="lowerRoman"/>
      <w:start w:val="2"/>
    </w:lvl>
  </w:abstractNum>
  <w:abstractNum w:abstractNumId="93">
    <w:nsid w:val="5F3534A4"/>
    <w:multiLevelType w:val="hybridMultilevel"/>
    <w:lvl w:ilvl="0">
      <w:lvlJc w:val="left"/>
      <w:lvlText w:val="%1."/>
      <w:numFmt w:val="decimal"/>
      <w:start w:val="7"/>
    </w:lvl>
  </w:abstractNum>
  <w:abstractNum w:abstractNumId="94">
    <w:nsid w:val="73A1821B"/>
    <w:multiLevelType w:val="hybridMultilevel"/>
    <w:lvl w:ilvl="0">
      <w:lvlJc w:val="left"/>
      <w:lvlText w:val="%1."/>
      <w:numFmt w:val="decimal"/>
      <w:start w:val="8"/>
    </w:lvl>
  </w:abstractNum>
  <w:abstractNum w:abstractNumId="95">
    <w:nsid w:val="7DE67713"/>
    <w:multiLevelType w:val="hybridMultilevel"/>
    <w:lvl w:ilvl="0">
      <w:lvlJc w:val="left"/>
      <w:lvlText w:val="%1."/>
      <w:numFmt w:val="decimal"/>
      <w:start w:val="10"/>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1."/>
      <w:numFmt w:val="decimal"/>
      <w:start w:val="4"/>
    </w:lvl>
  </w:abstractNum>
  <w:abstractNum w:abstractNumId="98">
    <w:nsid w:val="14FCE74E"/>
    <w:multiLevelType w:val="hybridMultilevel"/>
    <w:lvl w:ilvl="0">
      <w:lvlJc w:val="left"/>
      <w:lvlText w:val="(%1)"/>
      <w:numFmt w:val="lowerRoman"/>
      <w:start w:val="2"/>
    </w:lvl>
  </w:abstractNum>
  <w:abstractNum w:abstractNumId="99">
    <w:nsid w:val="6A3DD3E8"/>
    <w:multiLevelType w:val="hybridMultilevel"/>
    <w:lvl w:ilvl="0">
      <w:lvlJc w:val="left"/>
      <w:lvlText w:val="%1."/>
      <w:numFmt w:val="decimal"/>
      <w:start w:val="5"/>
    </w:lvl>
  </w:abstractNum>
  <w:abstractNum w:abstractNumId="100">
    <w:nsid w:val="71C91298"/>
    <w:multiLevelType w:val="hybridMultilevel"/>
    <w:lvl w:ilvl="0">
      <w:lvlJc w:val="left"/>
      <w:lvlText w:val="%1."/>
      <w:numFmt w:val="decimal"/>
      <w:start w:val="6"/>
    </w:lvl>
  </w:abstractNum>
  <w:abstractNum w:abstractNumId="101">
    <w:nsid w:val="9DAF632"/>
    <w:multiLevelType w:val="hybridMultilevel"/>
    <w:lvl w:ilvl="0">
      <w:lvlJc w:val="left"/>
      <w:lvlText w:val="%1."/>
      <w:numFmt w:val="decimal"/>
      <w:start w:val="7"/>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3"/>
    </w:lvl>
  </w:abstractNum>
  <w:abstractNum w:abstractNumId="106">
    <w:nsid w:val="59ADEA3D"/>
    <w:multiLevelType w:val="hybridMultilevel"/>
    <w:lvl w:ilvl="0">
      <w:lvlJc w:val="left"/>
      <w:lvlText w:val="†"/>
      <w:numFmt w:val="bullet"/>
      <w:start w:val="1"/>
    </w:lvl>
    <w:lvl w:ilvl="1">
      <w:lvlJc w:val="left"/>
      <w:lvlText w:val="(%2)"/>
      <w:numFmt w:val="lowerLetter"/>
      <w:start w:val="2"/>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2019-12-07T12:10:58Z</dcterms:created>
  <dcterms:modified xsi:type="dcterms:W3CDTF">2019-12-07T12:10:58Z</dcterms:modified>
</cp:coreProperties>
</file>