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872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6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Ho Carole</w:t>
              </w:r>
            </w:hyperlink>
          </w:p>
        </w:tc>
        <w:tc>
          <w:tcPr>
            <w:tcW w:w="1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NGM BIOPHARMACEUTICALS INC </w:t>
              </w:r>
            </w:hyperlink>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14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30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0"/>
                <w:szCs w:val="20"/>
                <w:color w:val="000000"/>
              </w:rPr>
              <w:t>]</w:t>
            </w:r>
          </w:p>
        </w:tc>
        <w:tc>
          <w:tcPr>
            <w:tcW w:w="46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60" w:type="dxa"/>
            <w:vAlign w:val="bottom"/>
            <w:tcBorders>
              <w:top w:val="single" w:sz="8" w:color="0000EE"/>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00" w:type="dxa"/>
            <w:vAlign w:val="bottom"/>
            <w:tcBorders>
              <w:top w:val="single" w:sz="8" w:color="0000EE"/>
            </w:tcBorders>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6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400" w:type="dxa"/>
            <w:vAlign w:val="bottom"/>
          </w:tcPr>
          <w:p>
            <w:pPr>
              <w:ind w:left="18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330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6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NGM BIOPHARMACEUTICALS, INC.</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333 OYSTER POINT BOULEVARD</w:t>
            </w:r>
          </w:p>
        </w:tc>
        <w:tc>
          <w:tcPr>
            <w:tcW w:w="34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05/18/2022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6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1" w:lineRule="exact"/>
        <w:rPr>
          <w:sz w:val="20"/>
          <w:szCs w:val="20"/>
          <w:color w:val="auto"/>
        </w:rPr>
      </w:pPr>
    </w:p>
    <w:p>
      <w:pPr>
        <w:sectPr>
          <w:pgSz w:w="11900" w:h="16838" w:orient="portrait"/>
          <w:cols w:equalWidth="0" w:num="2">
            <w:col w:w="7680" w:space="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680" w:type="dxa"/>
            <w:vAlign w:val="bottom"/>
            <w:gridSpan w:val="8"/>
            <w:vMerge w:val="restart"/>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80" w:type="dxa"/>
            <w:vAlign w:val="bottom"/>
            <w:gridSpan w:val="8"/>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40" w:type="dxa"/>
            <w:vAlign w:val="bottom"/>
            <w:gridSpan w:val="10"/>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line="194" w:lineRule="exact"/>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13.35</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05/18/2022</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24,222</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05/17/2032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24,222</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24,222</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60" w:firstLine="2"/>
        <w:spacing w:after="0" w:line="291"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stock option shall vest in four (4) approximately equal quarterly installments, such that the option shall be fully vested on the earlier of (i) the one-year anniversary of the date of grant and (ii) the day prior to the Issuer's next annual stockholder meeting, subject to the Reporting Person's Continuous Service (as defined in the Amended and Restated 2018 Equity Incentive Plan) on each applicable vesting date.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2"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Valerie Pierce,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05/20/2022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24605"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2022-05-20T17:24:16Z</dcterms:created>
  <dcterms:modified xsi:type="dcterms:W3CDTF">2022-05-20T17:24:16Z</dcterms:modified>
</cp:coreProperties>
</file>