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SCHEDULE 13G</w:t>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nder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3) *</w:t>
      </w:r>
    </w:p>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(Name of Issuer)</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(CUSIP Number)</w:t>
      </w:r>
    </w:p>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121" w:lineRule="exact"/>
        <w:rPr>
          <w:sz w:val="24"/>
          <w:szCs w:val="24"/>
          <w:color w:val="auto"/>
        </w:rPr>
      </w:pPr>
    </w:p>
    <w:p>
      <w:pPr>
        <w:ind w:left="1180" w:hanging="524"/>
        <w:spacing w:after="0"/>
        <w:tabs>
          <w:tab w:leader="none" w:pos="118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121" w:lineRule="exact"/>
        <w:rPr>
          <w:rFonts w:ascii="MS PGothic" w:cs="MS PGothic" w:eastAsia="MS PGothic" w:hAnsi="MS PGothic"/>
          <w:sz w:val="20"/>
          <w:szCs w:val="20"/>
          <w:color w:val="auto"/>
        </w:rPr>
      </w:pPr>
    </w:p>
    <w:p>
      <w:pPr>
        <w:ind w:left="1180" w:hanging="524"/>
        <w:spacing w:after="0"/>
        <w:tabs>
          <w:tab w:leader="none" w:pos="118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13d-1(c)</w:t>
      </w:r>
    </w:p>
    <w:p>
      <w:pPr>
        <w:spacing w:after="0" w:line="89" w:lineRule="exact"/>
        <w:rPr>
          <w:rFonts w:ascii="MS PGothic" w:cs="MS PGothic" w:eastAsia="MS PGothic" w:hAnsi="MS PGothic"/>
          <w:sz w:val="20"/>
          <w:szCs w:val="20"/>
          <w:color w:val="auto"/>
        </w:rPr>
      </w:pPr>
    </w:p>
    <w:p>
      <w:pPr>
        <w:ind w:left="660"/>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Rule 13d-1(d)</w:t>
      </w:r>
    </w:p>
    <w:p>
      <w:pPr>
        <w:spacing w:after="0" w:line="134" w:lineRule="exact"/>
        <w:rPr>
          <w:rFonts w:ascii="MS PGothic" w:cs="MS PGothic" w:eastAsia="MS PGothic" w:hAnsi="MS PGothic"/>
          <w:sz w:val="20"/>
          <w:szCs w:val="20"/>
          <w:color w:val="auto"/>
        </w:rPr>
      </w:pPr>
    </w:p>
    <w:p>
      <w:pPr>
        <w:ind w:right="60"/>
        <w:spacing w:after="0" w:line="244" w:lineRule="auto"/>
        <w:rPr>
          <w:rFonts w:ascii="MS PGothic" w:cs="MS PGothic" w:eastAsia="MS PGothic" w:hAnsi="MS PGothic"/>
          <w:sz w:val="20"/>
          <w:szCs w:val="20"/>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334"/>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2220" w:type="dxa"/>
            <w:vAlign w:val="bottom"/>
          </w:tcPr>
          <w:p>
            <w:pPr>
              <w:ind w:left="1760"/>
              <w:spacing w:after="0"/>
              <w:rPr>
                <w:sz w:val="20"/>
                <w:szCs w:val="20"/>
                <w:color w:val="auto"/>
              </w:rPr>
            </w:pPr>
            <w:r>
              <w:rPr>
                <w:rFonts w:ascii="Times New Roman" w:cs="Times New Roman" w:eastAsia="Times New Roman" w:hAnsi="Times New Roman"/>
                <w:sz w:val="25"/>
                <w:szCs w:val="25"/>
                <w:b w:val="1"/>
                <w:bCs w:val="1"/>
                <w:color w:val="auto"/>
                <w:w w:val="98"/>
              </w:rPr>
              <w:t>13G</w:t>
            </w:r>
          </w:p>
        </w:tc>
      </w:tr>
    </w:tbl>
    <w:p>
      <w:pPr>
        <w:spacing w:after="0" w:line="153" w:lineRule="exact"/>
        <w:rPr>
          <w:sz w:val="20"/>
          <w:szCs w:val="20"/>
          <w:color w:val="auto"/>
        </w:rPr>
      </w:pPr>
    </w:p>
    <w:p>
      <w:pPr>
        <w:ind w:left="800" w:hanging="695"/>
        <w:spacing w:after="0"/>
        <w:tabs>
          <w:tab w:leader="none" w:pos="8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Rho Ventures V, L.P.</w:t>
      </w:r>
    </w:p>
    <w:p>
      <w:pPr>
        <w:spacing w:after="0" w:line="6" w:lineRule="exact"/>
        <w:rPr>
          <w:rFonts w:ascii="Times New Roman" w:cs="Times New Roman" w:eastAsia="Times New Roman" w:hAnsi="Times New Roman"/>
          <w:sz w:val="22"/>
          <w:szCs w:val="22"/>
          <w:color w:val="auto"/>
        </w:rPr>
      </w:pPr>
    </w:p>
    <w:p>
      <w:pPr>
        <w:ind w:left="800" w:hanging="695"/>
        <w:spacing w:after="0"/>
        <w:tabs>
          <w:tab w:leader="none" w:pos="8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192" w:lineRule="exact"/>
        <w:rPr>
          <w:rFonts w:ascii="Times New Roman" w:cs="Times New Roman" w:eastAsia="Times New Roman" w:hAnsi="Times New Roman"/>
          <w:sz w:val="22"/>
          <w:szCs w:val="22"/>
          <w:color w:val="auto"/>
        </w:rPr>
      </w:pPr>
    </w:p>
    <w:p>
      <w:pPr>
        <w:ind w:left="1200" w:hanging="406"/>
        <w:spacing w:after="0" w:line="253" w:lineRule="exact"/>
        <w:tabs>
          <w:tab w:leader="none" w:pos="1200" w:val="left"/>
        </w:tabs>
        <w:numPr>
          <w:ilvl w:val="1"/>
          <w:numId w:val="2"/>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48" w:lineRule="exact"/>
        <w:rPr>
          <w:rFonts w:ascii="Times New Roman" w:cs="Times New Roman" w:eastAsia="Times New Roman" w:hAnsi="Times New Roman"/>
          <w:sz w:val="22"/>
          <w:szCs w:val="22"/>
          <w:color w:val="auto"/>
        </w:rPr>
      </w:pPr>
    </w:p>
    <w:p>
      <w:pPr>
        <w:ind w:left="1220" w:hanging="426"/>
        <w:spacing w:after="0" w:line="253" w:lineRule="exact"/>
        <w:tabs>
          <w:tab w:leader="none" w:pos="1220" w:val="left"/>
        </w:tabs>
        <w:numPr>
          <w:ilvl w:val="1"/>
          <w:numId w:val="2"/>
        </w:numPr>
        <w:rPr>
          <w:rFonts w:ascii="Times New Roman" w:cs="Times New Roman" w:eastAsia="Times New Roman" w:hAnsi="Times New Roman"/>
          <w:sz w:val="22"/>
          <w:szCs w:val="22"/>
          <w:b w:val="1"/>
          <w:bCs w:val="1"/>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(1)</w:t>
      </w:r>
    </w:p>
    <w:p>
      <w:pPr>
        <w:spacing w:after="0" w:line="3" w:lineRule="exact"/>
        <w:rPr>
          <w:rFonts w:ascii="Times New Roman" w:cs="Times New Roman" w:eastAsia="Times New Roman" w:hAnsi="Times New Roman"/>
          <w:sz w:val="22"/>
          <w:szCs w:val="22"/>
          <w:b w:val="1"/>
          <w:bCs w:val="1"/>
          <w:color w:val="auto"/>
        </w:rPr>
      </w:pPr>
    </w:p>
    <w:p>
      <w:pPr>
        <w:ind w:left="800" w:hanging="695"/>
        <w:spacing w:after="0"/>
        <w:tabs>
          <w:tab w:leader="none" w:pos="8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3" w:lineRule="exact"/>
        <w:rPr>
          <w:rFonts w:ascii="Times New Roman" w:cs="Times New Roman" w:eastAsia="Times New Roman" w:hAnsi="Times New Roman"/>
          <w:sz w:val="22"/>
          <w:szCs w:val="22"/>
          <w:color w:val="auto"/>
        </w:rPr>
      </w:pPr>
    </w:p>
    <w:p>
      <w:pPr>
        <w:ind w:left="800" w:hanging="695"/>
        <w:spacing w:after="0" w:line="233" w:lineRule="auto"/>
        <w:tabs>
          <w:tab w:leader="none" w:pos="8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063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063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Number of</w:t>
            </w:r>
          </w:p>
        </w:tc>
        <w:tc>
          <w:tcPr>
            <w:tcW w:w="400" w:type="dxa"/>
            <w:vAlign w:val="bottom"/>
            <w:tcBorders>
              <w:top w:val="single" w:sz="8" w:color="auto"/>
            </w:tcBorders>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5.</w:t>
            </w:r>
          </w:p>
        </w:tc>
        <w:tc>
          <w:tcPr>
            <w:tcW w:w="8580" w:type="dxa"/>
            <w:vAlign w:val="bottom"/>
            <w:tcBorders>
              <w:top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62"/>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Shares</w:t>
            </w: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w:t>
            </w:r>
          </w:p>
        </w:tc>
        <w:tc>
          <w:tcPr>
            <w:tcW w:w="0" w:type="dxa"/>
            <w:vAlign w:val="bottom"/>
          </w:tcPr>
          <w:p>
            <w:pPr>
              <w:spacing w:after="0"/>
              <w:rPr>
                <w:sz w:val="1"/>
                <w:szCs w:val="1"/>
                <w:color w:val="auto"/>
              </w:rPr>
            </w:pPr>
          </w:p>
        </w:tc>
      </w:tr>
      <w:tr>
        <w:trPr>
          <w:trHeight w:val="116"/>
        </w:trPr>
        <w:tc>
          <w:tcPr>
            <w:tcW w:w="2160" w:type="dxa"/>
            <w:vAlign w:val="bottom"/>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Beneficially</w:t>
            </w:r>
          </w:p>
        </w:tc>
        <w:tc>
          <w:tcPr>
            <w:tcW w:w="400" w:type="dxa"/>
            <w:vAlign w:val="bottom"/>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6.</w:t>
            </w:r>
          </w:p>
        </w:tc>
        <w:tc>
          <w:tcPr>
            <w:tcW w:w="858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5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Owned by</w:t>
            </w:r>
          </w:p>
        </w:tc>
        <w:tc>
          <w:tcPr>
            <w:tcW w:w="400" w:type="dxa"/>
            <w:vAlign w:val="bottom"/>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160" w:type="dxa"/>
            <w:vAlign w:val="bottom"/>
            <w:vMerge w:val="continue"/>
          </w:tcPr>
          <w:p>
            <w:pPr>
              <w:spacing w:after="0"/>
              <w:rPr>
                <w:sz w:val="6"/>
                <w:szCs w:val="6"/>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7.</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7"/>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Each</w:t>
            </w:r>
          </w:p>
        </w:tc>
        <w:tc>
          <w:tcPr>
            <w:tcW w:w="400" w:type="dxa"/>
            <w:vAlign w:val="bottom"/>
            <w:vMerge w:val="continue"/>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1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60" w:type="dxa"/>
            <w:vAlign w:val="bottom"/>
            <w:vMerge w:val="continue"/>
          </w:tcPr>
          <w:p>
            <w:pPr>
              <w:spacing w:after="0"/>
              <w:rPr>
                <w:sz w:val="13"/>
                <w:szCs w:val="13"/>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8.</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56"/>
        </w:trPr>
        <w:tc>
          <w:tcPr>
            <w:tcW w:w="21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Person With:</w:t>
            </w:r>
          </w:p>
        </w:tc>
        <w:tc>
          <w:tcPr>
            <w:tcW w:w="400" w:type="dxa"/>
            <w:vAlign w:val="bottom"/>
          </w:tcPr>
          <w:p>
            <w:pPr>
              <w:spacing w:after="0"/>
              <w:rPr>
                <w:sz w:val="24"/>
                <w:szCs w:val="24"/>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800" w:hanging="695"/>
        <w:spacing w:after="0"/>
        <w:tabs>
          <w:tab w:leader="none" w:pos="8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100"/>
        <w:spacing w:after="0" w:line="239" w:lineRule="exact"/>
        <w:tabs>
          <w:tab w:leader="none" w:pos="780" w:val="left"/>
          <w:tab w:leader="none" w:pos="104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27" w:lineRule="exact"/>
        <w:rPr>
          <w:sz w:val="20"/>
          <w:szCs w:val="20"/>
          <w:color w:val="auto"/>
        </w:rPr>
      </w:pPr>
    </w:p>
    <w:p>
      <w:pPr>
        <w:ind w:left="800" w:hanging="695"/>
        <w:spacing w:after="0"/>
        <w:tabs>
          <w:tab w:leader="none" w:pos="8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(2)</w:t>
      </w:r>
    </w:p>
    <w:p>
      <w:pPr>
        <w:spacing w:after="0" w:line="6" w:lineRule="exact"/>
        <w:rPr>
          <w:rFonts w:ascii="Times New Roman" w:cs="Times New Roman" w:eastAsia="Times New Roman" w:hAnsi="Times New Roman"/>
          <w:sz w:val="22"/>
          <w:szCs w:val="22"/>
          <w:color w:val="auto"/>
        </w:rPr>
      </w:pPr>
    </w:p>
    <w:p>
      <w:pPr>
        <w:ind w:left="800" w:hanging="695"/>
        <w:spacing w:after="0" w:line="234" w:lineRule="auto"/>
        <w:tabs>
          <w:tab w:leader="none" w:pos="8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PN</w:t>
      </w:r>
    </w:p>
    <w:p>
      <w:pPr>
        <w:spacing w:after="0" w:line="200" w:lineRule="exact"/>
        <w:rPr>
          <w:rFonts w:ascii="Times New Roman" w:cs="Times New Roman" w:eastAsia="Times New Roman" w:hAnsi="Times New Roman"/>
          <w:sz w:val="22"/>
          <w:szCs w:val="22"/>
          <w:color w:val="auto"/>
        </w:rPr>
      </w:pPr>
    </w:p>
    <w:p>
      <w:pPr>
        <w:spacing w:after="0" w:line="283" w:lineRule="exact"/>
        <w:rPr>
          <w:rFonts w:ascii="Times New Roman" w:cs="Times New Roman" w:eastAsia="Times New Roman" w:hAnsi="Times New Roman"/>
          <w:sz w:val="22"/>
          <w:szCs w:val="22"/>
          <w:color w:val="auto"/>
        </w:rPr>
      </w:pPr>
    </w:p>
    <w:p>
      <w:pPr>
        <w:jc w:val="both"/>
        <w:ind w:left="660" w:hanging="247"/>
        <w:spacing w:after="0" w:line="229" w:lineRule="auto"/>
        <w:tabs>
          <w:tab w:leader="none" w:pos="66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3 to the statement on Schedule 13G is filed by Rho Ventures V, L.P. (“RV V”), Rho Ventures V Affiliates, L.L.C. (“RV V Affiliates”), Rho Capital Partners LLC (“RCP”), RMV V, L.L.C. (“RMV V”), Joshua Ruch (“Ruch”), Habib Kairouz (“Kairouz”) and Mark Leschly (“Leschly,” together with RV V, RV V Affiliates, RCP, RMV V, Ruch and Kairouz, collectively, the “Reporting Persons”). The Reporting Persons expressly disclaim status as a “group” for purposes of this Schedule 13G.</w:t>
      </w:r>
    </w:p>
    <w:p>
      <w:pPr>
        <w:ind w:left="660" w:hanging="247"/>
        <w:spacing w:after="0" w:line="239" w:lineRule="auto"/>
        <w:tabs>
          <w:tab w:leader="none" w:pos="66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set forth on the cover sheets are calculated based on 81,726,113 shares of Common Stock reported to be outstanding as of October 31, 2022 as set forth in the Issuer’s Form 10-Q for the period ended September 30, 2022 as filed with the Securities and Exchange Commission (“SEC”)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-807085</wp:posOffset>
            </wp:positionV>
            <wp:extent cx="7063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-1124585</wp:posOffset>
            </wp:positionV>
            <wp:extent cx="70637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-1433195</wp:posOffset>
            </wp:positionV>
            <wp:extent cx="70637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-532765</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 w:name="page3"/>
    <w:bookmarkEnd w:id="2"/>
    <w:tbl>
      <w:tblPr>
        <w:tblLayout w:type="fixed"/>
        <w:tblInd w:w="220" w:type="dxa"/>
        <w:tblCellMar>
          <w:top w:w="0" w:type="dxa"/>
          <w:left w:w="0" w:type="dxa"/>
          <w:bottom w:w="0" w:type="dxa"/>
          <w:right w:w="0" w:type="dxa"/>
        </w:tblCellMar>
      </w:tblPr>
      <w:tr>
        <w:trPr>
          <w:trHeight w:val="334"/>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2220" w:type="dxa"/>
            <w:vAlign w:val="bottom"/>
          </w:tcPr>
          <w:p>
            <w:pPr>
              <w:ind w:left="1760"/>
              <w:spacing w:after="0"/>
              <w:rPr>
                <w:sz w:val="20"/>
                <w:szCs w:val="20"/>
                <w:color w:val="auto"/>
              </w:rPr>
            </w:pPr>
            <w:r>
              <w:rPr>
                <w:rFonts w:ascii="Times New Roman" w:cs="Times New Roman" w:eastAsia="Times New Roman" w:hAnsi="Times New Roman"/>
                <w:sz w:val="25"/>
                <w:szCs w:val="25"/>
                <w:b w:val="1"/>
                <w:bCs w:val="1"/>
                <w:color w:val="auto"/>
                <w:w w:val="98"/>
              </w:rPr>
              <w:t>13G</w:t>
            </w:r>
          </w:p>
        </w:tc>
      </w:tr>
    </w:tbl>
    <w:p>
      <w:pPr>
        <w:spacing w:after="0" w:line="153" w:lineRule="exact"/>
        <w:rPr>
          <w:sz w:val="20"/>
          <w:szCs w:val="20"/>
          <w:color w:val="auto"/>
        </w:rPr>
      </w:pPr>
    </w:p>
    <w:p>
      <w:pPr>
        <w:ind w:left="800" w:hanging="695"/>
        <w:spacing w:after="0"/>
        <w:tabs>
          <w:tab w:leader="none" w:pos="8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Rho Ventures V Affiliates, L.L.C.</w:t>
      </w:r>
    </w:p>
    <w:p>
      <w:pPr>
        <w:spacing w:after="0" w:line="6" w:lineRule="exact"/>
        <w:rPr>
          <w:rFonts w:ascii="Times New Roman" w:cs="Times New Roman" w:eastAsia="Times New Roman" w:hAnsi="Times New Roman"/>
          <w:sz w:val="22"/>
          <w:szCs w:val="22"/>
          <w:color w:val="auto"/>
        </w:rPr>
      </w:pPr>
    </w:p>
    <w:p>
      <w:pPr>
        <w:ind w:left="800" w:hanging="695"/>
        <w:spacing w:after="0"/>
        <w:tabs>
          <w:tab w:leader="none" w:pos="8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192" w:lineRule="exact"/>
        <w:rPr>
          <w:rFonts w:ascii="Times New Roman" w:cs="Times New Roman" w:eastAsia="Times New Roman" w:hAnsi="Times New Roman"/>
          <w:sz w:val="22"/>
          <w:szCs w:val="22"/>
          <w:color w:val="auto"/>
        </w:rPr>
      </w:pPr>
    </w:p>
    <w:p>
      <w:pPr>
        <w:ind w:left="1200" w:hanging="406"/>
        <w:spacing w:after="0" w:line="253" w:lineRule="exact"/>
        <w:tabs>
          <w:tab w:leader="none" w:pos="1200" w:val="left"/>
        </w:tabs>
        <w:numPr>
          <w:ilvl w:val="1"/>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48" w:lineRule="exact"/>
        <w:rPr>
          <w:rFonts w:ascii="Times New Roman" w:cs="Times New Roman" w:eastAsia="Times New Roman" w:hAnsi="Times New Roman"/>
          <w:sz w:val="22"/>
          <w:szCs w:val="22"/>
          <w:color w:val="auto"/>
        </w:rPr>
      </w:pPr>
    </w:p>
    <w:p>
      <w:pPr>
        <w:ind w:left="1220" w:hanging="426"/>
        <w:spacing w:after="0" w:line="253" w:lineRule="exact"/>
        <w:tabs>
          <w:tab w:leader="none" w:pos="1220" w:val="left"/>
        </w:tabs>
        <w:numPr>
          <w:ilvl w:val="1"/>
          <w:numId w:val="5"/>
        </w:numPr>
        <w:rPr>
          <w:rFonts w:ascii="Times New Roman" w:cs="Times New Roman" w:eastAsia="Times New Roman" w:hAnsi="Times New Roman"/>
          <w:sz w:val="22"/>
          <w:szCs w:val="22"/>
          <w:b w:val="1"/>
          <w:bCs w:val="1"/>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(1)</w:t>
      </w:r>
    </w:p>
    <w:p>
      <w:pPr>
        <w:spacing w:after="0" w:line="3" w:lineRule="exact"/>
        <w:rPr>
          <w:rFonts w:ascii="Times New Roman" w:cs="Times New Roman" w:eastAsia="Times New Roman" w:hAnsi="Times New Roman"/>
          <w:sz w:val="22"/>
          <w:szCs w:val="22"/>
          <w:b w:val="1"/>
          <w:bCs w:val="1"/>
          <w:color w:val="auto"/>
        </w:rPr>
      </w:pPr>
    </w:p>
    <w:p>
      <w:pPr>
        <w:ind w:left="800" w:hanging="695"/>
        <w:spacing w:after="0"/>
        <w:tabs>
          <w:tab w:leader="none" w:pos="8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3" w:lineRule="exact"/>
        <w:rPr>
          <w:rFonts w:ascii="Times New Roman" w:cs="Times New Roman" w:eastAsia="Times New Roman" w:hAnsi="Times New Roman"/>
          <w:sz w:val="22"/>
          <w:szCs w:val="22"/>
          <w:color w:val="auto"/>
        </w:rPr>
      </w:pPr>
    </w:p>
    <w:p>
      <w:pPr>
        <w:ind w:left="800" w:hanging="695"/>
        <w:spacing w:after="0" w:line="233" w:lineRule="auto"/>
        <w:tabs>
          <w:tab w:leader="none" w:pos="8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0637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0637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Number of</w:t>
            </w:r>
          </w:p>
        </w:tc>
        <w:tc>
          <w:tcPr>
            <w:tcW w:w="400" w:type="dxa"/>
            <w:vAlign w:val="bottom"/>
            <w:tcBorders>
              <w:top w:val="single" w:sz="8" w:color="auto"/>
            </w:tcBorders>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5.</w:t>
            </w:r>
          </w:p>
        </w:tc>
        <w:tc>
          <w:tcPr>
            <w:tcW w:w="8580" w:type="dxa"/>
            <w:vAlign w:val="bottom"/>
            <w:tcBorders>
              <w:top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62"/>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Shares</w:t>
            </w: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w:t>
            </w:r>
          </w:p>
        </w:tc>
        <w:tc>
          <w:tcPr>
            <w:tcW w:w="0" w:type="dxa"/>
            <w:vAlign w:val="bottom"/>
          </w:tcPr>
          <w:p>
            <w:pPr>
              <w:spacing w:after="0"/>
              <w:rPr>
                <w:sz w:val="1"/>
                <w:szCs w:val="1"/>
                <w:color w:val="auto"/>
              </w:rPr>
            </w:pPr>
          </w:p>
        </w:tc>
      </w:tr>
      <w:tr>
        <w:trPr>
          <w:trHeight w:val="116"/>
        </w:trPr>
        <w:tc>
          <w:tcPr>
            <w:tcW w:w="2160" w:type="dxa"/>
            <w:vAlign w:val="bottom"/>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Beneficially</w:t>
            </w:r>
          </w:p>
        </w:tc>
        <w:tc>
          <w:tcPr>
            <w:tcW w:w="400" w:type="dxa"/>
            <w:vAlign w:val="bottom"/>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6.</w:t>
            </w:r>
          </w:p>
        </w:tc>
        <w:tc>
          <w:tcPr>
            <w:tcW w:w="858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5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Owned by</w:t>
            </w:r>
          </w:p>
        </w:tc>
        <w:tc>
          <w:tcPr>
            <w:tcW w:w="400" w:type="dxa"/>
            <w:vAlign w:val="bottom"/>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160" w:type="dxa"/>
            <w:vAlign w:val="bottom"/>
            <w:vMerge w:val="continue"/>
          </w:tcPr>
          <w:p>
            <w:pPr>
              <w:spacing w:after="0"/>
              <w:rPr>
                <w:sz w:val="6"/>
                <w:szCs w:val="6"/>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7.</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7"/>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Each</w:t>
            </w:r>
          </w:p>
        </w:tc>
        <w:tc>
          <w:tcPr>
            <w:tcW w:w="400" w:type="dxa"/>
            <w:vAlign w:val="bottom"/>
            <w:vMerge w:val="continue"/>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1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60" w:type="dxa"/>
            <w:vAlign w:val="bottom"/>
            <w:vMerge w:val="continue"/>
          </w:tcPr>
          <w:p>
            <w:pPr>
              <w:spacing w:after="0"/>
              <w:rPr>
                <w:sz w:val="13"/>
                <w:szCs w:val="13"/>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8.</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56"/>
        </w:trPr>
        <w:tc>
          <w:tcPr>
            <w:tcW w:w="21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Person With:</w:t>
            </w:r>
          </w:p>
        </w:tc>
        <w:tc>
          <w:tcPr>
            <w:tcW w:w="400" w:type="dxa"/>
            <w:vAlign w:val="bottom"/>
          </w:tcPr>
          <w:p>
            <w:pPr>
              <w:spacing w:after="0"/>
              <w:rPr>
                <w:sz w:val="24"/>
                <w:szCs w:val="24"/>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800" w:hanging="695"/>
        <w:spacing w:after="0"/>
        <w:tabs>
          <w:tab w:leader="none" w:pos="8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100"/>
        <w:spacing w:after="0" w:line="239" w:lineRule="exact"/>
        <w:tabs>
          <w:tab w:leader="none" w:pos="780" w:val="left"/>
          <w:tab w:leader="none" w:pos="104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27" w:lineRule="exact"/>
        <w:rPr>
          <w:sz w:val="20"/>
          <w:szCs w:val="20"/>
          <w:color w:val="auto"/>
        </w:rPr>
      </w:pPr>
    </w:p>
    <w:p>
      <w:pPr>
        <w:ind w:left="800" w:hanging="695"/>
        <w:spacing w:after="0"/>
        <w:tabs>
          <w:tab w:leader="none" w:pos="8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(2)</w:t>
      </w:r>
    </w:p>
    <w:p>
      <w:pPr>
        <w:spacing w:after="0" w:line="6" w:lineRule="exact"/>
        <w:rPr>
          <w:rFonts w:ascii="Times New Roman" w:cs="Times New Roman" w:eastAsia="Times New Roman" w:hAnsi="Times New Roman"/>
          <w:sz w:val="22"/>
          <w:szCs w:val="22"/>
          <w:color w:val="auto"/>
        </w:rPr>
      </w:pPr>
    </w:p>
    <w:p>
      <w:pPr>
        <w:ind w:left="800" w:hanging="695"/>
        <w:spacing w:after="0" w:line="234" w:lineRule="auto"/>
        <w:tabs>
          <w:tab w:leader="none" w:pos="8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2" w:lineRule="exact"/>
        <w:rPr>
          <w:rFonts w:ascii="Times New Roman" w:cs="Times New Roman" w:eastAsia="Times New Roman" w:hAnsi="Times New Roman"/>
          <w:sz w:val="22"/>
          <w:szCs w:val="22"/>
          <w:color w:val="auto"/>
        </w:rPr>
      </w:pPr>
    </w:p>
    <w:p>
      <w:pPr>
        <w:ind w:left="660" w:hanging="247"/>
        <w:spacing w:after="0" w:line="233" w:lineRule="auto"/>
        <w:tabs>
          <w:tab w:leader="none" w:pos="66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3 to the statement on Schedule 13G is filed by the Reporting Persons. The Reporting Persons expressly disclaim status as a “group” for purposes of this Schedule 13G.</w:t>
      </w:r>
    </w:p>
    <w:p>
      <w:pPr>
        <w:ind w:left="660" w:hanging="247"/>
        <w:spacing w:after="0" w:line="239" w:lineRule="auto"/>
        <w:tabs>
          <w:tab w:leader="none" w:pos="66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set forth on the cover sheets are calculated based on 81,726,113 shares of Common Stock reported to be outstanding as of October 31, 2022 as set forth in the Issuer’s Form 10-Q for the period ended September 30, 2022 as filed with the Securities and Exchange Commission (“SEC”)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-807085</wp:posOffset>
            </wp:positionV>
            <wp:extent cx="70637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-1124585</wp:posOffset>
            </wp:positionV>
            <wp:extent cx="70637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-1433195</wp:posOffset>
            </wp:positionV>
            <wp:extent cx="7063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 w:name="page4"/>
    <w:bookmarkEnd w:id="3"/>
    <w:tbl>
      <w:tblPr>
        <w:tblLayout w:type="fixed"/>
        <w:tblInd w:w="220" w:type="dxa"/>
        <w:tblCellMar>
          <w:top w:w="0" w:type="dxa"/>
          <w:left w:w="0" w:type="dxa"/>
          <w:bottom w:w="0" w:type="dxa"/>
          <w:right w:w="0" w:type="dxa"/>
        </w:tblCellMar>
      </w:tblPr>
      <w:tr>
        <w:trPr>
          <w:trHeight w:val="33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2200" w:type="dxa"/>
            <w:vAlign w:val="bottom"/>
          </w:tcPr>
          <w:p>
            <w:pPr>
              <w:ind w:left="1740"/>
              <w:spacing w:after="0"/>
              <w:rPr>
                <w:sz w:val="20"/>
                <w:szCs w:val="20"/>
                <w:color w:val="auto"/>
              </w:rPr>
            </w:pPr>
            <w:r>
              <w:rPr>
                <w:rFonts w:ascii="Times New Roman" w:cs="Times New Roman" w:eastAsia="Times New Roman" w:hAnsi="Times New Roman"/>
                <w:sz w:val="25"/>
                <w:szCs w:val="25"/>
                <w:b w:val="1"/>
                <w:bCs w:val="1"/>
                <w:color w:val="auto"/>
                <w:w w:val="98"/>
              </w:rPr>
              <w:t>13G</w:t>
            </w:r>
          </w:p>
        </w:tc>
      </w:tr>
    </w:tbl>
    <w:p>
      <w:pPr>
        <w:spacing w:after="0" w:line="153" w:lineRule="exact"/>
        <w:rPr>
          <w:sz w:val="20"/>
          <w:szCs w:val="20"/>
          <w:color w:val="auto"/>
        </w:rPr>
      </w:pPr>
    </w:p>
    <w:p>
      <w:pPr>
        <w:ind w:left="800" w:hanging="695"/>
        <w:spacing w:after="0"/>
        <w:tabs>
          <w:tab w:leader="none" w:pos="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Rho Capital Partners LLC</w:t>
      </w:r>
    </w:p>
    <w:p>
      <w:pPr>
        <w:spacing w:after="0" w:line="6" w:lineRule="exact"/>
        <w:rPr>
          <w:rFonts w:ascii="Times New Roman" w:cs="Times New Roman" w:eastAsia="Times New Roman" w:hAnsi="Times New Roman"/>
          <w:sz w:val="22"/>
          <w:szCs w:val="22"/>
          <w:color w:val="auto"/>
        </w:rPr>
      </w:pPr>
    </w:p>
    <w:p>
      <w:pPr>
        <w:ind w:left="800" w:hanging="695"/>
        <w:spacing w:after="0"/>
        <w:tabs>
          <w:tab w:leader="none" w:pos="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192" w:lineRule="exact"/>
        <w:rPr>
          <w:rFonts w:ascii="Times New Roman" w:cs="Times New Roman" w:eastAsia="Times New Roman" w:hAnsi="Times New Roman"/>
          <w:sz w:val="22"/>
          <w:szCs w:val="22"/>
          <w:color w:val="auto"/>
        </w:rPr>
      </w:pPr>
    </w:p>
    <w:p>
      <w:pPr>
        <w:ind w:left="1200" w:hanging="406"/>
        <w:spacing w:after="0" w:line="253" w:lineRule="exact"/>
        <w:tabs>
          <w:tab w:leader="none" w:pos="1200" w:val="left"/>
        </w:tabs>
        <w:numPr>
          <w:ilvl w:val="1"/>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48" w:lineRule="exact"/>
        <w:rPr>
          <w:rFonts w:ascii="Times New Roman" w:cs="Times New Roman" w:eastAsia="Times New Roman" w:hAnsi="Times New Roman"/>
          <w:sz w:val="22"/>
          <w:szCs w:val="22"/>
          <w:color w:val="auto"/>
        </w:rPr>
      </w:pPr>
    </w:p>
    <w:p>
      <w:pPr>
        <w:ind w:left="1160" w:hanging="366"/>
        <w:spacing w:after="0" w:line="253" w:lineRule="exact"/>
        <w:tabs>
          <w:tab w:leader="none" w:pos="1160" w:val="left"/>
        </w:tabs>
        <w:numPr>
          <w:ilvl w:val="1"/>
          <w:numId w:val="8"/>
        </w:numPr>
        <w:rPr>
          <w:rFonts w:ascii="Times New Roman" w:cs="Times New Roman" w:eastAsia="Times New Roman" w:hAnsi="Times New Roman"/>
          <w:sz w:val="22"/>
          <w:szCs w:val="22"/>
          <w:b w:val="1"/>
          <w:bCs w:val="1"/>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(1)</w:t>
      </w:r>
    </w:p>
    <w:p>
      <w:pPr>
        <w:spacing w:after="0" w:line="3" w:lineRule="exact"/>
        <w:rPr>
          <w:rFonts w:ascii="Times New Roman" w:cs="Times New Roman" w:eastAsia="Times New Roman" w:hAnsi="Times New Roman"/>
          <w:sz w:val="22"/>
          <w:szCs w:val="22"/>
          <w:b w:val="1"/>
          <w:bCs w:val="1"/>
          <w:color w:val="auto"/>
        </w:rPr>
      </w:pPr>
    </w:p>
    <w:p>
      <w:pPr>
        <w:ind w:left="800" w:hanging="695"/>
        <w:spacing w:after="0"/>
        <w:tabs>
          <w:tab w:leader="none" w:pos="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3" w:lineRule="exact"/>
        <w:rPr>
          <w:rFonts w:ascii="Times New Roman" w:cs="Times New Roman" w:eastAsia="Times New Roman" w:hAnsi="Times New Roman"/>
          <w:sz w:val="22"/>
          <w:szCs w:val="22"/>
          <w:color w:val="auto"/>
        </w:rPr>
      </w:pPr>
    </w:p>
    <w:p>
      <w:pPr>
        <w:ind w:left="800" w:hanging="695"/>
        <w:spacing w:after="0" w:line="233" w:lineRule="auto"/>
        <w:tabs>
          <w:tab w:leader="none" w:pos="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0637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0637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Number of</w:t>
            </w:r>
          </w:p>
        </w:tc>
        <w:tc>
          <w:tcPr>
            <w:tcW w:w="400" w:type="dxa"/>
            <w:vAlign w:val="bottom"/>
            <w:tcBorders>
              <w:top w:val="single" w:sz="8" w:color="auto"/>
            </w:tcBorders>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5.</w:t>
            </w:r>
          </w:p>
        </w:tc>
        <w:tc>
          <w:tcPr>
            <w:tcW w:w="8580" w:type="dxa"/>
            <w:vAlign w:val="bottom"/>
            <w:tcBorders>
              <w:top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62"/>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Shares</w:t>
            </w: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w:t>
            </w:r>
          </w:p>
        </w:tc>
        <w:tc>
          <w:tcPr>
            <w:tcW w:w="0" w:type="dxa"/>
            <w:vAlign w:val="bottom"/>
          </w:tcPr>
          <w:p>
            <w:pPr>
              <w:spacing w:after="0"/>
              <w:rPr>
                <w:sz w:val="1"/>
                <w:szCs w:val="1"/>
                <w:color w:val="auto"/>
              </w:rPr>
            </w:pPr>
          </w:p>
        </w:tc>
      </w:tr>
      <w:tr>
        <w:trPr>
          <w:trHeight w:val="116"/>
        </w:trPr>
        <w:tc>
          <w:tcPr>
            <w:tcW w:w="2160" w:type="dxa"/>
            <w:vAlign w:val="bottom"/>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Beneficially</w:t>
            </w:r>
          </w:p>
        </w:tc>
        <w:tc>
          <w:tcPr>
            <w:tcW w:w="400" w:type="dxa"/>
            <w:vAlign w:val="bottom"/>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6.</w:t>
            </w:r>
          </w:p>
        </w:tc>
        <w:tc>
          <w:tcPr>
            <w:tcW w:w="858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5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Owned by</w:t>
            </w:r>
          </w:p>
        </w:tc>
        <w:tc>
          <w:tcPr>
            <w:tcW w:w="400" w:type="dxa"/>
            <w:vAlign w:val="bottom"/>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160" w:type="dxa"/>
            <w:vAlign w:val="bottom"/>
            <w:vMerge w:val="continue"/>
          </w:tcPr>
          <w:p>
            <w:pPr>
              <w:spacing w:after="0"/>
              <w:rPr>
                <w:sz w:val="6"/>
                <w:szCs w:val="6"/>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7.</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7"/>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Each</w:t>
            </w:r>
          </w:p>
        </w:tc>
        <w:tc>
          <w:tcPr>
            <w:tcW w:w="400" w:type="dxa"/>
            <w:vAlign w:val="bottom"/>
            <w:vMerge w:val="continue"/>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1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60" w:type="dxa"/>
            <w:vAlign w:val="bottom"/>
            <w:vMerge w:val="continue"/>
          </w:tcPr>
          <w:p>
            <w:pPr>
              <w:spacing w:after="0"/>
              <w:rPr>
                <w:sz w:val="13"/>
                <w:szCs w:val="13"/>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8.</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56"/>
        </w:trPr>
        <w:tc>
          <w:tcPr>
            <w:tcW w:w="21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Person With:</w:t>
            </w:r>
          </w:p>
        </w:tc>
        <w:tc>
          <w:tcPr>
            <w:tcW w:w="400" w:type="dxa"/>
            <w:vAlign w:val="bottom"/>
          </w:tcPr>
          <w:p>
            <w:pPr>
              <w:spacing w:after="0"/>
              <w:rPr>
                <w:sz w:val="24"/>
                <w:szCs w:val="24"/>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800" w:hanging="695"/>
        <w:spacing w:after="0"/>
        <w:tabs>
          <w:tab w:leader="none" w:pos="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100"/>
        <w:spacing w:after="0" w:line="239" w:lineRule="exact"/>
        <w:tabs>
          <w:tab w:leader="none" w:pos="780" w:val="left"/>
          <w:tab w:leader="none" w:pos="104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27" w:lineRule="exact"/>
        <w:rPr>
          <w:sz w:val="20"/>
          <w:szCs w:val="20"/>
          <w:color w:val="auto"/>
        </w:rPr>
      </w:pPr>
    </w:p>
    <w:p>
      <w:pPr>
        <w:ind w:left="800" w:hanging="695"/>
        <w:spacing w:after="0"/>
        <w:tabs>
          <w:tab w:leader="none" w:pos="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(2)</w:t>
      </w:r>
    </w:p>
    <w:p>
      <w:pPr>
        <w:spacing w:after="0" w:line="6" w:lineRule="exact"/>
        <w:rPr>
          <w:rFonts w:ascii="Times New Roman" w:cs="Times New Roman" w:eastAsia="Times New Roman" w:hAnsi="Times New Roman"/>
          <w:sz w:val="22"/>
          <w:szCs w:val="22"/>
          <w:color w:val="auto"/>
        </w:rPr>
      </w:pPr>
    </w:p>
    <w:p>
      <w:pPr>
        <w:ind w:left="800" w:hanging="695"/>
        <w:spacing w:after="0" w:line="234" w:lineRule="auto"/>
        <w:tabs>
          <w:tab w:leader="none" w:pos="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5" w:lineRule="exact"/>
        <w:rPr>
          <w:rFonts w:ascii="Times New Roman" w:cs="Times New Roman" w:eastAsia="Times New Roman" w:hAnsi="Times New Roman"/>
          <w:sz w:val="22"/>
          <w:szCs w:val="22"/>
          <w:color w:val="auto"/>
        </w:rPr>
      </w:pPr>
    </w:p>
    <w:p>
      <w:pPr>
        <w:ind w:left="660" w:hanging="247"/>
        <w:spacing w:after="0" w:line="233" w:lineRule="auto"/>
        <w:tabs>
          <w:tab w:leader="none" w:pos="6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3 to the statement on Schedule 13G is filed by the Reporting Persons. The Reporting Persons expressly disclaim status as a “group” for purposes of this Schedule 13G.</w:t>
      </w:r>
    </w:p>
    <w:p>
      <w:pPr>
        <w:ind w:left="660" w:hanging="247"/>
        <w:spacing w:after="0" w:line="239" w:lineRule="auto"/>
        <w:tabs>
          <w:tab w:leader="none" w:pos="6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set forth on the cover sheets are calculated based on 81,726,113 shares of Common Stock reported to be outstanding as of October 31, 2022 as set forth in the Issuer’s Form 10-Q for the period ended September 30, 2022 as filed with the Securities and Exchange Commission (“SEC”)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-789940</wp:posOffset>
            </wp:positionV>
            <wp:extent cx="7063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-1107440</wp:posOffset>
            </wp:positionV>
            <wp:extent cx="70637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-1416050</wp:posOffset>
            </wp:positionV>
            <wp:extent cx="70637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4" w:name="page5"/>
    <w:bookmarkEnd w:id="4"/>
    <w:tbl>
      <w:tblPr>
        <w:tblLayout w:type="fixed"/>
        <w:tblInd w:w="220" w:type="dxa"/>
        <w:tblCellMar>
          <w:top w:w="0" w:type="dxa"/>
          <w:left w:w="0" w:type="dxa"/>
          <w:bottom w:w="0" w:type="dxa"/>
          <w:right w:w="0" w:type="dxa"/>
        </w:tblCellMar>
      </w:tblPr>
      <w:tr>
        <w:trPr>
          <w:trHeight w:val="334"/>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2220" w:type="dxa"/>
            <w:vAlign w:val="bottom"/>
          </w:tcPr>
          <w:p>
            <w:pPr>
              <w:ind w:left="1760"/>
              <w:spacing w:after="0"/>
              <w:rPr>
                <w:sz w:val="20"/>
                <w:szCs w:val="20"/>
                <w:color w:val="auto"/>
              </w:rPr>
            </w:pPr>
            <w:r>
              <w:rPr>
                <w:rFonts w:ascii="Times New Roman" w:cs="Times New Roman" w:eastAsia="Times New Roman" w:hAnsi="Times New Roman"/>
                <w:sz w:val="25"/>
                <w:szCs w:val="25"/>
                <w:b w:val="1"/>
                <w:bCs w:val="1"/>
                <w:color w:val="auto"/>
                <w:w w:val="98"/>
              </w:rPr>
              <w:t>13G</w:t>
            </w:r>
          </w:p>
        </w:tc>
      </w:tr>
    </w:tbl>
    <w:p>
      <w:pPr>
        <w:spacing w:after="0" w:line="153" w:lineRule="exact"/>
        <w:rPr>
          <w:sz w:val="20"/>
          <w:szCs w:val="20"/>
          <w:color w:val="auto"/>
        </w:rPr>
      </w:pPr>
    </w:p>
    <w:p>
      <w:pPr>
        <w:ind w:left="800" w:hanging="695"/>
        <w:spacing w:after="0"/>
        <w:tabs>
          <w:tab w:leader="none" w:pos="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RMV V, L.L.C.</w:t>
      </w:r>
    </w:p>
    <w:p>
      <w:pPr>
        <w:spacing w:after="0" w:line="6" w:lineRule="exact"/>
        <w:rPr>
          <w:rFonts w:ascii="Times New Roman" w:cs="Times New Roman" w:eastAsia="Times New Roman" w:hAnsi="Times New Roman"/>
          <w:sz w:val="22"/>
          <w:szCs w:val="22"/>
          <w:color w:val="auto"/>
        </w:rPr>
      </w:pPr>
    </w:p>
    <w:p>
      <w:pPr>
        <w:ind w:left="800" w:hanging="695"/>
        <w:spacing w:after="0"/>
        <w:tabs>
          <w:tab w:leader="none" w:pos="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192" w:lineRule="exact"/>
        <w:rPr>
          <w:rFonts w:ascii="Times New Roman" w:cs="Times New Roman" w:eastAsia="Times New Roman" w:hAnsi="Times New Roman"/>
          <w:sz w:val="22"/>
          <w:szCs w:val="22"/>
          <w:color w:val="auto"/>
        </w:rPr>
      </w:pPr>
    </w:p>
    <w:p>
      <w:pPr>
        <w:ind w:left="1200" w:hanging="406"/>
        <w:spacing w:after="0" w:line="253" w:lineRule="exact"/>
        <w:tabs>
          <w:tab w:leader="none" w:pos="1200" w:val="left"/>
        </w:tabs>
        <w:numPr>
          <w:ilvl w:val="1"/>
          <w:numId w:val="11"/>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48" w:lineRule="exact"/>
        <w:rPr>
          <w:rFonts w:ascii="Times New Roman" w:cs="Times New Roman" w:eastAsia="Times New Roman" w:hAnsi="Times New Roman"/>
          <w:sz w:val="22"/>
          <w:szCs w:val="22"/>
          <w:color w:val="auto"/>
        </w:rPr>
      </w:pPr>
    </w:p>
    <w:p>
      <w:pPr>
        <w:ind w:left="1220" w:hanging="426"/>
        <w:spacing w:after="0" w:line="253" w:lineRule="exact"/>
        <w:tabs>
          <w:tab w:leader="none" w:pos="1220" w:val="left"/>
        </w:tabs>
        <w:numPr>
          <w:ilvl w:val="1"/>
          <w:numId w:val="11"/>
        </w:numPr>
        <w:rPr>
          <w:rFonts w:ascii="Times New Roman" w:cs="Times New Roman" w:eastAsia="Times New Roman" w:hAnsi="Times New Roman"/>
          <w:sz w:val="22"/>
          <w:szCs w:val="22"/>
          <w:b w:val="1"/>
          <w:bCs w:val="1"/>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(1)</w:t>
      </w:r>
    </w:p>
    <w:p>
      <w:pPr>
        <w:spacing w:after="0" w:line="3" w:lineRule="exact"/>
        <w:rPr>
          <w:rFonts w:ascii="Times New Roman" w:cs="Times New Roman" w:eastAsia="Times New Roman" w:hAnsi="Times New Roman"/>
          <w:sz w:val="22"/>
          <w:szCs w:val="22"/>
          <w:b w:val="1"/>
          <w:bCs w:val="1"/>
          <w:color w:val="auto"/>
        </w:rPr>
      </w:pPr>
    </w:p>
    <w:p>
      <w:pPr>
        <w:ind w:left="800" w:hanging="695"/>
        <w:spacing w:after="0"/>
        <w:tabs>
          <w:tab w:leader="none" w:pos="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3" w:lineRule="exact"/>
        <w:rPr>
          <w:rFonts w:ascii="Times New Roman" w:cs="Times New Roman" w:eastAsia="Times New Roman" w:hAnsi="Times New Roman"/>
          <w:sz w:val="22"/>
          <w:szCs w:val="22"/>
          <w:color w:val="auto"/>
        </w:rPr>
      </w:pPr>
    </w:p>
    <w:p>
      <w:pPr>
        <w:ind w:left="800" w:hanging="695"/>
        <w:spacing w:after="0" w:line="233" w:lineRule="auto"/>
        <w:tabs>
          <w:tab w:leader="none" w:pos="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0637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063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Number of</w:t>
            </w:r>
          </w:p>
        </w:tc>
        <w:tc>
          <w:tcPr>
            <w:tcW w:w="400" w:type="dxa"/>
            <w:vAlign w:val="bottom"/>
            <w:tcBorders>
              <w:top w:val="single" w:sz="8" w:color="auto"/>
            </w:tcBorders>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5.</w:t>
            </w:r>
          </w:p>
        </w:tc>
        <w:tc>
          <w:tcPr>
            <w:tcW w:w="8580" w:type="dxa"/>
            <w:vAlign w:val="bottom"/>
            <w:tcBorders>
              <w:top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62"/>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Shares</w:t>
            </w: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w:t>
            </w:r>
          </w:p>
        </w:tc>
        <w:tc>
          <w:tcPr>
            <w:tcW w:w="0" w:type="dxa"/>
            <w:vAlign w:val="bottom"/>
          </w:tcPr>
          <w:p>
            <w:pPr>
              <w:spacing w:after="0"/>
              <w:rPr>
                <w:sz w:val="1"/>
                <w:szCs w:val="1"/>
                <w:color w:val="auto"/>
              </w:rPr>
            </w:pPr>
          </w:p>
        </w:tc>
      </w:tr>
      <w:tr>
        <w:trPr>
          <w:trHeight w:val="116"/>
        </w:trPr>
        <w:tc>
          <w:tcPr>
            <w:tcW w:w="2160" w:type="dxa"/>
            <w:vAlign w:val="bottom"/>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Beneficially</w:t>
            </w:r>
          </w:p>
        </w:tc>
        <w:tc>
          <w:tcPr>
            <w:tcW w:w="400" w:type="dxa"/>
            <w:vAlign w:val="bottom"/>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6.</w:t>
            </w:r>
          </w:p>
        </w:tc>
        <w:tc>
          <w:tcPr>
            <w:tcW w:w="858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5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Owned by</w:t>
            </w:r>
          </w:p>
        </w:tc>
        <w:tc>
          <w:tcPr>
            <w:tcW w:w="400" w:type="dxa"/>
            <w:vAlign w:val="bottom"/>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160" w:type="dxa"/>
            <w:vAlign w:val="bottom"/>
            <w:vMerge w:val="continue"/>
          </w:tcPr>
          <w:p>
            <w:pPr>
              <w:spacing w:after="0"/>
              <w:rPr>
                <w:sz w:val="6"/>
                <w:szCs w:val="6"/>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7.</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7"/>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Each</w:t>
            </w:r>
          </w:p>
        </w:tc>
        <w:tc>
          <w:tcPr>
            <w:tcW w:w="400" w:type="dxa"/>
            <w:vAlign w:val="bottom"/>
            <w:vMerge w:val="continue"/>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1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60" w:type="dxa"/>
            <w:vAlign w:val="bottom"/>
            <w:vMerge w:val="continue"/>
          </w:tcPr>
          <w:p>
            <w:pPr>
              <w:spacing w:after="0"/>
              <w:rPr>
                <w:sz w:val="13"/>
                <w:szCs w:val="13"/>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8.</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56"/>
        </w:trPr>
        <w:tc>
          <w:tcPr>
            <w:tcW w:w="21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Person With:</w:t>
            </w:r>
          </w:p>
        </w:tc>
        <w:tc>
          <w:tcPr>
            <w:tcW w:w="400" w:type="dxa"/>
            <w:vAlign w:val="bottom"/>
          </w:tcPr>
          <w:p>
            <w:pPr>
              <w:spacing w:after="0"/>
              <w:rPr>
                <w:sz w:val="24"/>
                <w:szCs w:val="24"/>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800" w:hanging="695"/>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100"/>
        <w:spacing w:after="0" w:line="239" w:lineRule="exact"/>
        <w:tabs>
          <w:tab w:leader="none" w:pos="780" w:val="left"/>
          <w:tab w:leader="none" w:pos="104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27" w:lineRule="exact"/>
        <w:rPr>
          <w:sz w:val="20"/>
          <w:szCs w:val="20"/>
          <w:color w:val="auto"/>
        </w:rPr>
      </w:pPr>
    </w:p>
    <w:p>
      <w:pPr>
        <w:ind w:left="800" w:hanging="695"/>
        <w:spacing w:after="0"/>
        <w:tabs>
          <w:tab w:leader="none" w:pos="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(2)</w:t>
      </w:r>
    </w:p>
    <w:p>
      <w:pPr>
        <w:spacing w:after="0" w:line="6" w:lineRule="exact"/>
        <w:rPr>
          <w:rFonts w:ascii="Times New Roman" w:cs="Times New Roman" w:eastAsia="Times New Roman" w:hAnsi="Times New Roman"/>
          <w:sz w:val="22"/>
          <w:szCs w:val="22"/>
          <w:color w:val="auto"/>
        </w:rPr>
      </w:pPr>
    </w:p>
    <w:p>
      <w:pPr>
        <w:ind w:left="800" w:hanging="695"/>
        <w:spacing w:after="0" w:line="234" w:lineRule="auto"/>
        <w:tabs>
          <w:tab w:leader="none" w:pos="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5" w:lineRule="exact"/>
        <w:rPr>
          <w:rFonts w:ascii="Times New Roman" w:cs="Times New Roman" w:eastAsia="Times New Roman" w:hAnsi="Times New Roman"/>
          <w:sz w:val="22"/>
          <w:szCs w:val="22"/>
          <w:color w:val="auto"/>
        </w:rPr>
      </w:pPr>
    </w:p>
    <w:p>
      <w:pPr>
        <w:ind w:left="660" w:hanging="247"/>
        <w:spacing w:after="0" w:line="233" w:lineRule="auto"/>
        <w:tabs>
          <w:tab w:leader="none" w:pos="6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3 to the statement on Schedule 13G is filed by the Reporting Persons. The Reporting Persons expressly disclaim status as a “group” for purposes of this Schedule 13G.</w:t>
      </w:r>
    </w:p>
    <w:p>
      <w:pPr>
        <w:ind w:left="660" w:hanging="247"/>
        <w:spacing w:after="0" w:line="239" w:lineRule="auto"/>
        <w:tabs>
          <w:tab w:leader="none" w:pos="6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set forth on the cover sheets are calculated based on 81,726,113 shares of Common Stock reported to be outstanding as of October 31, 2022 as set forth in the Issuer’s Form 10-Q for the period ended September 30, 2022 as filed with the Securities and Exchange Commission (“SEC”)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-789940</wp:posOffset>
            </wp:positionV>
            <wp:extent cx="70637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-1107440</wp:posOffset>
            </wp:positionV>
            <wp:extent cx="70637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-1416050</wp:posOffset>
            </wp:positionV>
            <wp:extent cx="70637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5" w:name="page6"/>
    <w:bookmarkEnd w:id="5"/>
    <w:tbl>
      <w:tblPr>
        <w:tblLayout w:type="fixed"/>
        <w:tblInd w:w="120" w:type="dxa"/>
        <w:tblCellMar>
          <w:top w:w="0" w:type="dxa"/>
          <w:left w:w="0" w:type="dxa"/>
          <w:bottom w:w="0" w:type="dxa"/>
          <w:right w:w="0" w:type="dxa"/>
        </w:tblCellMar>
      </w:tblPr>
      <w:tr>
        <w:trPr>
          <w:trHeight w:val="334"/>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2220" w:type="dxa"/>
            <w:vAlign w:val="bottom"/>
          </w:tcPr>
          <w:p>
            <w:pPr>
              <w:ind w:left="1760"/>
              <w:spacing w:after="0"/>
              <w:rPr>
                <w:sz w:val="20"/>
                <w:szCs w:val="20"/>
                <w:color w:val="auto"/>
              </w:rPr>
            </w:pPr>
            <w:r>
              <w:rPr>
                <w:rFonts w:ascii="Times New Roman" w:cs="Times New Roman" w:eastAsia="Times New Roman" w:hAnsi="Times New Roman"/>
                <w:sz w:val="25"/>
                <w:szCs w:val="25"/>
                <w:b w:val="1"/>
                <w:bCs w:val="1"/>
                <w:color w:val="auto"/>
                <w:w w:val="98"/>
              </w:rPr>
              <w:t>13G</w:t>
            </w:r>
          </w:p>
        </w:tc>
      </w:tr>
    </w:tbl>
    <w:p>
      <w:pPr>
        <w:spacing w:after="0" w:line="153" w:lineRule="exact"/>
        <w:rPr>
          <w:sz w:val="20"/>
          <w:szCs w:val="20"/>
          <w:color w:val="auto"/>
        </w:rPr>
      </w:pPr>
    </w:p>
    <w:p>
      <w:pPr>
        <w:ind w:left="700" w:hanging="695"/>
        <w:spacing w:after="0"/>
        <w:tabs>
          <w:tab w:leader="none" w:pos="7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16"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Joshua Ruch</w:t>
      </w:r>
    </w:p>
    <w:p>
      <w:pPr>
        <w:spacing w:after="0" w:line="6" w:lineRule="exact"/>
        <w:rPr>
          <w:rFonts w:ascii="Times New Roman" w:cs="Times New Roman" w:eastAsia="Times New Roman" w:hAnsi="Times New Roman"/>
          <w:sz w:val="22"/>
          <w:szCs w:val="22"/>
          <w:color w:val="auto"/>
        </w:rPr>
      </w:pPr>
    </w:p>
    <w:p>
      <w:pPr>
        <w:ind w:left="700" w:hanging="695"/>
        <w:spacing w:after="0"/>
        <w:tabs>
          <w:tab w:leader="none" w:pos="70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04" w:lineRule="exact"/>
        <w:rPr>
          <w:rFonts w:ascii="Times New Roman" w:cs="Times New Roman" w:eastAsia="Times New Roman" w:hAnsi="Times New Roman"/>
          <w:sz w:val="21"/>
          <w:szCs w:val="21"/>
          <w:color w:val="auto"/>
        </w:rPr>
      </w:pPr>
    </w:p>
    <w:p>
      <w:pPr>
        <w:ind w:left="1100" w:hanging="406"/>
        <w:spacing w:after="0" w:line="253" w:lineRule="exact"/>
        <w:tabs>
          <w:tab w:leader="none" w:pos="1100" w:val="left"/>
        </w:tabs>
        <w:numPr>
          <w:ilvl w:val="1"/>
          <w:numId w:val="14"/>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61" w:lineRule="exact"/>
        <w:rPr>
          <w:rFonts w:ascii="Times New Roman" w:cs="Times New Roman" w:eastAsia="Times New Roman" w:hAnsi="Times New Roman"/>
          <w:sz w:val="22"/>
          <w:szCs w:val="22"/>
          <w:color w:val="auto"/>
        </w:rPr>
      </w:pPr>
    </w:p>
    <w:p>
      <w:pPr>
        <w:ind w:left="1120" w:hanging="426"/>
        <w:spacing w:after="0" w:line="253" w:lineRule="exact"/>
        <w:tabs>
          <w:tab w:leader="none" w:pos="1120" w:val="left"/>
        </w:tabs>
        <w:numPr>
          <w:ilvl w:val="1"/>
          <w:numId w:val="14"/>
        </w:numPr>
        <w:rPr>
          <w:rFonts w:ascii="Times New Roman" w:cs="Times New Roman" w:eastAsia="Times New Roman" w:hAnsi="Times New Roman"/>
          <w:sz w:val="22"/>
          <w:szCs w:val="22"/>
          <w:b w:val="1"/>
          <w:bCs w:val="1"/>
          <w:color w:val="auto"/>
        </w:rPr>
      </w:pPr>
      <w:r>
        <w:rPr>
          <w:rFonts w:ascii="MS PGothic" w:cs="MS PGothic" w:eastAsia="MS PGothic" w:hAnsi="MS PGothic"/>
          <w:sz w:val="21"/>
          <w:szCs w:val="21"/>
          <w:color w:val="auto"/>
          <w:highlight w:val="black"/>
        </w:rPr>
        <w:t>☑</w:t>
      </w:r>
      <w:r>
        <w:rPr>
          <w:rFonts w:ascii="Times New Roman" w:cs="Times New Roman" w:eastAsia="Times New Roman" w:hAnsi="Times New Roman"/>
          <w:sz w:val="20"/>
          <w:szCs w:val="20"/>
          <w:b w:val="1"/>
          <w:bCs w:val="1"/>
          <w:color w:val="auto"/>
        </w:rPr>
        <w:t xml:space="preserve"> (1)</w:t>
      </w:r>
    </w:p>
    <w:p>
      <w:pPr>
        <w:spacing w:after="0" w:line="3" w:lineRule="exact"/>
        <w:rPr>
          <w:rFonts w:ascii="Times New Roman" w:cs="Times New Roman" w:eastAsia="Times New Roman" w:hAnsi="Times New Roman"/>
          <w:sz w:val="22"/>
          <w:szCs w:val="22"/>
          <w:b w:val="1"/>
          <w:bCs w:val="1"/>
          <w:color w:val="auto"/>
        </w:rPr>
      </w:pPr>
    </w:p>
    <w:p>
      <w:pPr>
        <w:ind w:left="700" w:hanging="695"/>
        <w:spacing w:after="0"/>
        <w:tabs>
          <w:tab w:leader="none" w:pos="7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3" w:lineRule="exact"/>
        <w:rPr>
          <w:rFonts w:ascii="Times New Roman" w:cs="Times New Roman" w:eastAsia="Times New Roman" w:hAnsi="Times New Roman"/>
          <w:sz w:val="22"/>
          <w:szCs w:val="22"/>
          <w:color w:val="auto"/>
        </w:rPr>
      </w:pPr>
    </w:p>
    <w:p>
      <w:pPr>
        <w:ind w:left="700" w:hanging="695"/>
        <w:spacing w:after="0" w:line="233" w:lineRule="auto"/>
        <w:tabs>
          <w:tab w:leader="none" w:pos="7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0637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0637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063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0637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921" w:right="339" w:bottom="1440" w:gutter="0" w:footer="0" w:header="0"/>
        </w:sectPr>
      </w:pPr>
    </w:p>
    <w:p>
      <w:pPr>
        <w:spacing w:after="0" w:line="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Number of</w:t>
      </w:r>
    </w:p>
    <w:p>
      <w:pPr>
        <w:spacing w:after="0" w:line="7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Shares</w:t>
      </w:r>
    </w:p>
    <w:p>
      <w:pPr>
        <w:spacing w:after="0" w:line="9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Beneficially</w:t>
      </w:r>
    </w:p>
    <w:p>
      <w:pPr>
        <w:spacing w:after="0" w:line="9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Owned by</w:t>
      </w:r>
    </w:p>
    <w:p>
      <w:pPr>
        <w:spacing w:after="0" w:line="9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Each</w:t>
      </w:r>
    </w:p>
    <w:p>
      <w:pPr>
        <w:spacing w:after="0" w:line="9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Reporting</w:t>
      </w:r>
    </w:p>
    <w:p>
      <w:pPr>
        <w:spacing w:after="0" w:line="9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1"/>
          <w:szCs w:val="21"/>
          <w:color w:val="auto"/>
        </w:rPr>
        <w:t>Person With:</w:t>
      </w:r>
    </w:p>
    <w:p>
      <w:pPr>
        <w:spacing w:after="0" w:line="20" w:lineRule="exact"/>
        <w:rPr>
          <w:sz w:val="20"/>
          <w:szCs w:val="20"/>
          <w:color w:val="auto"/>
        </w:rPr>
      </w:pPr>
      <w:r>
        <w:rPr>
          <w:sz w:val="20"/>
          <w:szCs w:val="20"/>
          <w:color w:val="auto"/>
        </w:rPr>
        <w:br w:type="column"/>
      </w:r>
    </w:p>
    <w:p>
      <w:pPr>
        <w:ind w:left="455" w:hanging="455"/>
        <w:spacing w:after="0"/>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w:t>
      </w:r>
    </w:p>
    <w:p>
      <w:pPr>
        <w:ind w:left="45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11,665 shares of Common Stock</w:t>
      </w:r>
    </w:p>
    <w:p>
      <w:pPr>
        <w:spacing w:after="0" w:line="101" w:lineRule="exact"/>
        <w:rPr>
          <w:rFonts w:ascii="Times New Roman" w:cs="Times New Roman" w:eastAsia="Times New Roman" w:hAnsi="Times New Roman"/>
          <w:sz w:val="22"/>
          <w:szCs w:val="22"/>
          <w:color w:val="auto"/>
        </w:rPr>
      </w:pPr>
    </w:p>
    <w:p>
      <w:pPr>
        <w:ind w:left="455" w:hanging="455"/>
        <w:spacing w:after="0"/>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w:t>
      </w:r>
    </w:p>
    <w:p>
      <w:pPr>
        <w:spacing w:after="0" w:line="16" w:lineRule="exact"/>
        <w:rPr>
          <w:rFonts w:ascii="Times New Roman" w:cs="Times New Roman" w:eastAsia="Times New Roman" w:hAnsi="Times New Roman"/>
          <w:sz w:val="22"/>
          <w:szCs w:val="22"/>
          <w:color w:val="auto"/>
        </w:rPr>
      </w:pPr>
    </w:p>
    <w:p>
      <w:pPr>
        <w:ind w:left="45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9"/>
          <w:szCs w:val="19"/>
          <w:b w:val="1"/>
          <w:bCs w:val="1"/>
          <w:color w:val="auto"/>
        </w:rPr>
        <w:t>419,118 shares of Common Stock (2)</w:t>
      </w:r>
    </w:p>
    <w:p>
      <w:pPr>
        <w:spacing w:after="0" w:line="119" w:lineRule="exact"/>
        <w:rPr>
          <w:rFonts w:ascii="Times New Roman" w:cs="Times New Roman" w:eastAsia="Times New Roman" w:hAnsi="Times New Roman"/>
          <w:sz w:val="22"/>
          <w:szCs w:val="22"/>
          <w:color w:val="auto"/>
        </w:rPr>
      </w:pPr>
    </w:p>
    <w:p>
      <w:pPr>
        <w:ind w:left="455" w:hanging="455"/>
        <w:spacing w:after="0"/>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w:t>
      </w:r>
    </w:p>
    <w:p>
      <w:pPr>
        <w:spacing w:after="0" w:line="14" w:lineRule="exact"/>
        <w:rPr>
          <w:rFonts w:ascii="Times New Roman" w:cs="Times New Roman" w:eastAsia="Times New Roman" w:hAnsi="Times New Roman"/>
          <w:sz w:val="22"/>
          <w:szCs w:val="22"/>
          <w:color w:val="auto"/>
        </w:rPr>
      </w:pPr>
    </w:p>
    <w:p>
      <w:pPr>
        <w:ind w:left="45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11,665 shares of Common Stock</w:t>
      </w:r>
    </w:p>
    <w:p>
      <w:pPr>
        <w:spacing w:after="0" w:line="101" w:lineRule="exact"/>
        <w:rPr>
          <w:rFonts w:ascii="Times New Roman" w:cs="Times New Roman" w:eastAsia="Times New Roman" w:hAnsi="Times New Roman"/>
          <w:sz w:val="22"/>
          <w:szCs w:val="22"/>
          <w:color w:val="auto"/>
        </w:rPr>
      </w:pPr>
    </w:p>
    <w:p>
      <w:pPr>
        <w:ind w:left="455" w:hanging="455"/>
        <w:spacing w:after="0"/>
        <w:tabs>
          <w:tab w:leader="none" w:pos="4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6" w:lineRule="exact"/>
        <w:rPr>
          <w:rFonts w:ascii="Times New Roman" w:cs="Times New Roman" w:eastAsia="Times New Roman" w:hAnsi="Times New Roman"/>
          <w:sz w:val="22"/>
          <w:szCs w:val="22"/>
          <w:color w:val="auto"/>
        </w:rPr>
      </w:pPr>
    </w:p>
    <w:p>
      <w:pPr>
        <w:ind w:left="45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9"/>
          <w:szCs w:val="19"/>
          <w:b w:val="1"/>
          <w:bCs w:val="1"/>
          <w:color w:val="auto"/>
        </w:rPr>
        <w:t>419,118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-300355</wp:posOffset>
            </wp:positionV>
            <wp:extent cx="56921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-694690</wp:posOffset>
            </wp:positionV>
            <wp:extent cx="5692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-1080770</wp:posOffset>
            </wp:positionV>
            <wp:extent cx="5692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8890"/>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1560" w:space="605"/>
            <w:col w:w="8975"/>
          </w:cols>
          <w:pgMar w:left="420" w:top="921" w:right="339" w:bottom="1440" w:gutter="0" w:footer="0" w:header="0"/>
          <w:type w:val="continuous"/>
        </w:sectPr>
      </w:pPr>
    </w:p>
    <w:p>
      <w:pPr>
        <w:ind w:left="700" w:hanging="695"/>
        <w:spacing w:after="0"/>
        <w:tabs>
          <w:tab w:leader="none" w:pos="7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pacing w:after="0" w:line="16"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430,783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0637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063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39" w:lineRule="exact"/>
        <w:tabs>
          <w:tab w:leader="none" w:pos="680" w:val="left"/>
          <w:tab w:leader="none" w:pos="103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27" w:lineRule="exact"/>
        <w:rPr>
          <w:sz w:val="20"/>
          <w:szCs w:val="20"/>
          <w:color w:val="auto"/>
        </w:rPr>
      </w:pPr>
    </w:p>
    <w:p>
      <w:pPr>
        <w:ind w:left="700" w:hanging="695"/>
        <w:spacing w:after="0"/>
        <w:tabs>
          <w:tab w:leader="none" w:pos="7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w:t>
      </w:r>
    </w:p>
    <w:p>
      <w:pPr>
        <w:spacing w:after="0" w:line="16"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0.5% (3)</w:t>
      </w:r>
    </w:p>
    <w:p>
      <w:pPr>
        <w:spacing w:after="0" w:line="6" w:lineRule="exact"/>
        <w:rPr>
          <w:rFonts w:ascii="Times New Roman" w:cs="Times New Roman" w:eastAsia="Times New Roman" w:hAnsi="Times New Roman"/>
          <w:sz w:val="22"/>
          <w:szCs w:val="22"/>
          <w:color w:val="auto"/>
        </w:rPr>
      </w:pPr>
    </w:p>
    <w:p>
      <w:pPr>
        <w:ind w:left="700" w:hanging="695"/>
        <w:spacing w:after="0" w:line="234" w:lineRule="auto"/>
        <w:tabs>
          <w:tab w:leader="none" w:pos="7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5" w:lineRule="exact"/>
        <w:rPr>
          <w:rFonts w:ascii="Times New Roman" w:cs="Times New Roman" w:eastAsia="Times New Roman" w:hAnsi="Times New Roman"/>
          <w:sz w:val="22"/>
          <w:szCs w:val="22"/>
          <w:color w:val="auto"/>
        </w:rPr>
      </w:pPr>
    </w:p>
    <w:p>
      <w:pPr>
        <w:ind w:left="560" w:hanging="247"/>
        <w:spacing w:after="0" w:line="233" w:lineRule="auto"/>
        <w:tabs>
          <w:tab w:leader="none" w:pos="56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3 to the statement on Schedule 13G is filed by the Reporting Persons. The Reporting Persons expressly disclaim status as a “group” for purposes of this Schedule 13G.</w:t>
      </w:r>
    </w:p>
    <w:p>
      <w:pPr>
        <w:ind w:left="560" w:hanging="247"/>
        <w:spacing w:after="0" w:line="221" w:lineRule="auto"/>
        <w:tabs>
          <w:tab w:leader="none" w:pos="56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419,118 shares of Common Stock are held in various accounts managed by Joshua Ruch.</w:t>
      </w:r>
    </w:p>
    <w:p>
      <w:pPr>
        <w:ind w:left="560" w:hanging="247"/>
        <w:spacing w:after="0" w:line="239" w:lineRule="auto"/>
        <w:tabs>
          <w:tab w:leader="none" w:pos="56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set forth on the cover sheets are calculated based on 81,726,113 shares of Common Stock reported to be outstanding as of October 31, 2022 as set forth in the Issuer’s Form 10-Q for the period ended September 30, 2022 as filed with the Securities and Exchange Commission (“SEC”)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-884555</wp:posOffset>
            </wp:positionV>
            <wp:extent cx="70637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-1201420</wp:posOffset>
            </wp:positionV>
            <wp:extent cx="70637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-1510030</wp:posOffset>
            </wp:positionV>
            <wp:extent cx="70637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-532765</wp:posOffset>
            </wp:positionV>
            <wp:extent cx="1783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45085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21" w:right="339" w:bottom="1440" w:gutter="0" w:footer="0" w:header="0"/>
          <w:type w:val="continuous"/>
        </w:sectPr>
      </w:pPr>
    </w:p>
    <w:bookmarkStart w:id="6" w:name="page7"/>
    <w:bookmarkEnd w:id="6"/>
    <w:tbl>
      <w:tblPr>
        <w:tblLayout w:type="fixed"/>
        <w:tblInd w:w="220" w:type="dxa"/>
        <w:tblCellMar>
          <w:top w:w="0" w:type="dxa"/>
          <w:left w:w="0" w:type="dxa"/>
          <w:bottom w:w="0" w:type="dxa"/>
          <w:right w:w="0" w:type="dxa"/>
        </w:tblCellMar>
      </w:tblPr>
      <w:tr>
        <w:trPr>
          <w:trHeight w:val="334"/>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2220" w:type="dxa"/>
            <w:vAlign w:val="bottom"/>
          </w:tcPr>
          <w:p>
            <w:pPr>
              <w:ind w:left="1760"/>
              <w:spacing w:after="0"/>
              <w:rPr>
                <w:sz w:val="20"/>
                <w:szCs w:val="20"/>
                <w:color w:val="auto"/>
              </w:rPr>
            </w:pPr>
            <w:r>
              <w:rPr>
                <w:rFonts w:ascii="Times New Roman" w:cs="Times New Roman" w:eastAsia="Times New Roman" w:hAnsi="Times New Roman"/>
                <w:sz w:val="25"/>
                <w:szCs w:val="25"/>
                <w:b w:val="1"/>
                <w:bCs w:val="1"/>
                <w:color w:val="auto"/>
                <w:w w:val="98"/>
              </w:rPr>
              <w:t>13G</w:t>
            </w:r>
          </w:p>
        </w:tc>
      </w:tr>
    </w:tbl>
    <w:p>
      <w:pPr>
        <w:spacing w:after="0" w:line="153" w:lineRule="exact"/>
        <w:rPr>
          <w:sz w:val="20"/>
          <w:szCs w:val="20"/>
          <w:color w:val="auto"/>
        </w:rPr>
      </w:pPr>
    </w:p>
    <w:p>
      <w:pPr>
        <w:ind w:left="800" w:hanging="695"/>
        <w:spacing w:after="0"/>
        <w:tabs>
          <w:tab w:leader="none" w:pos="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Mark Leschly</w:t>
      </w:r>
    </w:p>
    <w:p>
      <w:pPr>
        <w:spacing w:after="0" w:line="6" w:lineRule="exact"/>
        <w:rPr>
          <w:rFonts w:ascii="Times New Roman" w:cs="Times New Roman" w:eastAsia="Times New Roman" w:hAnsi="Times New Roman"/>
          <w:sz w:val="22"/>
          <w:szCs w:val="22"/>
          <w:color w:val="auto"/>
        </w:rPr>
      </w:pPr>
    </w:p>
    <w:p>
      <w:pPr>
        <w:ind w:left="800" w:hanging="695"/>
        <w:spacing w:after="0"/>
        <w:tabs>
          <w:tab w:leader="none" w:pos="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192" w:lineRule="exact"/>
        <w:rPr>
          <w:rFonts w:ascii="Times New Roman" w:cs="Times New Roman" w:eastAsia="Times New Roman" w:hAnsi="Times New Roman"/>
          <w:sz w:val="22"/>
          <w:szCs w:val="22"/>
          <w:color w:val="auto"/>
        </w:rPr>
      </w:pPr>
    </w:p>
    <w:p>
      <w:pPr>
        <w:ind w:left="1200" w:hanging="406"/>
        <w:spacing w:after="0" w:line="253" w:lineRule="exact"/>
        <w:tabs>
          <w:tab w:leader="none" w:pos="1200" w:val="left"/>
        </w:tabs>
        <w:numPr>
          <w:ilvl w:val="1"/>
          <w:numId w:val="1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61" w:lineRule="exact"/>
        <w:rPr>
          <w:rFonts w:ascii="Times New Roman" w:cs="Times New Roman" w:eastAsia="Times New Roman" w:hAnsi="Times New Roman"/>
          <w:sz w:val="22"/>
          <w:szCs w:val="22"/>
          <w:color w:val="auto"/>
        </w:rPr>
      </w:pPr>
    </w:p>
    <w:p>
      <w:pPr>
        <w:ind w:left="1160" w:hanging="366"/>
        <w:spacing w:after="0" w:line="253" w:lineRule="exact"/>
        <w:tabs>
          <w:tab w:leader="none" w:pos="1160" w:val="left"/>
        </w:tabs>
        <w:numPr>
          <w:ilvl w:val="1"/>
          <w:numId w:val="18"/>
        </w:numPr>
        <w:rPr>
          <w:rFonts w:ascii="Times New Roman" w:cs="Times New Roman" w:eastAsia="Times New Roman" w:hAnsi="Times New Roman"/>
          <w:sz w:val="22"/>
          <w:szCs w:val="22"/>
          <w:b w:val="1"/>
          <w:bCs w:val="1"/>
          <w:color w:val="auto"/>
        </w:rPr>
      </w:pPr>
      <w:r>
        <w:rPr>
          <w:rFonts w:ascii="MS PGothic" w:cs="MS PGothic" w:eastAsia="MS PGothic" w:hAnsi="MS PGothic"/>
          <w:sz w:val="21"/>
          <w:szCs w:val="21"/>
          <w:color w:val="auto"/>
          <w:highlight w:val="black"/>
        </w:rPr>
        <w:t>☑</w:t>
      </w:r>
      <w:r>
        <w:rPr>
          <w:rFonts w:ascii="Times New Roman" w:cs="Times New Roman" w:eastAsia="Times New Roman" w:hAnsi="Times New Roman"/>
          <w:sz w:val="20"/>
          <w:szCs w:val="20"/>
          <w:b w:val="1"/>
          <w:bCs w:val="1"/>
          <w:color w:val="auto"/>
        </w:rPr>
        <w:t xml:space="preserve"> (1)</w:t>
      </w:r>
    </w:p>
    <w:p>
      <w:pPr>
        <w:spacing w:after="0" w:line="3" w:lineRule="exact"/>
        <w:rPr>
          <w:rFonts w:ascii="Times New Roman" w:cs="Times New Roman" w:eastAsia="Times New Roman" w:hAnsi="Times New Roman"/>
          <w:sz w:val="22"/>
          <w:szCs w:val="22"/>
          <w:b w:val="1"/>
          <w:bCs w:val="1"/>
          <w:color w:val="auto"/>
        </w:rPr>
      </w:pPr>
    </w:p>
    <w:p>
      <w:pPr>
        <w:ind w:left="800" w:hanging="695"/>
        <w:spacing w:after="0"/>
        <w:tabs>
          <w:tab w:leader="none" w:pos="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3" w:lineRule="exact"/>
        <w:rPr>
          <w:rFonts w:ascii="Times New Roman" w:cs="Times New Roman" w:eastAsia="Times New Roman" w:hAnsi="Times New Roman"/>
          <w:sz w:val="22"/>
          <w:szCs w:val="22"/>
          <w:color w:val="auto"/>
        </w:rPr>
      </w:pPr>
    </w:p>
    <w:p>
      <w:pPr>
        <w:ind w:left="800" w:hanging="695"/>
        <w:spacing w:after="0" w:line="233" w:lineRule="auto"/>
        <w:tabs>
          <w:tab w:leader="none" w:pos="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Kingdom of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063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0637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160" w:type="dxa"/>
            <w:vAlign w:val="bottom"/>
            <w:tcBorders>
              <w:top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Number of</w:t>
            </w:r>
          </w:p>
        </w:tc>
        <w:tc>
          <w:tcPr>
            <w:tcW w:w="400" w:type="dxa"/>
            <w:vAlign w:val="bottom"/>
            <w:tcBorders>
              <w:top w:val="single" w:sz="8" w:color="auto"/>
            </w:tcBorders>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5.</w:t>
            </w:r>
          </w:p>
        </w:tc>
        <w:tc>
          <w:tcPr>
            <w:tcW w:w="8580" w:type="dxa"/>
            <w:vAlign w:val="bottom"/>
            <w:tcBorders>
              <w:top w:val="single" w:sz="8" w:color="auto"/>
            </w:tcBorders>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62"/>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Shares</w:t>
            </w: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60,425 (2)</w:t>
            </w:r>
          </w:p>
        </w:tc>
        <w:tc>
          <w:tcPr>
            <w:tcW w:w="0" w:type="dxa"/>
            <w:vAlign w:val="bottom"/>
          </w:tcPr>
          <w:p>
            <w:pPr>
              <w:spacing w:after="0"/>
              <w:rPr>
                <w:sz w:val="1"/>
                <w:szCs w:val="1"/>
                <w:color w:val="auto"/>
              </w:rPr>
            </w:pPr>
          </w:p>
        </w:tc>
      </w:tr>
      <w:tr>
        <w:trPr>
          <w:trHeight w:val="115"/>
        </w:trPr>
        <w:tc>
          <w:tcPr>
            <w:tcW w:w="2160" w:type="dxa"/>
            <w:vAlign w:val="bottom"/>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Beneficially</w:t>
            </w:r>
          </w:p>
        </w:tc>
        <w:tc>
          <w:tcPr>
            <w:tcW w:w="400" w:type="dxa"/>
            <w:vAlign w:val="bottom"/>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6.</w:t>
            </w:r>
          </w:p>
        </w:tc>
        <w:tc>
          <w:tcPr>
            <w:tcW w:w="858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3"/>
        </w:trPr>
        <w:tc>
          <w:tcPr>
            <w:tcW w:w="21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5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Owned by</w:t>
            </w:r>
          </w:p>
        </w:tc>
        <w:tc>
          <w:tcPr>
            <w:tcW w:w="400" w:type="dxa"/>
            <w:vAlign w:val="bottom"/>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60" w:type="dxa"/>
            <w:vAlign w:val="bottom"/>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160" w:type="dxa"/>
            <w:vAlign w:val="bottom"/>
            <w:vMerge w:val="continue"/>
          </w:tcPr>
          <w:p>
            <w:pPr>
              <w:spacing w:after="0"/>
              <w:rPr>
                <w:sz w:val="6"/>
                <w:szCs w:val="6"/>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7.</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7"/>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Each</w:t>
            </w:r>
          </w:p>
        </w:tc>
        <w:tc>
          <w:tcPr>
            <w:tcW w:w="400" w:type="dxa"/>
            <w:vAlign w:val="bottom"/>
            <w:vMerge w:val="continue"/>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1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60,425 (2)</w:t>
            </w:r>
          </w:p>
        </w:tc>
        <w:tc>
          <w:tcPr>
            <w:tcW w:w="0" w:type="dxa"/>
            <w:vAlign w:val="bottom"/>
          </w:tcPr>
          <w:p>
            <w:pPr>
              <w:spacing w:after="0"/>
              <w:rPr>
                <w:sz w:val="1"/>
                <w:szCs w:val="1"/>
                <w:color w:val="auto"/>
              </w:rPr>
            </w:pPr>
          </w:p>
        </w:tc>
      </w:tr>
      <w:tr>
        <w:trPr>
          <w:trHeight w:val="129"/>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400" w:type="dxa"/>
            <w:vAlign w:val="bottom"/>
            <w:tcBorders>
              <w:bottom w:val="single" w:sz="8" w:color="auto"/>
            </w:tcBorders>
          </w:tcPr>
          <w:p>
            <w:pPr>
              <w:spacing w:after="0"/>
              <w:rPr>
                <w:sz w:val="11"/>
                <w:szCs w:val="11"/>
                <w:color w:val="auto"/>
              </w:rPr>
            </w:pPr>
          </w:p>
        </w:tc>
        <w:tc>
          <w:tcPr>
            <w:tcW w:w="8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60" w:type="dxa"/>
            <w:vAlign w:val="bottom"/>
            <w:vMerge w:val="continue"/>
          </w:tcPr>
          <w:p>
            <w:pPr>
              <w:spacing w:after="0"/>
              <w:rPr>
                <w:sz w:val="13"/>
                <w:szCs w:val="13"/>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8.</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56"/>
        </w:trPr>
        <w:tc>
          <w:tcPr>
            <w:tcW w:w="21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Person With:</w:t>
            </w:r>
          </w:p>
        </w:tc>
        <w:tc>
          <w:tcPr>
            <w:tcW w:w="400" w:type="dxa"/>
            <w:vAlign w:val="bottom"/>
          </w:tcPr>
          <w:p>
            <w:pPr>
              <w:spacing w:after="0"/>
              <w:rPr>
                <w:sz w:val="24"/>
                <w:szCs w:val="24"/>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800" w:hanging="695"/>
        <w:spacing w:after="0"/>
        <w:tabs>
          <w:tab w:leader="none" w:pos="8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60,425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100"/>
        <w:spacing w:after="0" w:line="239" w:lineRule="exact"/>
        <w:tabs>
          <w:tab w:leader="none" w:pos="780" w:val="left"/>
          <w:tab w:leader="none" w:pos="104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27" w:lineRule="exact"/>
        <w:rPr>
          <w:sz w:val="20"/>
          <w:szCs w:val="20"/>
          <w:color w:val="auto"/>
        </w:rPr>
      </w:pPr>
    </w:p>
    <w:p>
      <w:pPr>
        <w:ind w:left="800" w:hanging="695"/>
        <w:spacing w:after="0"/>
        <w:tabs>
          <w:tab w:leader="none" w:pos="8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(3)</w:t>
      </w:r>
    </w:p>
    <w:p>
      <w:pPr>
        <w:spacing w:after="0" w:line="6" w:lineRule="exact"/>
        <w:rPr>
          <w:rFonts w:ascii="Times New Roman" w:cs="Times New Roman" w:eastAsia="Times New Roman" w:hAnsi="Times New Roman"/>
          <w:sz w:val="22"/>
          <w:szCs w:val="22"/>
          <w:color w:val="auto"/>
        </w:rPr>
      </w:pPr>
    </w:p>
    <w:p>
      <w:pPr>
        <w:ind w:left="800" w:hanging="695"/>
        <w:spacing w:after="0" w:line="234" w:lineRule="auto"/>
        <w:tabs>
          <w:tab w:leader="none" w:pos="8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5" w:lineRule="exact"/>
        <w:rPr>
          <w:rFonts w:ascii="Times New Roman" w:cs="Times New Roman" w:eastAsia="Times New Roman" w:hAnsi="Times New Roman"/>
          <w:sz w:val="22"/>
          <w:szCs w:val="22"/>
          <w:color w:val="auto"/>
        </w:rPr>
      </w:pPr>
    </w:p>
    <w:p>
      <w:pPr>
        <w:ind w:left="660" w:hanging="247"/>
        <w:spacing w:after="0" w:line="233" w:lineRule="auto"/>
        <w:tabs>
          <w:tab w:leader="none" w:pos="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3 to the statement on Schedule 13G is filed by the Reporting Persons. The Reporting Persons expressly disclaim status as a “group” for purposes of this Schedule 13G.</w:t>
      </w:r>
    </w:p>
    <w:p>
      <w:pPr>
        <w:ind w:left="660" w:hanging="247"/>
        <w:spacing w:after="0" w:line="221" w:lineRule="auto"/>
        <w:tabs>
          <w:tab w:leader="none" w:pos="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60,425 shares of Common Stock which are presently exercisable.</w:t>
      </w:r>
    </w:p>
    <w:p>
      <w:pPr>
        <w:ind w:left="660" w:hanging="247"/>
        <w:spacing w:after="0" w:line="239" w:lineRule="auto"/>
        <w:tabs>
          <w:tab w:leader="none" w:pos="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set forth on the cover sheets are calculated based on 81,726,113 shares of Common Stock reported to be outstanding as of October 31, 2022 as set forth in the Issuer’s Form 10-Q for the period ended September 30, 2022 as filed with the Securities and Exchange Commission (“SEC”)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-884555</wp:posOffset>
            </wp:positionV>
            <wp:extent cx="70637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-1201420</wp:posOffset>
            </wp:positionV>
            <wp:extent cx="70637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-1510030</wp:posOffset>
            </wp:positionV>
            <wp:extent cx="70637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-532765</wp:posOffset>
            </wp:positionV>
            <wp:extent cx="17830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7" w:name="page8"/>
    <w:bookmarkEnd w:id="7"/>
    <w:tbl>
      <w:tblPr>
        <w:tblLayout w:type="fixed"/>
        <w:tblInd w:w="220" w:type="dxa"/>
        <w:tblCellMar>
          <w:top w:w="0" w:type="dxa"/>
          <w:left w:w="0" w:type="dxa"/>
          <w:bottom w:w="0" w:type="dxa"/>
          <w:right w:w="0" w:type="dxa"/>
        </w:tblCellMar>
      </w:tblPr>
      <w:tr>
        <w:trPr>
          <w:trHeight w:val="334"/>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62921N 105</w:t>
            </w:r>
          </w:p>
        </w:tc>
        <w:tc>
          <w:tcPr>
            <w:tcW w:w="2220" w:type="dxa"/>
            <w:vAlign w:val="bottom"/>
          </w:tcPr>
          <w:p>
            <w:pPr>
              <w:ind w:left="1760"/>
              <w:spacing w:after="0"/>
              <w:rPr>
                <w:sz w:val="20"/>
                <w:szCs w:val="20"/>
                <w:color w:val="auto"/>
              </w:rPr>
            </w:pPr>
            <w:r>
              <w:rPr>
                <w:rFonts w:ascii="Times New Roman" w:cs="Times New Roman" w:eastAsia="Times New Roman" w:hAnsi="Times New Roman"/>
                <w:sz w:val="25"/>
                <w:szCs w:val="25"/>
                <w:b w:val="1"/>
                <w:bCs w:val="1"/>
                <w:color w:val="auto"/>
                <w:w w:val="98"/>
              </w:rPr>
              <w:t>13G</w:t>
            </w:r>
          </w:p>
        </w:tc>
      </w:tr>
    </w:tbl>
    <w:p>
      <w:pPr>
        <w:spacing w:after="0" w:line="153" w:lineRule="exact"/>
        <w:rPr>
          <w:sz w:val="20"/>
          <w:szCs w:val="20"/>
          <w:color w:val="auto"/>
        </w:rPr>
      </w:pPr>
    </w:p>
    <w:p>
      <w:pPr>
        <w:ind w:left="800" w:hanging="695"/>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Habib Kairouz</w:t>
      </w:r>
    </w:p>
    <w:p>
      <w:pPr>
        <w:spacing w:after="0" w:line="6" w:lineRule="exact"/>
        <w:rPr>
          <w:rFonts w:ascii="Times New Roman" w:cs="Times New Roman" w:eastAsia="Times New Roman" w:hAnsi="Times New Roman"/>
          <w:sz w:val="22"/>
          <w:szCs w:val="22"/>
          <w:color w:val="auto"/>
        </w:rPr>
      </w:pPr>
    </w:p>
    <w:p>
      <w:pPr>
        <w:ind w:left="800" w:hanging="695"/>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192" w:lineRule="exact"/>
        <w:rPr>
          <w:rFonts w:ascii="Times New Roman" w:cs="Times New Roman" w:eastAsia="Times New Roman" w:hAnsi="Times New Roman"/>
          <w:sz w:val="22"/>
          <w:szCs w:val="22"/>
          <w:color w:val="auto"/>
        </w:rPr>
      </w:pPr>
    </w:p>
    <w:p>
      <w:pPr>
        <w:ind w:left="1200" w:hanging="406"/>
        <w:spacing w:after="0" w:line="253" w:lineRule="exact"/>
        <w:tabs>
          <w:tab w:leader="none" w:pos="1200" w:val="left"/>
        </w:tabs>
        <w:numPr>
          <w:ilvl w:val="1"/>
          <w:numId w:val="21"/>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48" w:lineRule="exact"/>
        <w:rPr>
          <w:rFonts w:ascii="Times New Roman" w:cs="Times New Roman" w:eastAsia="Times New Roman" w:hAnsi="Times New Roman"/>
          <w:sz w:val="22"/>
          <w:szCs w:val="22"/>
          <w:color w:val="auto"/>
        </w:rPr>
      </w:pPr>
    </w:p>
    <w:p>
      <w:pPr>
        <w:ind w:left="1220" w:hanging="426"/>
        <w:spacing w:after="0" w:line="253" w:lineRule="exact"/>
        <w:tabs>
          <w:tab w:leader="none" w:pos="1220" w:val="left"/>
        </w:tabs>
        <w:numPr>
          <w:ilvl w:val="1"/>
          <w:numId w:val="21"/>
        </w:numPr>
        <w:rPr>
          <w:rFonts w:ascii="Times New Roman" w:cs="Times New Roman" w:eastAsia="Times New Roman" w:hAnsi="Times New Roman"/>
          <w:sz w:val="22"/>
          <w:szCs w:val="22"/>
          <w:b w:val="1"/>
          <w:bCs w:val="1"/>
          <w:color w:val="auto"/>
        </w:rPr>
      </w:pPr>
      <w:r>
        <w:rPr>
          <w:rFonts w:ascii="MS PGothic" w:cs="MS PGothic" w:eastAsia="MS PGothic" w:hAnsi="MS PGothic"/>
          <w:sz w:val="20"/>
          <w:szCs w:val="20"/>
          <w:color w:val="auto"/>
          <w:highlight w:val="black"/>
        </w:rPr>
        <w:t>☑</w:t>
      </w:r>
      <w:r>
        <w:rPr>
          <w:rFonts w:ascii="Times New Roman" w:cs="Times New Roman" w:eastAsia="Times New Roman" w:hAnsi="Times New Roman"/>
          <w:sz w:val="20"/>
          <w:szCs w:val="20"/>
          <w:b w:val="1"/>
          <w:bCs w:val="1"/>
          <w:color w:val="auto"/>
        </w:rPr>
        <w:t xml:space="preserve"> (1)</w:t>
      </w:r>
    </w:p>
    <w:p>
      <w:pPr>
        <w:spacing w:after="0" w:line="3" w:lineRule="exact"/>
        <w:rPr>
          <w:rFonts w:ascii="Times New Roman" w:cs="Times New Roman" w:eastAsia="Times New Roman" w:hAnsi="Times New Roman"/>
          <w:sz w:val="22"/>
          <w:szCs w:val="22"/>
          <w:b w:val="1"/>
          <w:bCs w:val="1"/>
          <w:color w:val="auto"/>
        </w:rPr>
      </w:pPr>
    </w:p>
    <w:p>
      <w:pPr>
        <w:ind w:left="800" w:hanging="695"/>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3" w:lineRule="exact"/>
        <w:rPr>
          <w:rFonts w:ascii="Times New Roman" w:cs="Times New Roman" w:eastAsia="Times New Roman" w:hAnsi="Times New Roman"/>
          <w:sz w:val="22"/>
          <w:szCs w:val="22"/>
          <w:color w:val="auto"/>
        </w:rPr>
      </w:pPr>
    </w:p>
    <w:p>
      <w:pPr>
        <w:ind w:left="800" w:hanging="695"/>
        <w:spacing w:after="0" w:line="233" w:lineRule="auto"/>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0637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0637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5"/>
        </w:trPr>
        <w:tc>
          <w:tcPr>
            <w:tcW w:w="21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2"/>
                <w:szCs w:val="22"/>
                <w:color w:val="auto"/>
                <w:w w:val="97"/>
              </w:rPr>
              <w:t>Number of</w:t>
            </w:r>
          </w:p>
        </w:tc>
        <w:tc>
          <w:tcPr>
            <w:tcW w:w="400" w:type="dxa"/>
            <w:vAlign w:val="bottom"/>
            <w:tcBorders>
              <w:top w:val="single" w:sz="8" w:color="auto"/>
            </w:tcBorders>
          </w:tcPr>
          <w:p>
            <w:pPr>
              <w:jc w:val="right"/>
              <w:ind w:right="32"/>
              <w:spacing w:after="0" w:line="205" w:lineRule="exact"/>
              <w:rPr>
                <w:sz w:val="20"/>
                <w:szCs w:val="20"/>
                <w:color w:val="auto"/>
              </w:rPr>
            </w:pPr>
            <w:r>
              <w:rPr>
                <w:rFonts w:ascii="Times New Roman" w:cs="Times New Roman" w:eastAsia="Times New Roman" w:hAnsi="Times New Roman"/>
                <w:sz w:val="22"/>
                <w:szCs w:val="22"/>
                <w:color w:val="auto"/>
              </w:rPr>
              <w:t>5.</w:t>
            </w:r>
          </w:p>
        </w:tc>
        <w:tc>
          <w:tcPr>
            <w:tcW w:w="858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86"/>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Shares</w:t>
            </w:r>
          </w:p>
        </w:tc>
        <w:tc>
          <w:tcPr>
            <w:tcW w:w="400" w:type="dxa"/>
            <w:vAlign w:val="bottom"/>
          </w:tcPr>
          <w:p>
            <w:pPr>
              <w:spacing w:after="0"/>
              <w:rPr>
                <w:sz w:val="24"/>
                <w:szCs w:val="24"/>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5,434 shares of Common Stock</w:t>
            </w:r>
          </w:p>
        </w:tc>
        <w:tc>
          <w:tcPr>
            <w:tcW w:w="0" w:type="dxa"/>
            <w:vAlign w:val="bottom"/>
          </w:tcPr>
          <w:p>
            <w:pPr>
              <w:spacing w:after="0"/>
              <w:rPr>
                <w:sz w:val="1"/>
                <w:szCs w:val="1"/>
                <w:color w:val="auto"/>
              </w:rPr>
            </w:pPr>
          </w:p>
        </w:tc>
      </w:tr>
      <w:tr>
        <w:trPr>
          <w:trHeight w:val="109"/>
        </w:trPr>
        <w:tc>
          <w:tcPr>
            <w:tcW w:w="2160" w:type="dxa"/>
            <w:vAlign w:val="bottom"/>
            <w:vMerge w:val="continue"/>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Beneficially</w:t>
            </w:r>
          </w:p>
        </w:tc>
        <w:tc>
          <w:tcPr>
            <w:tcW w:w="400" w:type="dxa"/>
            <w:vAlign w:val="bottom"/>
          </w:tcPr>
          <w:p>
            <w:pPr>
              <w:jc w:val="right"/>
              <w:ind w:right="32"/>
              <w:spacing w:after="0" w:line="210" w:lineRule="exact"/>
              <w:rPr>
                <w:sz w:val="20"/>
                <w:szCs w:val="20"/>
                <w:color w:val="auto"/>
              </w:rPr>
            </w:pPr>
            <w:r>
              <w:rPr>
                <w:rFonts w:ascii="Times New Roman" w:cs="Times New Roman" w:eastAsia="Times New Roman" w:hAnsi="Times New Roman"/>
                <w:sz w:val="22"/>
                <w:szCs w:val="22"/>
                <w:color w:val="auto"/>
              </w:rPr>
              <w:t>6.</w:t>
            </w:r>
          </w:p>
        </w:tc>
        <w:tc>
          <w:tcPr>
            <w:tcW w:w="8580" w:type="dxa"/>
            <w:vAlign w:val="bottom"/>
          </w:tcPr>
          <w:p>
            <w:pPr>
              <w:ind w:left="160"/>
              <w:spacing w:after="0" w:line="210" w:lineRule="exact"/>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20"/>
        </w:trPr>
        <w:tc>
          <w:tcPr>
            <w:tcW w:w="21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5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r>
        <w:trPr>
          <w:trHeight w:val="143"/>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Owned by</w:t>
            </w:r>
          </w:p>
        </w:tc>
        <w:tc>
          <w:tcPr>
            <w:tcW w:w="400" w:type="dxa"/>
            <w:vAlign w:val="bottom"/>
          </w:tcPr>
          <w:p>
            <w:pPr>
              <w:spacing w:after="0"/>
              <w:rPr>
                <w:sz w:val="12"/>
                <w:szCs w:val="12"/>
                <w:color w:val="auto"/>
              </w:rPr>
            </w:pPr>
          </w:p>
        </w:tc>
        <w:tc>
          <w:tcPr>
            <w:tcW w:w="8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160" w:type="dxa"/>
            <w:vAlign w:val="bottom"/>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160" w:type="dxa"/>
            <w:vAlign w:val="bottom"/>
            <w:vMerge w:val="continue"/>
          </w:tcPr>
          <w:p>
            <w:pPr>
              <w:spacing w:after="0"/>
              <w:rPr>
                <w:sz w:val="6"/>
                <w:szCs w:val="6"/>
                <w:color w:val="auto"/>
              </w:rPr>
            </w:pPr>
          </w:p>
        </w:tc>
        <w:tc>
          <w:tcPr>
            <w:tcW w:w="400" w:type="dxa"/>
            <w:vAlign w:val="bottom"/>
            <w:vMerge w:val="restart"/>
          </w:tcPr>
          <w:p>
            <w:pPr>
              <w:jc w:val="right"/>
              <w:ind w:right="32"/>
              <w:spacing w:after="0" w:line="205" w:lineRule="exact"/>
              <w:rPr>
                <w:sz w:val="20"/>
                <w:szCs w:val="20"/>
                <w:color w:val="auto"/>
              </w:rPr>
            </w:pPr>
            <w:r>
              <w:rPr>
                <w:rFonts w:ascii="Times New Roman" w:cs="Times New Roman" w:eastAsia="Times New Roman" w:hAnsi="Times New Roman"/>
                <w:sz w:val="22"/>
                <w:szCs w:val="22"/>
                <w:color w:val="auto"/>
              </w:rPr>
              <w:t>7.</w:t>
            </w:r>
          </w:p>
        </w:tc>
        <w:tc>
          <w:tcPr>
            <w:tcW w:w="8580" w:type="dxa"/>
            <w:vAlign w:val="bottom"/>
            <w:vMerge w:val="restart"/>
          </w:tcPr>
          <w:p>
            <w:pPr>
              <w:ind w:left="160"/>
              <w:spacing w:after="0" w:line="205"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32"/>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Each</w:t>
            </w:r>
          </w:p>
        </w:tc>
        <w:tc>
          <w:tcPr>
            <w:tcW w:w="400" w:type="dxa"/>
            <w:vAlign w:val="bottom"/>
            <w:vMerge w:val="continue"/>
          </w:tcPr>
          <w:p>
            <w:pPr>
              <w:spacing w:after="0"/>
              <w:rPr>
                <w:sz w:val="11"/>
                <w:szCs w:val="11"/>
                <w:color w:val="auto"/>
              </w:rPr>
            </w:pPr>
          </w:p>
        </w:tc>
        <w:tc>
          <w:tcPr>
            <w:tcW w:w="8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5,434 shares of Common Stock</w:t>
            </w:r>
          </w:p>
        </w:tc>
        <w:tc>
          <w:tcPr>
            <w:tcW w:w="0" w:type="dxa"/>
            <w:vAlign w:val="bottom"/>
          </w:tcPr>
          <w:p>
            <w:pPr>
              <w:spacing w:after="0"/>
              <w:rPr>
                <w:sz w:val="1"/>
                <w:szCs w:val="1"/>
                <w:color w:val="auto"/>
              </w:rPr>
            </w:pPr>
          </w:p>
        </w:tc>
      </w:tr>
      <w:tr>
        <w:trPr>
          <w:trHeight w:val="110"/>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Reporting</w:t>
            </w:r>
          </w:p>
        </w:tc>
        <w:tc>
          <w:tcPr>
            <w:tcW w:w="400" w:type="dxa"/>
            <w:vAlign w:val="bottom"/>
            <w:tcBorders>
              <w:bottom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160" w:type="dxa"/>
            <w:vAlign w:val="bottom"/>
            <w:vMerge w:val="continue"/>
          </w:tcPr>
          <w:p>
            <w:pPr>
              <w:spacing w:after="0"/>
              <w:rPr>
                <w:sz w:val="13"/>
                <w:szCs w:val="13"/>
                <w:color w:val="auto"/>
              </w:rPr>
            </w:pPr>
          </w:p>
        </w:tc>
        <w:tc>
          <w:tcPr>
            <w:tcW w:w="400" w:type="dxa"/>
            <w:vAlign w:val="bottom"/>
            <w:vMerge w:val="restart"/>
          </w:tcPr>
          <w:p>
            <w:pPr>
              <w:jc w:val="right"/>
              <w:ind w:right="32"/>
              <w:spacing w:after="0" w:line="209" w:lineRule="exact"/>
              <w:rPr>
                <w:sz w:val="20"/>
                <w:szCs w:val="20"/>
                <w:color w:val="auto"/>
              </w:rPr>
            </w:pPr>
            <w:r>
              <w:rPr>
                <w:rFonts w:ascii="Times New Roman" w:cs="Times New Roman" w:eastAsia="Times New Roman" w:hAnsi="Times New Roman"/>
                <w:sz w:val="22"/>
                <w:szCs w:val="22"/>
                <w:color w:val="auto"/>
              </w:rPr>
              <w:t>8.</w:t>
            </w:r>
          </w:p>
        </w:tc>
        <w:tc>
          <w:tcPr>
            <w:tcW w:w="8580" w:type="dxa"/>
            <w:vAlign w:val="bottom"/>
            <w:vMerge w:val="restart"/>
          </w:tcPr>
          <w:p>
            <w:pPr>
              <w:ind w:left="160"/>
              <w:spacing w:after="0" w:line="209" w:lineRule="exact"/>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56"/>
        </w:trPr>
        <w:tc>
          <w:tcPr>
            <w:tcW w:w="21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Person With:</w:t>
            </w:r>
          </w:p>
        </w:tc>
        <w:tc>
          <w:tcPr>
            <w:tcW w:w="400" w:type="dxa"/>
            <w:vAlign w:val="bottom"/>
          </w:tcPr>
          <w:p>
            <w:pPr>
              <w:spacing w:after="0"/>
              <w:rPr>
                <w:sz w:val="24"/>
                <w:szCs w:val="24"/>
                <w:color w:val="auto"/>
              </w:rPr>
            </w:pPr>
          </w:p>
        </w:tc>
        <w:tc>
          <w:tcPr>
            <w:tcW w:w="85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0 shares of Common Stock</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800" w:hanging="695"/>
        <w:spacing w:after="0"/>
        <w:tabs>
          <w:tab w:leader="none" w:pos="8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5,434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0637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ind w:left="100"/>
        <w:spacing w:after="0" w:line="239" w:lineRule="exact"/>
        <w:tabs>
          <w:tab w:leader="none" w:pos="780" w:val="left"/>
          <w:tab w:leader="none" w:pos="1040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9"/>
          <w:szCs w:val="19"/>
          <w:color w:val="auto"/>
        </w:rPr>
        <w:t>☐</w:t>
      </w:r>
    </w:p>
    <w:p>
      <w:pPr>
        <w:spacing w:after="0" w:line="227" w:lineRule="exact"/>
        <w:rPr>
          <w:sz w:val="20"/>
          <w:szCs w:val="20"/>
          <w:color w:val="auto"/>
        </w:rPr>
      </w:pPr>
    </w:p>
    <w:p>
      <w:pPr>
        <w:ind w:left="800" w:hanging="695"/>
        <w:spacing w:after="0"/>
        <w:tabs>
          <w:tab w:leader="none" w:pos="8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w:t>
      </w:r>
    </w:p>
    <w:p>
      <w:pPr>
        <w:spacing w:after="0" w:line="1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0% (2)</w:t>
      </w:r>
    </w:p>
    <w:p>
      <w:pPr>
        <w:spacing w:after="0" w:line="6" w:lineRule="exact"/>
        <w:rPr>
          <w:rFonts w:ascii="Times New Roman" w:cs="Times New Roman" w:eastAsia="Times New Roman" w:hAnsi="Times New Roman"/>
          <w:sz w:val="22"/>
          <w:szCs w:val="22"/>
          <w:color w:val="auto"/>
        </w:rPr>
      </w:pPr>
    </w:p>
    <w:p>
      <w:pPr>
        <w:ind w:left="800" w:hanging="695"/>
        <w:spacing w:after="0" w:line="234" w:lineRule="auto"/>
        <w:tabs>
          <w:tab w:leader="none" w:pos="8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5" w:lineRule="exact"/>
        <w:rPr>
          <w:rFonts w:ascii="Times New Roman" w:cs="Times New Roman" w:eastAsia="Times New Roman" w:hAnsi="Times New Roman"/>
          <w:sz w:val="22"/>
          <w:szCs w:val="22"/>
          <w:color w:val="auto"/>
        </w:rPr>
      </w:pPr>
    </w:p>
    <w:p>
      <w:pPr>
        <w:ind w:left="660" w:hanging="247"/>
        <w:spacing w:after="0" w:line="233" w:lineRule="auto"/>
        <w:tabs>
          <w:tab w:leader="none" w:pos="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3 to the statement on Schedule 13G is filed by the Reporting Persons. The Reporting Persons expressly disclaim status as a “group” for purposes of this Schedule 13G.</w:t>
      </w:r>
    </w:p>
    <w:p>
      <w:pPr>
        <w:ind w:left="660" w:hanging="247"/>
        <w:spacing w:after="0" w:line="239" w:lineRule="auto"/>
        <w:tabs>
          <w:tab w:leader="none" w:pos="6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set forth on the cover sheets are calculated based on 81,726,113 shares of Common Stock reported to be outstanding as of October 31, 2022 as set forth in the Issuer’s Form 10-Q for the period ended September 30, 2022 as filed with the Securities and Exchange Commission (“SEC”) on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-789940</wp:posOffset>
            </wp:positionV>
            <wp:extent cx="70637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-1107440</wp:posOffset>
            </wp:positionV>
            <wp:extent cx="70637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-1416050</wp:posOffset>
            </wp:positionV>
            <wp:extent cx="70637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Introductory Note: This Amendment No. 3 to the statement on Schedule 13G is filed by the Reporting Persons in respect of shares of Common Stock, par value $0.001 per share (“Common Stock”), of NGM Biopharmaceuticals, Inc. (the “Issuer”).</w:t>
      </w:r>
    </w:p>
    <w:p>
      <w:pPr>
        <w:spacing w:after="0" w:line="26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Officers: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NGM Biopharmaceuticals, Inc., 333 Oyster Point Boulevard, South San Francisco, CA 94080</w:t>
      </w:r>
    </w:p>
    <w:p>
      <w:pPr>
        <w:spacing w:after="0" w:line="200" w:lineRule="exact"/>
        <w:rPr>
          <w:sz w:val="20"/>
          <w:szCs w:val="20"/>
          <w:color w:val="auto"/>
        </w:rPr>
      </w:pPr>
    </w:p>
    <w:p>
      <w:pPr>
        <w:spacing w:after="0" w:line="23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Person(s) Filing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Rho Ventures V, L.P. (“RV V”)</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Rho Ventures V Affiliates, L.L.C. (“RV V Affiliates”)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Rho Capital Partners LLC (“RCP”)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RMV V, L.L.C. (“RMV V”)</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Joshua Ruch (“Ruch”)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 Leschly (“Leschly”)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Habib Kairouz (“Kairouz”)</w:t>
      </w:r>
    </w:p>
    <w:p>
      <w:pPr>
        <w:spacing w:after="0" w:line="200" w:lineRule="exact"/>
        <w:rPr>
          <w:sz w:val="20"/>
          <w:szCs w:val="20"/>
          <w:color w:val="auto"/>
        </w:rPr>
      </w:pPr>
    </w:p>
    <w:p>
      <w:pPr>
        <w:spacing w:after="0" w:line="21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RV V, RV V Affiliates, RCP, RMV V, Ruch, Leschly and Kairouz:</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Rho Ventures, 152 W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New York 10019</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2060" w:type="dxa"/>
            <w:vAlign w:val="bottom"/>
          </w:tcPr>
          <w:p>
            <w:pPr>
              <w:spacing w:after="0"/>
              <w:rPr>
                <w:sz w:val="20"/>
                <w:szCs w:val="20"/>
                <w:color w:val="auto"/>
              </w:rPr>
            </w:pPr>
          </w:p>
        </w:tc>
      </w:tr>
      <w:tr>
        <w:trPr>
          <w:trHeight w:val="414"/>
        </w:trPr>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RV V</w:t>
            </w:r>
          </w:p>
        </w:tc>
        <w:tc>
          <w:tcPr>
            <w:tcW w:w="2400" w:type="dxa"/>
            <w:vAlign w:val="bottom"/>
          </w:tcPr>
          <w:p>
            <w:pPr>
              <w:spacing w:after="0"/>
              <w:rPr>
                <w:sz w:val="24"/>
                <w:szCs w:val="24"/>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7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RV V Affiliates</w:t>
            </w: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RCP</w:t>
            </w:r>
          </w:p>
        </w:tc>
        <w:tc>
          <w:tcPr>
            <w:tcW w:w="2400" w:type="dxa"/>
            <w:vAlign w:val="bottom"/>
          </w:tcPr>
          <w:p>
            <w:pPr>
              <w:spacing w:after="0"/>
              <w:rPr>
                <w:sz w:val="18"/>
                <w:szCs w:val="18"/>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RMV V</w:t>
            </w:r>
          </w:p>
        </w:tc>
        <w:tc>
          <w:tcPr>
            <w:tcW w:w="2400" w:type="dxa"/>
            <w:vAlign w:val="bottom"/>
          </w:tcPr>
          <w:p>
            <w:pPr>
              <w:spacing w:after="0"/>
              <w:rPr>
                <w:sz w:val="18"/>
                <w:szCs w:val="18"/>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Leschly</w:t>
            </w:r>
          </w:p>
        </w:tc>
        <w:tc>
          <w:tcPr>
            <w:tcW w:w="2400" w:type="dxa"/>
            <w:vAlign w:val="bottom"/>
          </w:tcPr>
          <w:p>
            <w:pPr>
              <w:spacing w:after="0"/>
              <w:rPr>
                <w:sz w:val="18"/>
                <w:szCs w:val="18"/>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Kingdom of Denmark</w:t>
            </w:r>
          </w:p>
        </w:tc>
      </w:tr>
      <w:tr>
        <w:trPr>
          <w:trHeight w:val="216"/>
        </w:trPr>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Kairouz</w:t>
            </w:r>
          </w:p>
        </w:tc>
        <w:tc>
          <w:tcPr>
            <w:tcW w:w="2400" w:type="dxa"/>
            <w:vAlign w:val="bottom"/>
          </w:tcPr>
          <w:p>
            <w:pPr>
              <w:spacing w:after="0"/>
              <w:rPr>
                <w:sz w:val="18"/>
                <w:szCs w:val="18"/>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34"/>
        </w:trPr>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Ruch</w:t>
            </w:r>
          </w:p>
        </w:tc>
        <w:tc>
          <w:tcPr>
            <w:tcW w:w="2400" w:type="dxa"/>
            <w:vAlign w:val="bottom"/>
          </w:tcPr>
          <w:p>
            <w:pPr>
              <w:spacing w:after="0"/>
              <w:rPr>
                <w:sz w:val="20"/>
                <w:szCs w:val="20"/>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62921N 105</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8"/>
          <w:szCs w:val="18"/>
          <w:b w:val="1"/>
          <w:bCs w:val="1"/>
          <w:color w:val="auto"/>
        </w:rPr>
        <w:t>Amount Beneficially Owned:</w:t>
      </w:r>
    </w:p>
    <w:p>
      <w:pPr>
        <w:spacing w:after="0" w:line="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4(b).</w:t>
      </w:r>
      <w:r>
        <w:rPr>
          <w:sz w:val="20"/>
          <w:szCs w:val="20"/>
          <w:color w:val="auto"/>
        </w:rPr>
        <w:tab/>
      </w:r>
      <w:r>
        <w:rPr>
          <w:rFonts w:ascii="Times New Roman" w:cs="Times New Roman" w:eastAsia="Times New Roman" w:hAnsi="Times New Roman"/>
          <w:sz w:val="17"/>
          <w:szCs w:val="17"/>
          <w:b w:val="1"/>
          <w:bCs w:val="1"/>
          <w:color w:val="auto"/>
        </w:rPr>
        <w:t>Percent of Class:</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4(c).</w:t>
      </w:r>
      <w:r>
        <w:rPr>
          <w:sz w:val="20"/>
          <w:szCs w:val="20"/>
          <w:color w:val="auto"/>
        </w:rPr>
        <w:tab/>
      </w:r>
      <w:r>
        <w:rPr>
          <w:rFonts w:ascii="Times New Roman" w:cs="Times New Roman" w:eastAsia="Times New Roman" w:hAnsi="Times New Roman"/>
          <w:sz w:val="17"/>
          <w:szCs w:val="17"/>
          <w:b w:val="1"/>
          <w:bCs w:val="1"/>
          <w:color w:val="auto"/>
        </w:rPr>
        <w:t>Number of shares as to which such persons have: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with respect to the ownership of the Common Stock by the Reporting Persons filing this Amendment No. 2 to the statement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13G is provided as of December 31, 2020:</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Sole</w:t>
            </w: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Shared</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15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 Held</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Sole Voting</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Shared Voting</w:t>
            </w:r>
          </w:p>
        </w:tc>
        <w:tc>
          <w:tcPr>
            <w:tcW w:w="12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Dispositive</w:t>
            </w: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Dispositive</w:t>
            </w:r>
          </w:p>
        </w:tc>
        <w:tc>
          <w:tcPr>
            <w:tcW w:w="14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5"/>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Reporting Persons</w:t>
            </w:r>
          </w:p>
        </w:tc>
        <w:tc>
          <w:tcPr>
            <w:tcW w:w="15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Directly (1)</w:t>
            </w:r>
          </w:p>
        </w:tc>
        <w:tc>
          <w:tcPr>
            <w:tcW w:w="12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Power (1)</w:t>
            </w: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Power (1)</w:t>
            </w: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Power (1)</w:t>
            </w: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Power (1)</w:t>
            </w: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Ownership (1)</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of Class (1, 5)</w:t>
            </w:r>
          </w:p>
        </w:tc>
      </w:tr>
      <w:tr>
        <w:trPr>
          <w:trHeight w:val="205"/>
        </w:trPr>
        <w:tc>
          <w:tcPr>
            <w:tcW w:w="18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auto"/>
              </w:rPr>
              <w:t>RV V</w:t>
            </w:r>
          </w:p>
        </w:tc>
        <w:tc>
          <w:tcPr>
            <w:tcW w:w="158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30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24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32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80" w:type="dxa"/>
            <w:vAlign w:val="bottom"/>
            <w:shd w:val="clear" w:color="auto" w:fill="E6EF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RV Affiliates</w:t>
            </w: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r>
      <w:tr>
        <w:trPr>
          <w:trHeight w:val="202"/>
        </w:trPr>
        <w:tc>
          <w:tcPr>
            <w:tcW w:w="18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auto"/>
              </w:rPr>
              <w:t>RMV V</w:t>
            </w:r>
          </w:p>
        </w:tc>
        <w:tc>
          <w:tcPr>
            <w:tcW w:w="158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30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24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32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80" w:type="dxa"/>
            <w:vAlign w:val="bottom"/>
            <w:shd w:val="clear" w:color="auto" w:fill="E6EF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RCP</w:t>
            </w: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18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auto"/>
              </w:rPr>
              <w:t>Ruch (2)</w:t>
            </w:r>
          </w:p>
        </w:tc>
        <w:tc>
          <w:tcPr>
            <w:tcW w:w="158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11,665</w:t>
            </w:r>
          </w:p>
        </w:tc>
        <w:tc>
          <w:tcPr>
            <w:tcW w:w="120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auto"/>
              </w:rPr>
              <w:t>11,665</w:t>
            </w:r>
          </w:p>
        </w:tc>
        <w:tc>
          <w:tcPr>
            <w:tcW w:w="130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419,118</w:t>
            </w:r>
          </w:p>
        </w:tc>
        <w:tc>
          <w:tcPr>
            <w:tcW w:w="124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11,665</w:t>
            </w:r>
          </w:p>
        </w:tc>
        <w:tc>
          <w:tcPr>
            <w:tcW w:w="132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419,118</w:t>
            </w:r>
          </w:p>
        </w:tc>
        <w:tc>
          <w:tcPr>
            <w:tcW w:w="144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430,783</w:t>
            </w:r>
          </w:p>
        </w:tc>
        <w:tc>
          <w:tcPr>
            <w:tcW w:w="1280" w:type="dxa"/>
            <w:vAlign w:val="bottom"/>
            <w:shd w:val="clear" w:color="auto" w:fill="E6EFFF"/>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Leschly (3)</w:t>
            </w:r>
          </w:p>
        </w:tc>
        <w:tc>
          <w:tcPr>
            <w:tcW w:w="1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60,425</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60,425</w:t>
            </w: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60,425</w:t>
            </w: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60,425</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18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auto"/>
              </w:rPr>
              <w:t>Kairouz</w:t>
            </w:r>
          </w:p>
        </w:tc>
        <w:tc>
          <w:tcPr>
            <w:tcW w:w="158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5,434</w:t>
            </w:r>
          </w:p>
        </w:tc>
        <w:tc>
          <w:tcPr>
            <w:tcW w:w="120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auto"/>
              </w:rPr>
              <w:t>5,434</w:t>
            </w:r>
          </w:p>
        </w:tc>
        <w:tc>
          <w:tcPr>
            <w:tcW w:w="130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24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5,434</w:t>
            </w:r>
          </w:p>
        </w:tc>
        <w:tc>
          <w:tcPr>
            <w:tcW w:w="1320" w:type="dxa"/>
            <w:vAlign w:val="bottom"/>
            <w:shd w:val="clear" w:color="auto" w:fill="E6EFFF"/>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144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auto"/>
              </w:rPr>
              <w:t>5,434</w:t>
            </w:r>
          </w:p>
        </w:tc>
        <w:tc>
          <w:tcPr>
            <w:tcW w:w="1280" w:type="dxa"/>
            <w:vAlign w:val="bottom"/>
            <w:shd w:val="clear" w:color="auto" w:fill="E6EFFF"/>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1783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shares of Common Stock currently underlying all securities held by the Reporting Persons.</w:t>
      </w:r>
    </w:p>
    <w:p>
      <w:pPr>
        <w:spacing w:after="0" w:line="12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419,118 shares of Common Stock are held in various accounts managed by Joshua Ruch.</w:t>
      </w:r>
    </w:p>
    <w:p>
      <w:pPr>
        <w:spacing w:after="0" w:line="12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held directly by Mark Leschly to purchase 60,425 shares of Common Stock which are presently exercisable.</w:t>
      </w:r>
    </w:p>
    <w:p>
      <w:pPr>
        <w:spacing w:after="0" w:line="72" w:lineRule="exact"/>
        <w:rPr>
          <w:rFonts w:ascii="Times New Roman" w:cs="Times New Roman" w:eastAsia="Times New Roman" w:hAnsi="Times New Roman"/>
          <w:sz w:val="16"/>
          <w:szCs w:val="16"/>
          <w:color w:val="auto"/>
        </w:rPr>
      </w:pPr>
    </w:p>
    <w:p>
      <w:pPr>
        <w:ind w:left="260" w:hanging="252"/>
        <w:spacing w:after="0" w:line="298" w:lineRule="auto"/>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set forth above are calculated based on 81,726,113 shares of Common Stock reported to be outstanding as of October 31, 2022 as set forth in the Issuer’s Form 10-Q for the period ended September 30, 2020 as filed with the Securities and Exchange Commission (“SEC”) on November 3, 2022.</w:t>
      </w:r>
    </w:p>
    <w:p>
      <w:pPr>
        <w:spacing w:after="0" w:line="3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6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ind w:left="5100"/>
        <w:spacing w:after="0"/>
        <w:rPr>
          <w:sz w:val="20"/>
          <w:szCs w:val="20"/>
          <w:color w:val="auto"/>
        </w:rPr>
      </w:pPr>
      <w:r>
        <w:rPr>
          <w:rFonts w:ascii="Times New Roman" w:cs="Times New Roman" w:eastAsia="Times New Roman" w:hAnsi="Times New Roman"/>
          <w:sz w:val="17"/>
          <w:szCs w:val="17"/>
          <w:color w:val="auto"/>
        </w:rPr>
        <w:t>SIGNATURES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9,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RHO VENTURES V,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RMV V,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RHO VENTURES V AFFILIATES,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RMV V,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MANAGING MEMBER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RHO CAPITAL PARTNERS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RMV V,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JOSHUA RUCH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HABIB KAIROUZ</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LESCHLY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1:</w:t>
      </w:r>
      <w:r>
        <w:rPr>
          <w:sz w:val="20"/>
          <w:szCs w:val="20"/>
          <w:color w:val="auto"/>
        </w:rPr>
        <w:tab/>
      </w:r>
      <w:r>
        <w:rPr>
          <w:rFonts w:ascii="Times New Roman" w:cs="Times New Roman" w:eastAsia="Times New Roman" w:hAnsi="Times New Roman"/>
          <w:sz w:val="19"/>
          <w:szCs w:val="19"/>
          <w:color w:val="auto"/>
        </w:rPr>
        <w:t>Joint Filing Statement</w:t>
      </w:r>
    </w:p>
    <w:p>
      <w:pPr>
        <w:spacing w:after="0" w:line="2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2:</w:t>
      </w:r>
      <w:r>
        <w:rPr>
          <w:sz w:val="20"/>
          <w:szCs w:val="20"/>
          <w:color w:val="auto"/>
        </w:rPr>
        <w:tab/>
      </w:r>
      <w:r>
        <w:rPr>
          <w:rFonts w:ascii="Times New Roman" w:cs="Times New Roman" w:eastAsia="Times New Roman" w:hAnsi="Times New Roman"/>
          <w:sz w:val="19"/>
          <w:szCs w:val="19"/>
          <w:color w:val="auto"/>
        </w:rPr>
        <w:t>Power of Attorney</w:t>
      </w:r>
    </w:p>
    <w:p>
      <w:pPr>
        <w:spacing w:after="0" w:line="18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685" w:right="1079" w:bottom="1440" w:gutter="0" w:footer="0" w:header="0"/>
        </w:sectPr>
      </w:pPr>
    </w:p>
    <w:bookmarkStart w:id="11" w:name="page12"/>
    <w:bookmarkEnd w:id="11"/>
    <w:p>
      <w:pPr>
        <w:ind w:left="100"/>
        <w:spacing w:after="0"/>
        <w:tabs>
          <w:tab w:leader="none" w:pos="5500" w:val="left"/>
          <w:tab w:leader="none" w:pos="1042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50"/>
          <w:szCs w:val="50"/>
          <w:b w:val="1"/>
          <w:bCs w:val="1"/>
          <w:color w:val="auto"/>
          <w:vertAlign w:val="subscript"/>
        </w:rPr>
        <w:t>13G</w:t>
      </w:r>
      <w:r>
        <w:rPr>
          <w:sz w:val="20"/>
          <w:szCs w:val="20"/>
          <w:color w:val="auto"/>
        </w:rPr>
        <w:tab/>
      </w:r>
      <w:r>
        <w:rPr>
          <w:rFonts w:ascii="Times New Roman" w:cs="Times New Roman" w:eastAsia="Times New Roman" w:hAnsi="Times New Roman"/>
          <w:sz w:val="17"/>
          <w:szCs w:val="17"/>
          <w:b w:val="1"/>
          <w:bCs w:val="1"/>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the shares of Common Stock of NGM Biopharmaceuticals,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RHO VENTURES V, 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RMV V,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RHO VENTURES V AFFILIATES,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RMV V,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MANAGING MEMBER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RHO CAPITAL PARTNERS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RMV V,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JOSHUA RUCH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HABIB KAIROUZ</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LESCHLY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Peter Kalkanis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Kalkanis, Authorized Signer</w:t>
      </w:r>
    </w:p>
    <w:p>
      <w:pPr>
        <w:spacing w:after="0" w:line="1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100"/>
        <w:spacing w:after="0"/>
        <w:tabs>
          <w:tab w:leader="none" w:pos="5500" w:val="left"/>
          <w:tab w:leader="none" w:pos="1042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50"/>
          <w:szCs w:val="50"/>
          <w:b w:val="1"/>
          <w:bCs w:val="1"/>
          <w:color w:val="auto"/>
          <w:vertAlign w:val="subscript"/>
        </w:rPr>
        <w:t>13G</w:t>
      </w:r>
      <w:r>
        <w:rPr>
          <w:sz w:val="20"/>
          <w:szCs w:val="20"/>
          <w:color w:val="auto"/>
        </w:rPr>
        <w:tab/>
      </w:r>
      <w:r>
        <w:rPr>
          <w:rFonts w:ascii="Times New Roman" w:cs="Times New Roman" w:eastAsia="Times New Roman" w:hAnsi="Times New Roman"/>
          <w:sz w:val="17"/>
          <w:szCs w:val="17"/>
          <w:b w:val="1"/>
          <w:bCs w:val="1"/>
          <w:color w:val="auto"/>
        </w:rPr>
        <w:t>Exhibit 2</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29"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The undersigned hereby constitutes and appoints Peter Kalkanis, with full power of substitution, as the undersigned's true and lawful attorney-in-fact to:</w:t>
      </w:r>
    </w:p>
    <w:p>
      <w:pPr>
        <w:spacing w:after="0" w:line="159" w:lineRule="exact"/>
        <w:rPr>
          <w:sz w:val="20"/>
          <w:szCs w:val="20"/>
          <w:color w:val="auto"/>
        </w:rPr>
      </w:pPr>
    </w:p>
    <w:p>
      <w:pPr>
        <w:ind w:right="40" w:firstLine="8"/>
        <w:spacing w:after="0" w:line="249" w:lineRule="auto"/>
        <w:tabs>
          <w:tab w:leader="none" w:pos="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79" w:lineRule="exact"/>
        <w:rPr>
          <w:rFonts w:ascii="Times New Roman" w:cs="Times New Roman" w:eastAsia="Times New Roman" w:hAnsi="Times New Roman"/>
          <w:sz w:val="20"/>
          <w:szCs w:val="20"/>
          <w:color w:val="auto"/>
        </w:rPr>
      </w:pPr>
    </w:p>
    <w:p>
      <w:pPr>
        <w:ind w:right="40" w:firstLine="8"/>
        <w:spacing w:after="0" w:line="254" w:lineRule="auto"/>
        <w:tabs>
          <w:tab w:leader="none" w:pos="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NGM Biopharmaceuticals, Inc. (the "Company") and/or 5% or 10% holder of the Company's capital stock, Forms 3, 4, and 5 as well as any Section 13D or 13G filings and any amendments thereto in accordance with Sections 13 and 16(a) of the Securities Exchange Act of 1934 and the rules thereunder;</w:t>
      </w:r>
    </w:p>
    <w:p>
      <w:pPr>
        <w:spacing w:after="0" w:line="174" w:lineRule="exact"/>
        <w:rPr>
          <w:rFonts w:ascii="Times New Roman" w:cs="Times New Roman" w:eastAsia="Times New Roman" w:hAnsi="Times New Roman"/>
          <w:sz w:val="20"/>
          <w:szCs w:val="20"/>
          <w:color w:val="auto"/>
        </w:rPr>
      </w:pPr>
    </w:p>
    <w:p>
      <w:pPr>
        <w:ind w:right="60" w:firstLine="8"/>
        <w:spacing w:after="0" w:line="254" w:lineRule="auto"/>
        <w:tabs>
          <w:tab w:leader="none" w:pos="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13D or 13G, complete and execute any amendment or amendments thereto, and timely file such form with the SEC and any stock exchange or similar authority; and</w:t>
      </w:r>
    </w:p>
    <w:p>
      <w:pPr>
        <w:spacing w:after="0" w:line="174" w:lineRule="exact"/>
        <w:rPr>
          <w:rFonts w:ascii="Times New Roman" w:cs="Times New Roman" w:eastAsia="Times New Roman" w:hAnsi="Times New Roman"/>
          <w:sz w:val="20"/>
          <w:szCs w:val="20"/>
          <w:color w:val="auto"/>
        </w:rPr>
      </w:pPr>
    </w:p>
    <w:p>
      <w:pPr>
        <w:ind w:firstLine="8"/>
        <w:spacing w:after="0" w:line="249" w:lineRule="auto"/>
        <w:tabs>
          <w:tab w:leader="none" w:pos="2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or 16 of the Securities Exchange Act of 1934.</w:t>
      </w:r>
    </w:p>
    <w:p>
      <w:pPr>
        <w:spacing w:after="0" w:line="186"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13D or 13G with respect to the undersigned's holdings of and transactions in securities issued by the Company, unless earlier revoked by the undersigned in a signed writing delivered to the foregoing attorneys-in-fact.</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left="100"/>
        <w:spacing w:after="0"/>
        <w:tabs>
          <w:tab w:leader="none" w:pos="5500" w:val="left"/>
          <w:tab w:leader="none" w:pos="10420" w:val="left"/>
        </w:tabs>
        <w:rPr>
          <w:sz w:val="20"/>
          <w:szCs w:val="20"/>
          <w:color w:val="auto"/>
        </w:rPr>
      </w:pPr>
      <w:r>
        <w:rPr>
          <w:rFonts w:ascii="Times New Roman" w:cs="Times New Roman" w:eastAsia="Times New Roman" w:hAnsi="Times New Roman"/>
          <w:sz w:val="18"/>
          <w:szCs w:val="18"/>
          <w:b w:val="1"/>
          <w:bCs w:val="1"/>
          <w:color w:val="auto"/>
        </w:rPr>
        <w:t>CUSIP No. 62921N 105</w:t>
      </w:r>
      <w:r>
        <w:rPr>
          <w:sz w:val="20"/>
          <w:szCs w:val="20"/>
          <w:color w:val="auto"/>
        </w:rPr>
        <w:tab/>
      </w:r>
      <w:r>
        <w:rPr>
          <w:rFonts w:ascii="Times New Roman" w:cs="Times New Roman" w:eastAsia="Times New Roman" w:hAnsi="Times New Roman"/>
          <w:sz w:val="50"/>
          <w:szCs w:val="50"/>
          <w:b w:val="1"/>
          <w:bCs w:val="1"/>
          <w:color w:val="auto"/>
          <w:vertAlign w:val="subscript"/>
        </w:rPr>
        <w:t>13G</w:t>
      </w:r>
      <w:r>
        <w:rPr>
          <w:sz w:val="20"/>
          <w:szCs w:val="20"/>
          <w:color w:val="auto"/>
        </w:rPr>
        <w:tab/>
      </w:r>
      <w:r>
        <w:rPr>
          <w:rFonts w:ascii="Times New Roman" w:cs="Times New Roman" w:eastAsia="Times New Roman" w:hAnsi="Times New Roman"/>
          <w:sz w:val="17"/>
          <w:szCs w:val="17"/>
          <w:b w:val="1"/>
          <w:bCs w:val="1"/>
          <w:color w:val="auto"/>
        </w:rPr>
        <w:t>Exhibit 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9th day of February,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RHO VENTURES V,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RMV V, L.L.C., its General Partner</w:t>
      </w:r>
    </w:p>
    <w:p>
      <w:pPr>
        <w:spacing w:after="0"/>
        <w:rPr>
          <w:sz w:val="20"/>
          <w:szCs w:val="20"/>
          <w:color w:val="auto"/>
        </w:rPr>
      </w:pPr>
      <w:r>
        <w:rPr>
          <w:rFonts w:ascii="Times New Roman" w:cs="Times New Roman" w:eastAsia="Times New Roman" w:hAnsi="Times New Roman"/>
          <w:sz w:val="20"/>
          <w:szCs w:val="20"/>
          <w:color w:val="auto"/>
        </w:rPr>
        <w:t>By: Rho Capital Partners LLC, 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Habib Kairouz</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Habib Kairouz</w:t>
      </w:r>
    </w:p>
    <w:p>
      <w:pPr>
        <w:ind w:left="34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RMV V,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Rho Capital Partners LLC, 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/s/Habib Kairouz</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Habib Kairouz</w:t>
      </w:r>
    </w:p>
    <w:p>
      <w:pPr>
        <w:ind w:left="34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RHO CAPITAL PARTNERS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/s/Habib Kairouz</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Habib Kairouz</w:t>
      </w:r>
    </w:p>
    <w:p>
      <w:pPr>
        <w:ind w:left="34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RHO VENTURES V AFFILIATES,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RMV V, L.L.C., its Managing Member</w:t>
      </w:r>
    </w:p>
    <w:p>
      <w:pPr>
        <w:spacing w:after="0"/>
        <w:rPr>
          <w:sz w:val="20"/>
          <w:szCs w:val="20"/>
          <w:color w:val="auto"/>
        </w:rPr>
      </w:pPr>
      <w:r>
        <w:rPr>
          <w:rFonts w:ascii="Times New Roman" w:cs="Times New Roman" w:eastAsia="Times New Roman" w:hAnsi="Times New Roman"/>
          <w:sz w:val="20"/>
          <w:szCs w:val="20"/>
          <w:color w:val="auto"/>
        </w:rPr>
        <w:t>By: Rho Capital Partners LLC, 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/s/Habib Kairouz</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Habib Kairouz</w:t>
      </w:r>
    </w:p>
    <w:p>
      <w:pPr>
        <w:ind w:left="34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/s/Habib Kairouz</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Habib Kairouz</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Joshua Ruch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Joshua Ruch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Mark Leschly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Leschly</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34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1."/>
      <w:numFmt w:val="decimal"/>
      <w:start w:val="1"/>
    </w:lvl>
    <w:lvl w:ilvl="1">
      <w:lvlJc w:val="left"/>
      <w:lvlText w:val="(%2)"/>
      <w:numFmt w:val="lowerLetter"/>
      <w:start w:val="1"/>
    </w:lvl>
  </w:abstractNum>
  <w:abstractNum w:abstractNumId="2">
    <w:nsid w:val="DED7263"/>
    <w:multiLevelType w:val="hybridMultilevel"/>
    <w:lvl w:ilvl="0">
      <w:lvlJc w:val="left"/>
      <w:lvlText w:val="%1."/>
      <w:numFmt w:val="decimal"/>
      <w:start w:val="9"/>
    </w:lvl>
  </w:abstractNum>
  <w:abstractNum w:abstractNumId="3">
    <w:nsid w:val="7FDCC233"/>
    <w:multiLevelType w:val="hybridMultilevel"/>
    <w:lvl w:ilvl="0">
      <w:lvlJc w:val="left"/>
      <w:lvlText w:val="%1."/>
      <w:numFmt w:val="decimal"/>
      <w:start w:val="11"/>
    </w:lvl>
    <w:lvl w:ilvl="1">
      <w:lvlJc w:val="left"/>
      <w:lvlText w:val="(%2)"/>
      <w:numFmt w:val="decimal"/>
      <w:start w:val="1"/>
    </w:lvl>
  </w:abstractNum>
  <w:abstractNum w:abstractNumId="4">
    <w:nsid w:val="1BEFD79F"/>
    <w:multiLevelType w:val="hybridMultilevel"/>
    <w:lvl w:ilvl="0">
      <w:lvlJc w:val="left"/>
      <w:lvlText w:val="%1."/>
      <w:numFmt w:val="decimal"/>
      <w:start w:val="1"/>
    </w:lvl>
    <w:lvl w:ilvl="1">
      <w:lvlJc w:val="left"/>
      <w:lvlText w:val="(%2)"/>
      <w:numFmt w:val="lowerLetter"/>
      <w:start w:val="1"/>
    </w:lvl>
  </w:abstractNum>
  <w:abstractNum w:abstractNumId="5">
    <w:nsid w:val="41A7C4C9"/>
    <w:multiLevelType w:val="hybridMultilevel"/>
    <w:lvl w:ilvl="0">
      <w:lvlJc w:val="left"/>
      <w:lvlText w:val="%1."/>
      <w:numFmt w:val="decimal"/>
      <w:start w:val="9"/>
    </w:lvl>
  </w:abstractNum>
  <w:abstractNum w:abstractNumId="6">
    <w:nsid w:val="6B68079A"/>
    <w:multiLevelType w:val="hybridMultilevel"/>
    <w:lvl w:ilvl="0">
      <w:lvlJc w:val="left"/>
      <w:lvlText w:val="%1."/>
      <w:numFmt w:val="decimal"/>
      <w:start w:val="11"/>
    </w:lvl>
    <w:lvl w:ilvl="1">
      <w:lvlJc w:val="left"/>
      <w:lvlText w:val="(%2)"/>
      <w:numFmt w:val="decimal"/>
      <w:start w:val="1"/>
    </w:lvl>
  </w:abstractNum>
  <w:abstractNum w:abstractNumId="7">
    <w:nsid w:val="4E6AFB66"/>
    <w:multiLevelType w:val="hybridMultilevel"/>
    <w:lvl w:ilvl="0">
      <w:lvlJc w:val="left"/>
      <w:lvlText w:val="%1."/>
      <w:numFmt w:val="decimal"/>
      <w:start w:val="1"/>
    </w:lvl>
    <w:lvl w:ilvl="1">
      <w:lvlJc w:val="left"/>
      <w:lvlText w:val="(%2)"/>
      <w:numFmt w:val="lowerLetter"/>
      <w:start w:val="1"/>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1"/>
    </w:lvl>
    <w:lvl w:ilvl="1">
      <w:lvlJc w:val="left"/>
      <w:lvlText w:val="(%2)"/>
      <w:numFmt w:val="decimal"/>
      <w:start w:val="1"/>
    </w:lvl>
  </w:abstractNum>
  <w:abstractNum w:abstractNumId="10">
    <w:nsid w:val="431BD7B7"/>
    <w:multiLevelType w:val="hybridMultilevel"/>
    <w:lvl w:ilvl="0">
      <w:lvlJc w:val="left"/>
      <w:lvlText w:val="%1."/>
      <w:numFmt w:val="decimal"/>
      <w:start w:val="1"/>
    </w:lvl>
    <w:lvl w:ilvl="1">
      <w:lvlJc w:val="left"/>
      <w:lvlText w:val="(%2)"/>
      <w:numFmt w:val="lowerLetter"/>
      <w:start w:val="1"/>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1"/>
    </w:lvl>
    <w:lvl w:ilvl="1">
      <w:lvlJc w:val="left"/>
      <w:lvlText w:val="(%2)"/>
      <w:numFmt w:val="decimal"/>
      <w:start w:val="1"/>
    </w:lvl>
  </w:abstractNum>
  <w:abstractNum w:abstractNumId="13">
    <w:nsid w:val="257130A3"/>
    <w:multiLevelType w:val="hybridMultilevel"/>
    <w:lvl w:ilvl="0">
      <w:lvlJc w:val="left"/>
      <w:lvlText w:val="%1."/>
      <w:numFmt w:val="decimal"/>
      <w:start w:val="1"/>
    </w:lvl>
    <w:lvl w:ilvl="1">
      <w:lvlJc w:val="left"/>
      <w:lvlText w:val="(%2)"/>
      <w:numFmt w:val="lowerLetter"/>
      <w:start w:val="1"/>
    </w:lvl>
  </w:abstractNum>
  <w:abstractNum w:abstractNumId="14">
    <w:nsid w:val="62BBD95A"/>
    <w:multiLevelType w:val="hybridMultilevel"/>
    <w:lvl w:ilvl="0">
      <w:lvlJc w:val="left"/>
      <w:lvlText w:val="%1."/>
      <w:numFmt w:val="decimal"/>
      <w:start w:val="5"/>
    </w:lvl>
  </w:abstractNum>
  <w:abstractNum w:abstractNumId="15">
    <w:nsid w:val="436C6125"/>
    <w:multiLevelType w:val="hybridMultilevel"/>
    <w:lvl w:ilvl="0">
      <w:lvlJc w:val="left"/>
      <w:lvlText w:val="%1."/>
      <w:numFmt w:val="decimal"/>
      <w:start w:val="9"/>
    </w:lvl>
  </w:abstractNum>
  <w:abstractNum w:abstractNumId="16">
    <w:nsid w:val="628C895D"/>
    <w:multiLevelType w:val="hybridMultilevel"/>
    <w:lvl w:ilvl="0">
      <w:lvlJc w:val="left"/>
      <w:lvlText w:val="%1."/>
      <w:numFmt w:val="decimal"/>
      <w:start w:val="11"/>
    </w:lvl>
    <w:lvl w:ilvl="1">
      <w:lvlJc w:val="left"/>
      <w:lvlText w:val="(%2)"/>
      <w:numFmt w:val="decimal"/>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1."/>
      <w:numFmt w:val="decimal"/>
      <w:start w:val="9"/>
    </w:lvl>
  </w:abstractNum>
  <w:abstractNum w:abstractNumId="19">
    <w:nsid w:val="2443A858"/>
    <w:multiLevelType w:val="hybridMultilevel"/>
    <w:lvl w:ilvl="0">
      <w:lvlJc w:val="left"/>
      <w:lvlText w:val="%1."/>
      <w:numFmt w:val="decimal"/>
      <w:start w:val="11"/>
    </w:lvl>
    <w:lvl w:ilvl="1">
      <w:lvlJc w:val="left"/>
      <w:lvlText w:val="(%2)"/>
      <w:numFmt w:val="decimal"/>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9"/>
    </w:lvl>
  </w:abstractNum>
  <w:abstractNum w:abstractNumId="22">
    <w:nsid w:val="75A2A8D4"/>
    <w:multiLevelType w:val="hybridMultilevel"/>
    <w:lvl w:ilvl="0">
      <w:lvlJc w:val="left"/>
      <w:lvlText w:val="%1."/>
      <w:numFmt w:val="decimal"/>
      <w:start w:val="11"/>
    </w:lvl>
    <w:lvl w:ilvl="1">
      <w:lvlJc w:val="left"/>
      <w:lvlText w:val="(%2)"/>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2023-02-13T11:59:17Z</dcterms:created>
  <dcterms:modified xsi:type="dcterms:W3CDTF">2023-02-13T11:59:17Z</dcterms:modified>
</cp:coreProperties>
</file>