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NGM BIOPHARMACEUTICALS,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62921N 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Peter Svennilson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Column Group, 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1700 Owens Street, Suite 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Francisco, CA 94158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May 7,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4"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16.8%</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Column Group, LP (“TCG LP”) has sole voting and dispositive control over 11,103,333 shares of common stock, par value $0.001 per share (“Common Stock”), of NGM Biopharmaceuticals, Inc. (the “Issuer”), except that The Column Group GP, LP (“TCG GP”), the general partner of TCG LP, and Peter Svennilson (“Svennilson”) and David V. Goeddel (“Goeddel”), the managing partners of TCG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GP,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AF, WC</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100,000(2)</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11,103,333(3)</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100,000(2)</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11,103,333(3)</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11,203,333(2)(3)</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17.0%</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560" w:hanging="436"/>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TCG GP has sole voting and dispositive control over 100,000 shares of Common Stock, except that Svennilson and Goeddel, the managing partners of TCG GP, may be deemed to share dispositive and voting power over such stock.</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TCG GP is the general partner of TCG LP and shares voting and dispositive power over the shares of Common Stock held by TCG LP.</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II,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32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Column Group II, LP (“TCG II LP”) has sole voting and dispositive control over 2,265,758 shares of Common Stock, except that The Column Group II GP, LP (“TCG II GP”), the general partner of TCG II LP, and Svennilson and Goeddel, the managing partners of TCG II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II GP,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1"/>
                <w:szCs w:val="11"/>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TCG II GP is the general partner of TCG II LP and shares voting and dispositive power over the shares of Common Stock held by TCG II LP.</w:t>
      </w:r>
    </w:p>
    <w:p>
      <w:pPr>
        <w:sectPr>
          <w:pgSz w:w="11900" w:h="16838" w:orient="portrait"/>
          <w:cols w:equalWidth="0" w:num="1">
            <w:col w:w="11040"/>
          </w:cols>
          <w:pgMar w:left="440" w:top="27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Management,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100,000(6)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100,000(6)</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100,000(6)</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0.2%</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80" w:hanging="436"/>
        <w:spacing w:after="0" w:line="342"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Column Group Management, LP (“TCGM LP”) has sole voting and dispositive control over 100,000 shares of Common Stock, except that Svennilson and Goeddel, the managing partners of TCGM LP,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Capital,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974,961(7)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974,961(7)</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974,961(7)</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40" w:right="28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Ponoi Capital, LP (“Ponoi LP”) has sole voting and dispositive control over 974,961 shares of Common Stock, except that Ponoi Management, LLC (“Ponoi LLC”), the general partner of Ponoi LP, and Goeddel, Svennilson and Tim Kutzkey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Management,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974,961(8)</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1"/>
                <w:szCs w:val="11"/>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974,961(8)</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974,961(8)</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Ponoi LLC is the general partner of Ponoi LP and shares voting and dispositive power over the shares of Common Stock held by Ponoi LP.</w:t>
      </w:r>
    </w:p>
    <w:p>
      <w:pPr>
        <w:sectPr>
          <w:pgSz w:w="11900" w:h="16838" w:orient="portrait"/>
          <w:cols w:equalWidth="0" w:num="1">
            <w:col w:w="11040"/>
          </w:cols>
          <w:pgMar w:left="440" w:top="27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Capital II,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974,962(9)</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974,962(9)</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974,962(9)</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40" w:hanging="436"/>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Ponoi Capital II, LP (“Ponoi II LP”) has sole voting and dispositive control over 974,962 shares of Common Stock, except that Ponoi II Management, LLC (“Ponoi II LLC”), the general partner of Ponoi II LP, and Goeddel, Svennilson and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II Management,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4"/>
                <w:szCs w:val="4"/>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974,962(10)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94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20" w:type="dxa"/>
            <w:vAlign w:val="bottom"/>
          </w:tcPr>
          <w:p>
            <w:pPr>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1"/>
                <w:szCs w:val="11"/>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974,962(10)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9"/>
              </w:rPr>
              <w:t>974,962(10)</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(10)  Ponoi II LLC is the general partner of Ponoi II LP and shares voting and dispositive power over the shares of Common Stock held by Ponoi II LP.</w:t>
      </w:r>
    </w:p>
    <w:p>
      <w:pPr>
        <w:sectPr>
          <w:pgSz w:w="11900" w:h="16838" w:orient="portrait"/>
          <w:cols w:equalWidth="0" w:num="1">
            <w:col w:w="11040"/>
          </w:cols>
          <w:pgMar w:left="440" w:top="27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Peter Svennilson</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9"/>
              </w:rPr>
              <w:t>AF, PF</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Sweden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44,000(11)</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15,519,014(12)</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1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44,000(11)</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15,519,014(12)</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15,563,014(11)(12)</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23.6%</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0" w:hanging="436"/>
        <w:spacing w:after="0" w:line="271"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24,000 shares of Common Stock underlying options received by Svennilson, as a director of the Issuer, exercisable in four equal quarterly installments such that the options will be fully vested on the earlier of (i) the one-year anniversary of the date of grant of May 15, 2019 and (ii) the day prior to the next Issuer’s annual stockholder meeting held after the effective date of the Issuer’s initial public offering.</w:t>
      </w:r>
    </w:p>
    <w:p>
      <w:pPr>
        <w:ind w:left="440" w:right="520" w:hanging="436"/>
        <w:spacing w:after="0" w:line="323"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Svennilson is a managing partner of TCG GP, TCG II GP, TCGM LP, Ponoi LLC and Ponoi II LLC and may be deemed to share voting and dispositive control over the shares of Common Stock held by TCG LP, TCG GP, TCG II LP, TCGM LP, Ponoi LP and Ponoi II LP.</w:t>
      </w:r>
    </w:p>
    <w:p>
      <w:pPr>
        <w:sectPr>
          <w:pgSz w:w="11900" w:h="16838" w:orient="portrait"/>
          <w:cols w:equalWidth="0" w:num="1">
            <w:col w:w="11040"/>
          </w:cols>
          <w:pgMar w:left="440" w:top="274"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David V. Goeddel</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AF, PF</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U.S.A.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24,000(13)</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15,709,014(14)</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3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24,000(13)</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15,709,014(14)</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15,733,014(13)(14)</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23.8%</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60" w:hanging="436"/>
        <w:spacing w:after="0" w:line="271"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24,000 shares of Common Stock underlying options received by Goeddel, as a director of the Issuer, exercisable in four equal quarterly installments such that the options will be fully vested on the earlier of (i) the one-year anniversary of the date of grant of May 15, 2019 and (ii) the day prior to the next Issuer’s annual stockholder meeting held after the effective date of the Issuer’s initial public offering.</w:t>
      </w:r>
    </w:p>
    <w:p>
      <w:pPr>
        <w:ind w:left="440" w:right="20" w:hanging="436"/>
        <w:spacing w:after="0" w:line="254"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Goeddel is a managing partner of TCG GP, TCG II GP, TCGM LP, Ponoi LLC and Ponoi II LLC and may be deemed to share voting and dispositive control over the shares of Common Stock held by TCG LP, TCG GP, TCG II LP, TCGM LP, Ponoi LP and Ponoi II LP. Goeddel serves as co-trustee of the David V. Goeddel and Alena Z. Goeddel 2004 Trust (the “Goeddel Trust”) and shares voting and dispositive control over 190,000 shares of Common Stock held directly by the Goeddel Trust.</w:t>
      </w:r>
    </w:p>
    <w:p>
      <w:pPr>
        <w:sectPr>
          <w:pgSz w:w="11900" w:h="16838" w:orient="portrait"/>
          <w:cols w:equalWidth="0" w:num="1">
            <w:col w:w="11040"/>
          </w:cols>
          <w:pgMar w:left="440" w:top="274"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Tim Kutzkey</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AF, PF</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U.S.A.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1,949,923(15)</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3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1,949,923(15)</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1,964,923(15)</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3.0%</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440" w:hanging="436"/>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Kutzkey is a managing partner of Ponoi LLC and Ponoi II LLC and may be deemed to share voting and dispositive control over the shares of Common Stock held by Ponoi LP and Ponoi II LP.</w:t>
      </w:r>
    </w:p>
    <w:p>
      <w:pPr>
        <w:sectPr>
          <w:pgSz w:w="11900" w:h="16838" w:orient="portrait"/>
          <w:cols w:equalWidth="0" w:num="1">
            <w:col w:w="11040"/>
          </w:cols>
          <w:pgMar w:left="440" w:top="274" w:right="41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This Amendment No. 1 supplements and amends the Schedule 13D relating to shares of common stock, par value $0.001 per share (the “Common Stock”), of NGM Biopharmaceuticals, Inc., a Delaware corporation (the “Issuer”), that was filed with the Securities and Exchange Commission (the “SEC”) on April 12, 2019 (the “Original Statement”). Only those items that are reported are hereby amended; all other items reported in the Original Statement remain unchanged. Capitalized terms contained herein but not otherwise defined shall have the meanings ascribed to such terms in the Original Statement. Information given in response to each item shall be deemed incorporated by reference in all other items as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3 of the Original Statement is hereby amended by adding the following as the last paragraphs thereof:</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May 7, 2019, Ponoi LP purchased 28,500 shares of Common Stock for an aggregate purchase price of $401,850 and Ponoi II LP purchased 28,500 shares of Common Stock for an aggregate purchase price of $401,850. On May 10, 2019, Ponoi LP purchased 8,961 shares of Common Stock for an aggregate purchase price of $124,109.85 and Ponoi II LP purchased 8,962 shares of Common Stock for an aggregate purchase price of $124,123.70. Ponoi LP and Ponoi II LP received the funds used to purchase each entity’s respective shares of Common Stock noted above from capital contributions made to each entity by their respective partners for investment purposes.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May 15, 2019, as consideration for their service as directors of the Issuer, Mr. Svennilson received options to purchase 24,000 shares of Common Stock and Mr. Goeddel received options to purchase 24,000 shares of Common Stock. The options are held individually by Mr. Svennilson and Mr. Goeddel,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Statement is hereby amended and restated in its entirety as follows: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TCG LP, TCG II LP, TCG GP, TCGM LP, Ponoi LP, Ponoi II LP, Mr. Goeddel, Mr. Svennilson and Mr. Kutzkey acquired the aforementioned Preferred Stock and Common Stock for investment purposes with the aim of increasing the value of their investments in the Issuer.</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Ponoi LP and Ponoi II LP may consider further purchases of securities of the Issuer subject to market conditions. Except as provided in the prior sentence and as set forth in Item 6 below, none of the Reporting Persons have a present plan or proposal that relates to or would result in any of the actions specified in clauses (a) through (j) of Item 4 of Schedule 13D.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as amended.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5(a), (b) and (c) of the Original Statement are hereby amended and restated in their entirety as follows:</w:t>
      </w:r>
    </w:p>
    <w:p>
      <w:pPr>
        <w:spacing w:after="0" w:line="225" w:lineRule="exact"/>
        <w:rPr>
          <w:sz w:val="20"/>
          <w:szCs w:val="20"/>
          <w:color w:val="auto"/>
        </w:rPr>
      </w:pPr>
    </w:p>
    <w:p>
      <w:pPr>
        <w:ind w:right="60" w:firstLine="4"/>
        <w:spacing w:after="0" w:line="277"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date hereof, TCG LP directly holds 11,103,333 shares of Common Stock, representing 16.8% of the Issuer’s outstanding Common Stock. TCG GP beneficially owns an aggregate of 11,203,333 shares of Common</w:t>
      </w:r>
    </w:p>
    <w:p>
      <w:pPr>
        <w:sectPr>
          <w:pgSz w:w="11900" w:h="16838" w:orient="portrait"/>
          <w:cols w:equalWidth="0" w:num="1">
            <w:col w:w="10920"/>
          </w:cols>
          <w:pgMar w:left="440" w:top="270" w:right="539" w:bottom="1440" w:gutter="0" w:footer="0" w:header="0"/>
        </w:sectPr>
      </w:pPr>
    </w:p>
    <w:bookmarkStart w:id="14" w:name="page15"/>
    <w:bookmarkEnd w:id="1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representing 17.0% of the Issuer’s outstanding Common Stock, which consists of 100,000 shares of Common Stock that TCG GP directly holds and 11,103,333 shares of Common Stock that TCG GP beneficially owns as general partner of TCG LP. TCG II LP directly holds 2,265,758 shares of Common Stock, representing 3.4% of the Issuer’s outstanding Common Stock. As the general partner of TCG II LP, TCG II GP beneficially owns an aggregate of 2,265,758 shares of Common Stock, representing 3.4% of the Issuer’s outstanding Common Stock. TCGM LP directly holds 100,000 shares of Common Stock, representing 0.2% of the Issuer’s outstanding Common Stock. Ponoi LP directly holds 974,961 shares of Common Stock, representing 1.5% of the Issuer’s outstanding Common Stock. As the general partner of Ponoi LP, Ponoi LLC beneficially owns an aggregate of 974,961 shares of Common Stock, representing 1.5% of the Issuer’s outstanding Common Stock. Ponoi II LP directly holds 974,962 shares of Common Stock, representing 1.5% of the Issuer’s outstanding Common Stock. As the general partner of Ponoi II LP, Ponoi II LLC beneficially owns an aggregate of 974,962 shares of Common Stock, representing 1.5% of the Issuer’s outstanding Common Stock. Mr. Svennilson beneficially owns 15,563,014 shares of Common Stock, representing 23.6% of the Issuer’s outstanding Common Stock, which consists of 20,000 shares of Common Stock that Mr. Svennilson directly holds, 24,000 shares of Common Stock underlying options that Mr. Svennilson directly holds, and 15,519,014 shares of Common Stock that Mr. Svennilson beneficially owns as a Managing Partner of TCG GP, TCG II GP, TCGM LP, Ponoi LLC and Ponoi II LLC. Mr. Goeddel beneficially owns 15,733,014 shares of Common Stock, representing 23.8% of the Issuer’s outstanding Common Stock, which consists of 24,000 shares of Common Stock underlying options that Mr. Goeddel directly holds, 190,000 shares of Common Stock held by the Goeddel Trust and 15,519,014 shares of Common Stock that Mr. Goeddel beneficially owns as a Managing Partner of TCG GP, TCG II GP, TCGM LP, Ponoi LLC and Ponoi II LLC.</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Mr. Kutzkey beneficially owns 1,964,923 shares of Common Stock, representing 3.0% of the Issuer’s outstanding Common Stock, which consists of 15,000 shares of Common Stock that Mr. Kutzkey directly holds and 1,949,923 shares of Common Stock that Mr. Kutzkey beneficially owns as a Managing Partner of Ponoi LLC and Ponoi II LLC.</w:t>
      </w:r>
    </w:p>
    <w:p>
      <w:pPr>
        <w:spacing w:after="0" w:line="190" w:lineRule="exact"/>
        <w:rPr>
          <w:sz w:val="20"/>
          <w:szCs w:val="20"/>
          <w:color w:val="auto"/>
        </w:rPr>
      </w:pPr>
    </w:p>
    <w:p>
      <w:pPr>
        <w:ind w:right="600" w:firstLine="441"/>
        <w:spacing w:after="0" w:line="342" w:lineRule="auto"/>
        <w:rPr>
          <w:sz w:val="20"/>
          <w:szCs w:val="20"/>
          <w:color w:val="auto"/>
        </w:rPr>
      </w:pPr>
      <w:r>
        <w:rPr>
          <w:rFonts w:ascii="Arial" w:cs="Arial" w:eastAsia="Arial" w:hAnsi="Arial"/>
          <w:sz w:val="16"/>
          <w:szCs w:val="16"/>
          <w:color w:val="auto"/>
        </w:rPr>
        <w:t>The percentages set forth in this Item 5 and in the cover page for each Reporting Person are based on the 66,021,863 outstanding shares of Common Stock as of May 10, 2019, as disclosed in the Issuer’s Quarterly Report on Form 10-Q filed with the SEC on May 16, 2019.</w:t>
      </w:r>
    </w:p>
    <w:p>
      <w:pPr>
        <w:spacing w:after="0" w:line="124" w:lineRule="exact"/>
        <w:rPr>
          <w:sz w:val="20"/>
          <w:szCs w:val="20"/>
          <w:color w:val="auto"/>
        </w:rPr>
      </w:pPr>
    </w:p>
    <w:p>
      <w:pPr>
        <w:ind w:right="20" w:firstLine="4"/>
        <w:spacing w:after="0" w:line="283"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TCG LP has sole voting and dispositive control over 11,103,333 shares of Common Stock, TCG GP has sole voting and dispositive control over 100,000 shares of Common Stock, TCG II LP has sole voting and dispositive control over 2,265,758 shares of Common Stock, TCGM LP has sole voting and dispositive control over 100,000 shares of Common Stock, Ponoi LP has sole voting and dispositive control over 974,961 shares of Common Stock, Ponoi II LP has sole voting and dispositive control over 974,962 shares of Common Stock, Mr. Svennilson has sole voting and dispositive control over 20,000 shares of Common Stock, and Mr. Kutzkey has sole voting and dispositive control over 15,000 shares of Common Stock. None of the other Reporting Persons own any securities of the Issuer directly. Mr. Goeddel serves as co-trustee of the Goeddel Trust and shares voting and dispositive control over 190,000 shares of Common Stock held directly by the Goeddel Trust. TCG GP, as general partner of TCG LP, shares the power to direct the voting and disposition of the 11,103,333 shares owned by TCG LP and may be deemed to beneficially own the shares owned by TCG LP. TCG II GP, as general partner of TCG II LP, shares the power to direct the voting and disposition of the 2,265,758 shares owned by TCG II LP and may be deemed to beneficially own the shares owned by TCG II LP. Ponoi LLC, as general partner of Ponoi LP, shares the power to direct the voting and disposition of the 974,961 shares owned by Ponoi LP and may be deemed to beneficially own the shares owned by Ponoi LP. Ponoi II LLC, as general partner of Ponoi II LP, shares the power to direct the voting and disposition of the 974,962 shares owned by Ponoi II LP and may be deemed to beneficially own the shares owned by Ponoi II LP. By virtue of their positions as managing partners of TCG GP, TCG II GP and TCGM LP, each of Mr. Svennilson and</w:t>
      </w:r>
    </w:p>
    <w:p>
      <w:pPr>
        <w:spacing w:after="0" w:line="3"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Mr. Goeddel may be deemed to share the power to direct the voting and disposition of the 11,103,333 shares owned by TCG LP, the 100,000 shares owned by TCG GP, the 2,265,758 shares owned by TCG II LP and the 100,000 shares owned by TCGM LP and may be deemed to beneficially own the shares owned by such entities. By virtue of their positions as managing partners of Ponoi LLC and Ponoi II LLC, each Managing Partner may be deemed to share the power to direct the voting and disposition of the 974,961 shares owned by Ponoi LP and the 974,962 shares owned by Ponoi II LP and may be deemed to beneficially own the shares owned by Ponoi LP and Ponoi II LP.</w:t>
      </w:r>
    </w:p>
    <w:p>
      <w:pPr>
        <w:spacing w:after="0" w:line="178" w:lineRule="exact"/>
        <w:rPr>
          <w:rFonts w:ascii="Arial" w:cs="Arial" w:eastAsia="Arial" w:hAnsi="Arial"/>
          <w:sz w:val="16"/>
          <w:szCs w:val="16"/>
          <w:color w:val="auto"/>
        </w:rPr>
      </w:pPr>
    </w:p>
    <w:p>
      <w:pPr>
        <w:ind w:right="120" w:firstLine="4"/>
        <w:spacing w:after="0" w:line="276"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May 15, 2019 (the “date of grant”), Mr. Svennilson and Mr. Goeddel, as directors of the Issuer, each received options to purchase 24,000 shares of the Issuer’s Common Stock at an exercise price of $13.35 per share which vest and become exercisable in four equal quarterly installments such that the options will be fully vested on the earlier of (i) the one-year anniversary of the date of grant and (ii) the day prior to the next Issuer’s annual stockholder meeting held after the effective date of the Issuer’s initial public offering. Except as set forth herein, none of the Reporting Persons has effected any transactions in shares of the Issuer’s Common Stock during the last 60 days.</w:t>
      </w:r>
    </w:p>
    <w:p>
      <w:pPr>
        <w:sectPr>
          <w:pgSz w:w="11900" w:h="16838" w:orient="portrait"/>
          <w:cols w:equalWidth="0" w:num="1">
            <w:col w:w="11020"/>
          </w:cols>
          <w:pgMar w:left="440" w:top="274"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THE COLUMN GROUP GP, LP</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The Column Group GP, LP</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THE COLUMN GROUP II GP, LP</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The Column Group II GP, LP</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PONOI CAPITAL,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PONOI MANAGEMENT, LLC</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Ponoi Management, LLC</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PONOI CAPITAL II,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PONOI II MANAGEMENT, LLC</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Ponoi II Management, LLC</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MANAGEMENT, LP</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425"/>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 on</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 on behalf of</w:t>
            </w:r>
          </w:p>
        </w:tc>
      </w:tr>
      <w:tr>
        <w:trPr>
          <w:trHeight w:val="230"/>
        </w:trPr>
        <w:tc>
          <w:tcPr>
            <w:tcW w:w="3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behalf of Peter Svennilson</w:t>
            </w:r>
          </w:p>
        </w:tc>
        <w:tc>
          <w:tcPr>
            <w:tcW w:w="5820" w:type="dxa"/>
            <w:vAlign w:val="bottom"/>
            <w:gridSpan w:val="2"/>
          </w:tcPr>
          <w:p>
            <w:pPr>
              <w:ind w:left="960"/>
              <w:spacing w:after="0"/>
              <w:rPr>
                <w:sz w:val="20"/>
                <w:szCs w:val="20"/>
                <w:color w:val="auto"/>
              </w:rPr>
            </w:pPr>
            <w:r>
              <w:rPr>
                <w:rFonts w:ascii="Arial" w:cs="Arial" w:eastAsia="Arial" w:hAnsi="Arial"/>
                <w:sz w:val="18"/>
                <w:szCs w:val="18"/>
                <w:color w:val="auto"/>
              </w:rPr>
              <w:t>Tim Kutzkey</w:t>
            </w: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425"/>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 on</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behalf of David V. Goeddel</w:t>
            </w:r>
          </w:p>
        </w:tc>
        <w:tc>
          <w:tcPr>
            <w:tcW w:w="96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the undersigned, hereby express our agreement that the attached Amendment No. 1 to Schedule 13D is filed on behalf of each of 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THE COLUMN GROUP GP, LP</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The Column Group GP, LP</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THE COLUMN GROUP II GP, LP</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The Column Group II GP, LP</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PONOI CAPITAL,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PONOI MANAGEMENT, LLC</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Ponoi Management, LLC</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PONOI CAPITAL II, LP</w:t>
            </w:r>
          </w:p>
        </w:tc>
        <w:tc>
          <w:tcPr>
            <w:tcW w:w="5820" w:type="dxa"/>
            <w:vAlign w:val="bottom"/>
            <w:gridSpan w:val="2"/>
          </w:tcPr>
          <w:p>
            <w:pPr>
              <w:ind w:left="580"/>
              <w:spacing w:after="0"/>
              <w:rPr>
                <w:sz w:val="20"/>
                <w:szCs w:val="20"/>
                <w:color w:val="auto"/>
              </w:rPr>
            </w:pPr>
            <w:r>
              <w:rPr>
                <w:rFonts w:ascii="Arial" w:cs="Arial" w:eastAsia="Arial" w:hAnsi="Arial"/>
                <w:sz w:val="18"/>
                <w:szCs w:val="18"/>
                <w:b w:val="1"/>
                <w:bCs w:val="1"/>
                <w:color w:val="auto"/>
              </w:rPr>
              <w:t>PONOI II MANAGEMENT, LLC</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Ponoi II Management, LLC</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w:t>
            </w:r>
          </w:p>
        </w:tc>
      </w:tr>
      <w:tr>
        <w:trPr>
          <w:trHeight w:val="439"/>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MANAGEMENT, LP</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425"/>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 on</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  /s/ Jennifer J. Carlson, Attorney-in-Fact on behalf of</w:t>
            </w:r>
          </w:p>
        </w:tc>
      </w:tr>
      <w:tr>
        <w:trPr>
          <w:trHeight w:val="230"/>
        </w:trPr>
        <w:tc>
          <w:tcPr>
            <w:tcW w:w="3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behalf of Peter Svennilson</w:t>
            </w:r>
          </w:p>
        </w:tc>
        <w:tc>
          <w:tcPr>
            <w:tcW w:w="5820" w:type="dxa"/>
            <w:vAlign w:val="bottom"/>
            <w:gridSpan w:val="2"/>
          </w:tcPr>
          <w:p>
            <w:pPr>
              <w:ind w:left="960"/>
              <w:spacing w:after="0"/>
              <w:rPr>
                <w:sz w:val="20"/>
                <w:szCs w:val="20"/>
                <w:color w:val="auto"/>
              </w:rPr>
            </w:pPr>
            <w:r>
              <w:rPr>
                <w:rFonts w:ascii="Arial" w:cs="Arial" w:eastAsia="Arial" w:hAnsi="Arial"/>
                <w:sz w:val="18"/>
                <w:szCs w:val="18"/>
                <w:color w:val="auto"/>
              </w:rPr>
              <w:t>Tim Kutzkey</w:t>
            </w:r>
          </w:p>
        </w:tc>
      </w:tr>
      <w:tr>
        <w:trPr>
          <w:trHeight w:val="20"/>
        </w:trPr>
        <w:tc>
          <w:tcPr>
            <w:tcW w:w="3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425"/>
        </w:trPr>
        <w:tc>
          <w:tcPr>
            <w:tcW w:w="5220" w:type="dxa"/>
            <w:vAlign w:val="bottom"/>
            <w:gridSpan w:val="2"/>
          </w:tcPr>
          <w:p>
            <w:pPr>
              <w:spacing w:after="0"/>
              <w:rPr>
                <w:sz w:val="20"/>
                <w:szCs w:val="20"/>
                <w:color w:val="auto"/>
              </w:rPr>
            </w:pPr>
            <w:r>
              <w:rPr>
                <w:rFonts w:ascii="Arial" w:cs="Arial" w:eastAsia="Arial" w:hAnsi="Arial"/>
                <w:sz w:val="18"/>
                <w:szCs w:val="18"/>
                <w:color w:val="auto"/>
              </w:rPr>
              <w:t>By: /s/ Jennifer J. Carlson, Attorney-in-Fact on</w:t>
            </w: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behalf of David V. Goeddel</w:t>
            </w:r>
          </w:p>
        </w:tc>
        <w:tc>
          <w:tcPr>
            <w:tcW w:w="96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3"/>
    </w:lvl>
  </w:abstractNum>
  <w:abstractNum w:abstractNumId="11">
    <w:nsid w:val="3352255A"/>
    <w:multiLevelType w:val="hybridMultilevel"/>
    <w:lvl w:ilvl="0">
      <w:lvlJc w:val="left"/>
      <w:lvlText w:val="(%1)"/>
      <w:numFmt w:val="decimal"/>
      <w:start w:val="1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2019-12-02T18:23:19Z</dcterms:created>
  <dcterms:modified xsi:type="dcterms:W3CDTF">2019-12-02T18:23:19Z</dcterms:modified>
</cp:coreProperties>
</file>