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10/25/2022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30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30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9"/>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9"/>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298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1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20" w:type="dxa"/>
            <w:vAlign w:val="bottom"/>
          </w:tcPr>
          <w:p>
            <w:pPr>
              <w:spacing w:after="0"/>
              <w:rPr>
                <w:sz w:val="13"/>
                <w:szCs w:val="13"/>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6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10/25/2022</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Pr>
          <w:p>
            <w:pPr>
              <w:spacing w:after="0"/>
              <w:rPr>
                <w:sz w:val="21"/>
                <w:szCs w:val="21"/>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51,046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4.7484</w:t>
            </w:r>
            <w:r>
              <w:rPr>
                <w:rFonts w:ascii="Times New Roman" w:cs="Times New Roman" w:eastAsia="Times New Roman" w:hAnsi="Times New Roman"/>
                <w:sz w:val="22"/>
                <w:szCs w:val="22"/>
                <w:color w:val="008000"/>
                <w:w w:val="98"/>
                <w:vertAlign w:val="superscript"/>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51,046</w:t>
            </w:r>
          </w:p>
        </w:tc>
        <w:tc>
          <w:tcPr>
            <w:tcW w:w="340" w:type="dxa"/>
            <w:vAlign w:val="bottom"/>
          </w:tcPr>
          <w:p>
            <w:pPr>
              <w:spacing w:after="0"/>
              <w:rPr>
                <w:sz w:val="21"/>
                <w:szCs w:val="21"/>
                <w:color w:val="auto"/>
              </w:rPr>
            </w:pPr>
          </w:p>
        </w:tc>
        <w:tc>
          <w:tcPr>
            <w:tcW w:w="520" w:type="dxa"/>
            <w:vAlign w:val="bottom"/>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420" w:type="dxa"/>
            <w:vAlign w:val="bottom"/>
            <w:tcBorders>
              <w:top w:val="single" w:sz="8" w:color="2C2C2C"/>
            </w:tcBorders>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10/26/2022</w:t>
            </w: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72,774</w:t>
            </w:r>
          </w:p>
        </w:tc>
        <w:tc>
          <w:tcPr>
            <w:tcW w:w="5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4.8512</w:t>
            </w:r>
            <w:r>
              <w:rPr>
                <w:rFonts w:ascii="Times New Roman" w:cs="Times New Roman" w:eastAsia="Times New Roman" w:hAnsi="Times New Roman"/>
                <w:sz w:val="22"/>
                <w:szCs w:val="22"/>
                <w:color w:val="008000"/>
                <w:w w:val="98"/>
                <w:vertAlign w:val="superscript"/>
              </w:rPr>
              <w:t>(4)</w:t>
            </w: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123,820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2,650,177</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1040" w:type="dxa"/>
            <w:vAlign w:val="bottom"/>
            <w:tcBorders>
              <w:top w:val="single" w:sz="8" w:color="2C2C2C"/>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11,103,333</w:t>
            </w:r>
          </w:p>
        </w:tc>
        <w:tc>
          <w:tcPr>
            <w:tcW w:w="860" w:type="dxa"/>
            <w:vAlign w:val="bottom"/>
            <w:tcBorders>
              <w:top w:val="single" w:sz="8" w:color="2C2C2C"/>
              <w:bottom w:val="single" w:sz="8" w:color="2C2C2C"/>
            </w:tcBorders>
            <w:gridSpan w:val="2"/>
          </w:tcPr>
          <w:p>
            <w:pPr>
              <w:jc w:val="center"/>
              <w:ind w:right="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(7)</w:t>
            </w:r>
          </w:p>
        </w:tc>
        <w:tc>
          <w:tcPr>
            <w:tcW w:w="3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40" w:type="dxa"/>
            <w:vAlign w:val="bottom"/>
          </w:tcPr>
          <w:p>
            <w:pPr>
              <w:spacing w:after="0"/>
              <w:rPr>
                <w:sz w:val="21"/>
                <w:szCs w:val="21"/>
                <w:color w:val="auto"/>
              </w:rPr>
            </w:pPr>
          </w:p>
        </w:tc>
        <w:tc>
          <w:tcPr>
            <w:tcW w:w="520" w:type="dxa"/>
            <w:vAlign w:val="bottom"/>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2,265,758</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1,298,908</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w w:val="99"/>
              </w:rPr>
              <w:t>1,298,908</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jc w:val="center"/>
              <w:ind w:right="342"/>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23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   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3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6"/>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GP,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III-A,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Column Group IV-A, LP</w:t>
        </w:r>
      </w:hyperlink>
    </w:p>
    <w:p>
      <w:pPr>
        <w:sectPr>
          <w:pgSz w:w="11900" w:h="16838" w:orient="portrait"/>
          <w:cols w:equalWidth="0" w:num="1">
            <w:col w:w="11080"/>
          </w:cols>
          <w:pgMar w:left="460" w:top="73" w:right="359" w:bottom="0" w:gutter="0" w:footer="0" w:header="0"/>
          <w:type w:val="continuous"/>
        </w:sectPr>
      </w:pPr>
    </w:p>
    <w:bookmarkStart w:id="2" w:name="page3"/>
    <w:bookmarkEnd w:id="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9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193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BUILDING D, SUITE DM-900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$4.705 to $4.80, inclusive. The Reporting Persons undertakes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jc w:val="both"/>
        <w:ind w:left="20" w:right="8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and investment power with respect to these securities. TCG Opportunity III GP, LLC ("TCG Opportunity III GP LLC") is the general partner of TCG Opportunity III GP LP and the ultimate general partner of TCG Opportunity III LP and may be deemed to have voting and investment power with respect to these securities. The managing members of TCG Opportunity III GP LLC are David Goeddel, a member of the issuer's board of directors, Peter Svennilson and Tim Kutzkey (collectively, the "TCG Managing Members").</w:t>
      </w:r>
    </w:p>
    <w:p>
      <w:pPr>
        <w:spacing w:after="0" w:line="24"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and investment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$4.795 to $4.95, inclusive. The Reporting Person undertakes to provide to the Issuer or the staff of the Securities and Exchange Commission, upon request, full information regarding the number of shares acquired at each separate price within the ranges set forth in</w:t>
      </w:r>
    </w:p>
    <w:p>
      <w:pPr>
        <w:sectPr>
          <w:pgSz w:w="11900" w:h="16843" w:orient="portrait"/>
          <w:cols w:equalWidth="0" w:num="1">
            <w:col w:w="10840"/>
          </w:cols>
          <w:pgMar w:left="480" w:top="300" w:right="57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008000"/>
        </w:rPr>
        <w:t>this footnote 3 to this Form 4.</w:t>
      </w:r>
    </w:p>
    <w:p>
      <w:pPr>
        <w:spacing w:after="0" w:line="50" w:lineRule="exact"/>
        <w:rPr>
          <w:sz w:val="20"/>
          <w:szCs w:val="20"/>
          <w:color w:val="auto"/>
        </w:rPr>
      </w:pPr>
    </w:p>
    <w:p>
      <w:pPr>
        <w:ind w:right="2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right="6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6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jc w:val="both"/>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48"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72"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3.</w:t>
      </w:r>
    </w:p>
    <w:p>
      <w:pPr>
        <w:sectPr>
          <w:pgSz w:w="11900" w:h="16838" w:orient="portrait"/>
          <w:cols w:equalWidth="0" w:num="1">
            <w:col w:w="10900"/>
          </w:cols>
          <w:pgMar w:left="500" w:top="127" w:right="499" w:bottom="606"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2160"/>
          </w:cols>
          <w:pgMar w:left="500" w:top="127" w:right="499" w:bottom="606"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6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2" Type="http://schemas.openxmlformats.org/officeDocument/2006/relationships/hyperlink" Target="http://www.sec.gov/cgi-bin/browse-edgar?action=getcompany&amp;CIK=0001796356" TargetMode="External"/><Relationship Id="rId23" Type="http://schemas.openxmlformats.org/officeDocument/2006/relationships/hyperlink" Target="http://www.sec.gov/cgi-bin/browse-edgar?action=getcompany&amp;CIK=0001796359" TargetMode="External"/><Relationship Id="rId24" Type="http://schemas.openxmlformats.org/officeDocument/2006/relationships/hyperlink" Target="http://www.sec.gov/cgi-bin/browse-edgar?action=getcompany&amp;CIK=0001931825" TargetMode="External"/><Relationship Id="rId25"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2022-10-27T17:57:58Z</dcterms:created>
  <dcterms:modified xsi:type="dcterms:W3CDTF">2022-10-27T17:57:58Z</dcterms:modified>
</cp:coreProperties>
</file>