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808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8088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jc w:val="cente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jc w:val="center"/>
              <w:ind w:right="60"/>
              <w:spacing w:after="0" w:line="256" w:lineRule="exact"/>
              <w:rPr>
                <w:rFonts w:ascii="Arial" w:cs="Arial" w:eastAsia="Arial" w:hAnsi="Arial"/>
                <w:sz w:val="24"/>
                <w:szCs w:val="24"/>
                <w:color w:val="0000EE"/>
                <w:w w:val="95"/>
              </w:rPr>
            </w:pPr>
            <w:hyperlink r:id="rId10">
              <w:r>
                <w:rPr>
                  <w:rFonts w:ascii="Arial" w:cs="Arial" w:eastAsia="Arial" w:hAnsi="Arial"/>
                  <w:sz w:val="24"/>
                  <w:szCs w:val="24"/>
                  <w:color w:val="0000EE"/>
                  <w:w w:val="95"/>
                </w:rPr>
                <w:t>PERLMUTTER ROGER M</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720" w:type="dxa"/>
            <w:vAlign w:val="bottom"/>
            <w:tcBorders>
              <w:top w:val="single" w:sz="8" w:color="0000EE"/>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06/08/2021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NGM BIOPHARMACEUTICALS INC</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NGM</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458"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NGM</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BIOPHARMACEUTICALS, INC.</w:t>
      </w:r>
    </w:p>
    <w:p>
      <w:pPr>
        <w:spacing w:after="0" w:line="62"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333 OYSTER POINT BOULEVARD</w:t>
      </w:r>
    </w:p>
    <w:p>
      <w:pPr>
        <w:spacing w:after="0" w:line="35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160" w:type="dxa"/>
            <w:vAlign w:val="bottom"/>
          </w:tcPr>
          <w:p>
            <w:pPr>
              <w:spacing w:after="0"/>
              <w:rPr>
                <w:sz w:val="20"/>
                <w:szCs w:val="20"/>
                <w:color w:val="auto"/>
              </w:rPr>
            </w:pPr>
            <w:r>
              <w:rPr>
                <w:rFonts w:ascii="Arial" w:cs="Arial" w:eastAsia="Arial" w:hAnsi="Arial"/>
                <w:sz w:val="15"/>
                <w:szCs w:val="15"/>
                <w:color w:val="auto"/>
              </w:rPr>
              <w:t>(Street)</w:t>
            </w: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1160" w:type="dxa"/>
            <w:vAlign w:val="bottom"/>
          </w:tcPr>
          <w:p>
            <w:pPr>
              <w:ind w:left="40"/>
              <w:spacing w:after="0"/>
              <w:rPr>
                <w:sz w:val="20"/>
                <w:szCs w:val="20"/>
                <w:color w:val="auto"/>
              </w:rPr>
            </w:pPr>
            <w:r>
              <w:rPr>
                <w:rFonts w:ascii="Arial" w:cs="Arial" w:eastAsia="Arial" w:hAnsi="Arial"/>
                <w:sz w:val="20"/>
                <w:szCs w:val="20"/>
                <w:color w:val="0000FF"/>
                <w:w w:val="94"/>
              </w:rPr>
              <w:t>SOUTH SAN</w:t>
            </w:r>
          </w:p>
        </w:tc>
        <w:tc>
          <w:tcPr>
            <w:tcW w:w="640" w:type="dxa"/>
            <w:vAlign w:val="bottom"/>
            <w:vMerge w:val="restart"/>
          </w:tcPr>
          <w:p>
            <w:pPr>
              <w:ind w:left="40"/>
              <w:spacing w:after="0"/>
              <w:rPr>
                <w:sz w:val="20"/>
                <w:szCs w:val="20"/>
                <w:color w:val="auto"/>
              </w:rPr>
            </w:pPr>
            <w:r>
              <w:rPr>
                <w:rFonts w:ascii="Arial" w:cs="Arial" w:eastAsia="Arial" w:hAnsi="Arial"/>
                <w:sz w:val="20"/>
                <w:szCs w:val="20"/>
                <w:color w:val="0000FF"/>
              </w:rPr>
              <w:t>CA</w:t>
            </w:r>
          </w:p>
        </w:tc>
        <w:tc>
          <w:tcPr>
            <w:tcW w:w="820" w:type="dxa"/>
            <w:vAlign w:val="bottom"/>
            <w:vMerge w:val="restart"/>
          </w:tcPr>
          <w:p>
            <w:pPr>
              <w:jc w:val="right"/>
              <w:spacing w:after="0"/>
              <w:rPr>
                <w:sz w:val="20"/>
                <w:szCs w:val="20"/>
                <w:color w:val="auto"/>
              </w:rPr>
            </w:pPr>
            <w:r>
              <w:rPr>
                <w:rFonts w:ascii="Arial" w:cs="Arial" w:eastAsia="Arial" w:hAnsi="Arial"/>
                <w:sz w:val="20"/>
                <w:szCs w:val="20"/>
                <w:color w:val="0000FF"/>
              </w:rPr>
              <w:t>94080</w:t>
            </w:r>
          </w:p>
        </w:tc>
        <w:tc>
          <w:tcPr>
            <w:tcW w:w="0" w:type="dxa"/>
            <w:vAlign w:val="bottom"/>
          </w:tcPr>
          <w:p>
            <w:pPr>
              <w:spacing w:after="0"/>
              <w:rPr>
                <w:sz w:val="1"/>
                <w:szCs w:val="1"/>
                <w:color w:val="auto"/>
              </w:rPr>
            </w:pPr>
          </w:p>
        </w:tc>
      </w:tr>
      <w:tr>
        <w:trPr>
          <w:trHeight w:val="248"/>
        </w:trPr>
        <w:tc>
          <w:tcPr>
            <w:tcW w:w="1160" w:type="dxa"/>
            <w:vAlign w:val="bottom"/>
          </w:tcPr>
          <w:p>
            <w:pPr>
              <w:ind w:left="40"/>
              <w:spacing w:after="0"/>
              <w:rPr>
                <w:sz w:val="20"/>
                <w:szCs w:val="20"/>
                <w:color w:val="auto"/>
              </w:rPr>
            </w:pPr>
            <w:r>
              <w:rPr>
                <w:rFonts w:ascii="Arial" w:cs="Arial" w:eastAsia="Arial" w:hAnsi="Arial"/>
                <w:sz w:val="20"/>
                <w:szCs w:val="20"/>
                <w:color w:val="0000FF"/>
                <w:w w:val="93"/>
              </w:rPr>
              <w:t>FRANCISCO</w:t>
            </w:r>
          </w:p>
        </w:tc>
        <w:tc>
          <w:tcPr>
            <w:tcW w:w="64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38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Common Stock</w:t>
            </w: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80" w:type="dxa"/>
            <w:vAlign w:val="bottom"/>
          </w:tcPr>
          <w:p>
            <w:pPr>
              <w:ind w:left="800"/>
              <w:spacing w:after="0"/>
              <w:rPr>
                <w:sz w:val="20"/>
                <w:szCs w:val="20"/>
                <w:color w:val="auto"/>
              </w:rPr>
            </w:pPr>
            <w:r>
              <w:rPr>
                <w:rFonts w:ascii="Arial" w:cs="Arial" w:eastAsia="Arial" w:hAnsi="Arial"/>
                <w:sz w:val="20"/>
                <w:szCs w:val="20"/>
                <w:color w:val="0000FF"/>
              </w:rPr>
              <w:t>0</w:t>
            </w:r>
          </w:p>
        </w:tc>
        <w:tc>
          <w:tcPr>
            <w:tcW w:w="1180" w:type="dxa"/>
            <w:vAlign w:val="bottom"/>
            <w:gridSpan w:val="2"/>
          </w:tcPr>
          <w:p>
            <w:pPr>
              <w:ind w:left="1020"/>
              <w:spacing w:after="0"/>
              <w:rPr>
                <w:sz w:val="20"/>
                <w:szCs w:val="20"/>
                <w:color w:val="auto"/>
              </w:rPr>
            </w:pPr>
            <w:r>
              <w:rPr>
                <w:rFonts w:ascii="Arial" w:cs="Arial" w:eastAsia="Arial" w:hAnsi="Arial"/>
                <w:sz w:val="20"/>
                <w:szCs w:val="20"/>
                <w:color w:val="0000FF"/>
                <w:w w:val="96"/>
              </w:rPr>
              <w:t>D</w:t>
            </w:r>
          </w:p>
        </w:tc>
        <w:tc>
          <w:tcPr>
            <w:tcW w:w="9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3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180" w:type="dxa"/>
            <w:vAlign w:val="bottom"/>
            <w:gridSpan w:val="2"/>
            <w:vMerge w:val="restart"/>
          </w:tcPr>
          <w:p>
            <w:pPr>
              <w:ind w:left="4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92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1"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3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80" w:type="dxa"/>
            <w:vAlign w:val="bottom"/>
            <w:gridSpan w:val="2"/>
          </w:tcPr>
          <w:p>
            <w:pPr>
              <w:ind w:left="4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31"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Valerie Pierce,</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06/10/2021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6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w w:val="98"/>
              </w:rPr>
              <w:t>Attorney-in-fact</w:t>
            </w:r>
          </w:p>
        </w:tc>
        <w:tc>
          <w:tcPr>
            <w:tcW w:w="8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5" w:lineRule="exact"/>
        <w:rPr>
          <w:sz w:val="20"/>
          <w:szCs w:val="20"/>
          <w:color w:val="auto"/>
        </w:rPr>
      </w:pPr>
    </w:p>
    <w:p>
      <w:pPr>
        <w:ind w:right="1300" w:firstLine="937"/>
        <w:spacing w:after="0" w:line="264"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William J. Rieflin, David J. Woodhouse, Siobhan Nolan Mangini and Valerie Pierce, or any of them signing singly, and with full power of substitution, the undersigned's true and lawful attorney in fact to:</w:t>
      </w:r>
    </w:p>
    <w:p>
      <w:pPr>
        <w:spacing w:after="0" w:line="3" w:lineRule="exact"/>
        <w:rPr>
          <w:sz w:val="20"/>
          <w:szCs w:val="20"/>
          <w:color w:val="auto"/>
        </w:rPr>
      </w:pPr>
    </w:p>
    <w:p>
      <w:pPr>
        <w:ind w:right="820"/>
        <w:spacing w:after="0" w:line="236" w:lineRule="auto"/>
        <w:tabs>
          <w:tab w:leader="none" w:pos="937"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director and/or more than 10% stockholder of NGM Biopharmaceuticals, Inc. (the "Company"), Forms 3, 4, and 5 in accordance with</w:t>
      </w:r>
    </w:p>
    <w:p>
      <w:pPr>
        <w:spacing w:after="0" w:line="6" w:lineRule="exact"/>
        <w:rPr>
          <w:rFonts w:ascii="Courier New" w:cs="Courier New" w:eastAsia="Courier New" w:hAnsi="Courier New"/>
          <w:sz w:val="20"/>
          <w:szCs w:val="20"/>
          <w:color w:val="auto"/>
        </w:rPr>
      </w:pPr>
    </w:p>
    <w:p>
      <w:pPr>
        <w:spacing w:after="0"/>
        <w:rPr>
          <w:rFonts w:ascii="Courier New" w:cs="Courier New" w:eastAsia="Courier New" w:hAnsi="Courier New"/>
          <w:sz w:val="20"/>
          <w:szCs w:val="20"/>
          <w:color w:val="auto"/>
        </w:rPr>
      </w:pPr>
      <w:r>
        <w:rPr>
          <w:rFonts w:ascii="Courier New" w:cs="Courier New" w:eastAsia="Courier New" w:hAnsi="Courier New"/>
          <w:sz w:val="20"/>
          <w:szCs w:val="20"/>
          <w:color w:val="auto"/>
        </w:rPr>
        <w:t>Section 16(a) of the Securities Exchange Act of 1934 and the rules thereunder;</w:t>
      </w:r>
    </w:p>
    <w:p>
      <w:pPr>
        <w:spacing w:after="0" w:line="232" w:lineRule="exact"/>
        <w:rPr>
          <w:sz w:val="20"/>
          <w:szCs w:val="20"/>
          <w:color w:val="auto"/>
        </w:rPr>
      </w:pPr>
    </w:p>
    <w:p>
      <w:pPr>
        <w:spacing w:after="0" w:line="237" w:lineRule="auto"/>
        <w:rPr>
          <w:sz w:val="20"/>
          <w:szCs w:val="20"/>
          <w:color w:val="auto"/>
        </w:rPr>
      </w:pPr>
      <w:r>
        <w:rPr>
          <w:rFonts w:ascii="Courier New" w:cs="Courier New" w:eastAsia="Courier New" w:hAnsi="Courier New"/>
          <w:sz w:val="20"/>
          <w:szCs w:val="20"/>
          <w:color w:val="auto"/>
        </w:rPr>
        <w:t>(2) 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6" w:lineRule="exact"/>
        <w:rPr>
          <w:sz w:val="20"/>
          <w:szCs w:val="20"/>
          <w:color w:val="auto"/>
        </w:rPr>
      </w:pPr>
    </w:p>
    <w:p>
      <w:pPr>
        <w:ind w:right="1180"/>
        <w:spacing w:after="0" w:line="237" w:lineRule="auto"/>
        <w:tabs>
          <w:tab w:leader="none" w:pos="937"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 in fact, may be of benefit to, in the best interest of, or legally required by, the undersigned, it being understood that the documents executed by such attorney in fact on behalf of the undersigned pursuant to this Power of Attorney shall be in such form and shall contain such terms and conditions as such attorney in fact may approve in such attorney in fact's discretion.</w:t>
      </w:r>
    </w:p>
    <w:p>
      <w:pPr>
        <w:spacing w:after="0" w:line="9" w:lineRule="exact"/>
        <w:rPr>
          <w:rFonts w:ascii="Courier New" w:cs="Courier New" w:eastAsia="Courier New" w:hAnsi="Courier New"/>
          <w:sz w:val="20"/>
          <w:szCs w:val="20"/>
          <w:color w:val="auto"/>
        </w:rPr>
      </w:pPr>
    </w:p>
    <w:p>
      <w:pPr>
        <w:ind w:right="940" w:firstLine="937"/>
        <w:spacing w:after="0" w:line="266"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 in fact, in serving in such capacity at the request of the undersigned, are not assuming, nor is the Company assuming, any of the undersigned's responsibilities to comply with Section 16 of the Securities Exchange Act of 1934.</w:t>
      </w:r>
    </w:p>
    <w:p>
      <w:pPr>
        <w:spacing w:after="0" w:line="215" w:lineRule="exact"/>
        <w:rPr>
          <w:rFonts w:ascii="Courier New" w:cs="Courier New" w:eastAsia="Courier New" w:hAnsi="Courier New"/>
          <w:sz w:val="20"/>
          <w:szCs w:val="20"/>
          <w:color w:val="auto"/>
        </w:rPr>
      </w:pPr>
    </w:p>
    <w:p>
      <w:pPr>
        <w:ind w:right="1300" w:firstLine="937"/>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 in fact.</w:t>
      </w:r>
    </w:p>
    <w:p>
      <w:pPr>
        <w:spacing w:after="0" w:line="6" w:lineRule="exact"/>
        <w:rPr>
          <w:rFonts w:ascii="Courier New" w:cs="Courier New" w:eastAsia="Courier New" w:hAnsi="Courier New"/>
          <w:sz w:val="20"/>
          <w:szCs w:val="20"/>
          <w:color w:val="auto"/>
        </w:rPr>
      </w:pPr>
    </w:p>
    <w:p>
      <w:pPr>
        <w:ind w:right="820" w:firstLine="937"/>
        <w:spacing w:after="0" w:line="236"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IN WITNESS WHEREOF, the undersigned has caused this Power of Attorney to be executed as of June 9, 2021.</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Roger Perlmutter</w:t>
      </w:r>
    </w:p>
    <w:sectPr>
      <w:pgSz w:w="11900" w:h="16838" w:orient="portrait"/>
      <w:cols w:equalWidth="0" w:num="1">
        <w:col w:w="10540"/>
      </w:cols>
      <w:pgMar w:left="480" w:top="136"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184228" TargetMode="External"/><Relationship Id="rId11"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2021-06-10T16:34:38Z</dcterms:created>
  <dcterms:modified xsi:type="dcterms:W3CDTF">2021-06-10T16:34:38Z</dcterms:modified>
</cp:coreProperties>
</file>