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PONOI CAPITAL,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6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1700 OWENS STREET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500</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NGM BIOPHARMACEUTICALS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444"/>
              <w:spacing w:after="0"/>
              <w:rPr>
                <w:sz w:val="20"/>
                <w:szCs w:val="20"/>
                <w:color w:val="auto"/>
              </w:rPr>
            </w:pPr>
            <w:r>
              <w:rPr>
                <w:rFonts w:ascii="Arial" w:cs="Arial" w:eastAsia="Arial" w:hAnsi="Arial"/>
                <w:sz w:val="18"/>
                <w:szCs w:val="18"/>
                <w:color w:val="0000FF"/>
              </w:rPr>
              <w:t>1,875,000</w:t>
            </w:r>
            <w:r>
              <w:rPr>
                <w:rFonts w:ascii="Arial" w:cs="Arial" w:eastAsia="Arial" w:hAnsi="Arial"/>
                <w:sz w:val="22"/>
                <w:szCs w:val="22"/>
                <w:color w:val="008000"/>
                <w:vertAlign w:val="superscript"/>
              </w:rPr>
              <w:t>(1)</w:t>
            </w:r>
          </w:p>
        </w:tc>
        <w:tc>
          <w:tcPr>
            <w:tcW w:w="960" w:type="dxa"/>
            <w:vAlign w:val="bottom"/>
            <w:tcBorders>
              <w:bottom w:val="single" w:sz="8" w:color="2C2C2C"/>
            </w:tcBorders>
            <w:gridSpan w:val="2"/>
          </w:tcPr>
          <w:p>
            <w:pPr>
              <w:ind w:left="560"/>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564"/>
              <w:spacing w:after="0"/>
              <w:rPr>
                <w:sz w:val="20"/>
                <w:szCs w:val="20"/>
                <w:color w:val="auto"/>
              </w:rPr>
            </w:pPr>
            <w:r>
              <w:rPr>
                <w:rFonts w:ascii="Arial" w:cs="Arial" w:eastAsia="Arial" w:hAnsi="Arial"/>
                <w:sz w:val="18"/>
                <w:szCs w:val="18"/>
                <w:color w:val="0000FF"/>
              </w:rPr>
              <w:t>15,000</w:t>
            </w:r>
            <w:r>
              <w:rPr>
                <w:rFonts w:ascii="Arial" w:cs="Arial" w:eastAsia="Arial" w:hAnsi="Arial"/>
                <w:sz w:val="22"/>
                <w:szCs w:val="22"/>
                <w:color w:val="008000"/>
                <w:vertAlign w:val="superscript"/>
              </w:rPr>
              <w:t>(4)</w:t>
            </w:r>
          </w:p>
        </w:tc>
        <w:tc>
          <w:tcPr>
            <w:tcW w:w="96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D</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7"/>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PONOI CAPITAL, LP</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1700 OWENS 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SUITE 500</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SAN FRANCISCO CA</w:t>
            </w:r>
          </w:p>
        </w:tc>
        <w:tc>
          <w:tcPr>
            <w:tcW w:w="740" w:type="dxa"/>
            <w:vAlign w:val="bottom"/>
          </w:tcPr>
          <w:p>
            <w:pPr>
              <w:ind w:left="180"/>
              <w:spacing w:after="0"/>
              <w:rPr>
                <w:sz w:val="20"/>
                <w:szCs w:val="20"/>
                <w:color w:val="auto"/>
              </w:rPr>
            </w:pPr>
            <w:r>
              <w:rPr>
                <w:rFonts w:ascii="Arial" w:cs="Arial" w:eastAsia="Arial" w:hAnsi="Arial"/>
                <w:sz w:val="18"/>
                <w:szCs w:val="18"/>
                <w:color w:val="0000FF"/>
              </w:rPr>
              <w:t>94158</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Ponoi Management,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1700 OWENS 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SUITE 500</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SAN FRANCISCO CA</w:t>
            </w:r>
          </w:p>
        </w:tc>
        <w:tc>
          <w:tcPr>
            <w:tcW w:w="740" w:type="dxa"/>
            <w:vAlign w:val="bottom"/>
          </w:tcPr>
          <w:p>
            <w:pPr>
              <w:ind w:left="180"/>
              <w:spacing w:after="0"/>
              <w:rPr>
                <w:sz w:val="20"/>
                <w:szCs w:val="20"/>
                <w:color w:val="auto"/>
              </w:rPr>
            </w:pPr>
            <w:r>
              <w:rPr>
                <w:rFonts w:ascii="Arial" w:cs="Arial" w:eastAsia="Arial" w:hAnsi="Arial"/>
                <w:sz w:val="18"/>
                <w:szCs w:val="18"/>
                <w:color w:val="0000FF"/>
              </w:rPr>
              <w:t>94158</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Ponoi Capital II, LP</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STE 500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4"/>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Ponoi II Management,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Kutzkey Tim</w:t>
              </w:r>
            </w:hyperlink>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12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924175" cy="41294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937,500 shares of Common Stock held directly by Ponoi Capital, LP ("Ponoi LP") and 937,500 shares of Common Stock held directly by Ponoi Capital II, LP ("Ponoi II LP").</w:t>
      </w:r>
    </w:p>
    <w:p>
      <w:pPr>
        <w:spacing w:after="0" w:line="64" w:lineRule="exact"/>
        <w:rPr>
          <w:rFonts w:ascii="Arial" w:cs="Arial" w:eastAsia="Arial" w:hAnsi="Arial"/>
          <w:sz w:val="12"/>
          <w:szCs w:val="12"/>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6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7" Type="http://schemas.openxmlformats.org/officeDocument/2006/relationships/image" Target="media/image4.png"/><Relationship Id="rId11" Type="http://schemas.openxmlformats.org/officeDocument/2006/relationships/hyperlink" Target="http://www.sec.gov/cgi-bin/browse-edgar?action=getcompany&amp;CIK=0001707230" TargetMode="External"/><Relationship Id="rId12" Type="http://schemas.openxmlformats.org/officeDocument/2006/relationships/hyperlink" Target="http://www.sec.gov/cgi-bin/browse-edgar?action=getcompany&amp;CIK=0001426332" TargetMode="External"/><Relationship Id="rId13" Type="http://schemas.openxmlformats.org/officeDocument/2006/relationships/hyperlink" Target="http://www.sec.gov/cgi-bin/browse-edgar?action=getcompany&amp;CIK=0001720702" TargetMode="External"/><Relationship Id="rId14" Type="http://schemas.openxmlformats.org/officeDocument/2006/relationships/hyperlink" Target="http://www.sec.gov/cgi-bin/browse-edgar?action=getcompany&amp;CIK=0001732601" TargetMode="External"/><Relationship Id="rId15" Type="http://schemas.openxmlformats.org/officeDocument/2006/relationships/hyperlink" Target="http://www.sec.gov/cgi-bin/browse-edgar?action=getcompany&amp;CIK=0001746488" TargetMode="External"/><Relationship Id="rId16"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2019-12-24T09:11:01Z</dcterms:created>
  <dcterms:modified xsi:type="dcterms:W3CDTF">2019-12-24T09:11:01Z</dcterms:modified>
</cp:coreProperties>
</file>