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10"/>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10"/>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60" w:type="dxa"/>
            <w:vAlign w:val="bottom"/>
          </w:tcPr>
          <w:p>
            <w:pPr>
              <w:spacing w:after="0"/>
              <w:rPr>
                <w:sz w:val="15"/>
                <w:szCs w:val="15"/>
                <w:color w:val="auto"/>
              </w:rPr>
            </w:pPr>
          </w:p>
        </w:tc>
        <w:tc>
          <w:tcPr>
            <w:tcW w:w="1360" w:type="dxa"/>
            <w:vAlign w:val="bottom"/>
            <w:gridSpan w:val="6"/>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6"/>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07/24/2020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72"/>
              <w:spacing w:after="0"/>
              <w:rPr>
                <w:sz w:val="20"/>
                <w:szCs w:val="20"/>
                <w:color w:val="auto"/>
              </w:rPr>
            </w:pPr>
            <w:r>
              <w:rPr>
                <w:rFonts w:ascii="Arial" w:cs="Arial" w:eastAsia="Arial" w:hAnsi="Arial"/>
                <w:sz w:val="17"/>
                <w:szCs w:val="17"/>
                <w:color w:val="0000FF"/>
              </w:rPr>
              <w:t>68,749</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17.93</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1,609,013</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07/27/2020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132"/>
              <w:spacing w:after="0"/>
              <w:rPr>
                <w:sz w:val="20"/>
                <w:szCs w:val="20"/>
                <w:color w:val="auto"/>
              </w:rPr>
            </w:pPr>
            <w:r>
              <w:rPr>
                <w:rFonts w:ascii="Arial" w:cs="Arial" w:eastAsia="Arial" w:hAnsi="Arial"/>
                <w:sz w:val="17"/>
                <w:szCs w:val="17"/>
                <w:color w:val="0000FF"/>
              </w:rPr>
              <w:t>3,834</w:t>
            </w:r>
            <w:r>
              <w:rPr>
                <w:rFonts w:ascii="Arial" w:cs="Arial" w:eastAsia="Arial" w:hAnsi="Arial"/>
                <w:sz w:val="22"/>
                <w:szCs w:val="22"/>
                <w:color w:val="008000"/>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17.99</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1,612,847</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44,000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0000FF"/>
                <w:w w:val="91"/>
              </w:rPr>
              <w:t>190,000</w:t>
            </w:r>
          </w:p>
        </w:tc>
        <w:tc>
          <w:tcPr>
            <w:tcW w:w="3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w w:val="99"/>
              </w:rPr>
            </w:pPr>
            <w:hyperlink r:id="rId15">
              <w:r>
                <w:rPr>
                  <w:rFonts w:ascii="Arial" w:cs="Arial" w:eastAsia="Arial" w:hAnsi="Arial"/>
                  <w:sz w:val="21"/>
                  <w:szCs w:val="21"/>
                  <w:u w:val="single" w:color="auto"/>
                  <w:color w:val="0000EE"/>
                  <w:w w:val="99"/>
                </w:rPr>
                <w:t>COLUMN GROUP II, LP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-6726555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FRANCISCO</w:t>
            </w: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GP,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19">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Capital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-10178415</wp:posOffset>
            </wp:positionV>
            <wp:extent cx="27838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31" w:right="1440" w:bottom="0" w:gutter="0" w:footer="0" w:header="0"/>
        </w:sectPr>
      </w:pPr>
    </w:p>
    <w:bookmarkStart w:id="2" w:name="page3"/>
    <w:bookmarkEnd w:id="2"/>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Ponoi II Management,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-138430</wp:posOffset>
            </wp:positionV>
            <wp:extent cx="2783840" cy="558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83840" cy="558482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7">
              <w:r>
                <w:rPr>
                  <w:rFonts w:ascii="Arial" w:cs="Arial" w:eastAsia="Arial" w:hAnsi="Arial"/>
                  <w:sz w:val="21"/>
                  <w:szCs w:val="21"/>
                  <w:u w:val="single" w:color="auto"/>
                  <w:color w:val="0000EE"/>
                </w:rPr>
                <w:t>Column Group II GP,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32,287 shares of Common Stock held directly by The Column Group III, LP ("TCG III LP") and 36,462 shares of Common Stock held directly by The Column Group III-A, LP ("TCG III-A LP").</w:t>
      </w:r>
    </w:p>
    <w:p>
      <w:pPr>
        <w:spacing w:after="0" w:line="1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1,801 shares of Common Stock held directly by TCG III LP and 2,033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left="20" w:right="6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07/28/2020</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80" w:top="118" w:right="519" w:bottom="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0420" TargetMode="External"/><Relationship Id="rId18" Type="http://schemas.openxmlformats.org/officeDocument/2006/relationships/hyperlink" Target="http://www.sec.gov/cgi-bin/browse-edgar?action=getcompany&amp;CIK=0001614627" TargetMode="External"/><Relationship Id="rId19" Type="http://schemas.openxmlformats.org/officeDocument/2006/relationships/hyperlink" Target="http://www.sec.gov/cgi-bin/browse-edgar?action=getcompany&amp;CIK=0001645340"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732601" TargetMode="External"/><Relationship Id="rId24" Type="http://schemas.openxmlformats.org/officeDocument/2006/relationships/hyperlink" Target="http://www.sec.gov/cgi-bin/browse-edgar?action=getcompany&amp;CIK=0001746488" TargetMode="External"/><Relationship Id="rId26" Type="http://schemas.openxmlformats.org/officeDocument/2006/relationships/hyperlink" Target="http://www.sec.gov/cgi-bin/browse-edgar?action=getcompany&amp;CIK=0001614186" TargetMode="External"/><Relationship Id="rId2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2020-07-28T16:40:53Z</dcterms:created>
  <dcterms:modified xsi:type="dcterms:W3CDTF">2020-07-28T16:40:53Z</dcterms:modified>
</cp:coreProperties>
</file>