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U.S. Securities and Exchange Commission on March 1, 2022</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2"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jc w:val="center"/>
        <w:spacing w:after="0" w:line="212" w:lineRule="auto"/>
        <w:rPr>
          <w:sz w:val="20"/>
          <w:szCs w:val="20"/>
          <w:color w:val="auto"/>
        </w:rPr>
      </w:pPr>
      <w:r>
        <w:rPr>
          <w:rFonts w:ascii="Arial" w:cs="Arial" w:eastAsia="Arial" w:hAnsi="Arial"/>
          <w:sz w:val="29"/>
          <w:szCs w:val="29"/>
          <w:b w:val="1"/>
          <w:bCs w:val="1"/>
          <w:color w:val="auto"/>
        </w:rPr>
        <w:t>REGISTRATION STATEMENT</w:t>
      </w:r>
    </w:p>
    <w:p>
      <w:pPr>
        <w:jc w:val="center"/>
        <w:spacing w:after="0" w:line="204"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2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26-1679911</w:t>
      </w:r>
    </w:p>
    <w:p>
      <w:pPr>
        <w:spacing w:after="0" w:line="29" w:lineRule="exact"/>
        <w:rPr>
          <w:sz w:val="24"/>
          <w:szCs w:val="24"/>
          <w:color w:val="auto"/>
        </w:rPr>
      </w:pPr>
    </w:p>
    <w:p>
      <w:pPr>
        <w:sectPr>
          <w:pgSz w:w="11900" w:h="16838" w:orient="portrait"/>
          <w:cols w:equalWidth="0" w:num="2">
            <w:col w:w="7080" w:space="720"/>
            <w:col w:w="3440"/>
          </w:cols>
          <w:pgMar w:left="320" w:top="1188" w:right="339" w:bottom="1440" w:gutter="0" w:footer="0" w:header="0"/>
          <w:type w:val="continuous"/>
        </w:sectPr>
      </w:pPr>
    </w:p>
    <w:p>
      <w:pPr>
        <w:ind w:left="1720"/>
        <w:spacing w:after="0"/>
        <w:rPr>
          <w:sz w:val="20"/>
          <w:szCs w:val="20"/>
          <w:color w:val="auto"/>
        </w:rPr>
      </w:pPr>
      <w:r>
        <w:rPr>
          <w:rFonts w:ascii="Arial" w:cs="Arial" w:eastAsia="Arial" w:hAnsi="Arial"/>
          <w:sz w:val="14"/>
          <w:szCs w:val="14"/>
          <w:b w:val="1"/>
          <w:bCs w:val="1"/>
          <w:color w:val="auto"/>
        </w:rPr>
        <w:t>(State or other jurisdiction of</w:t>
      </w:r>
    </w:p>
    <w:p>
      <w:pPr>
        <w:ind w:left="16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4"/>
          <w:szCs w:val="14"/>
          <w:b w:val="1"/>
          <w:bCs w:val="1"/>
          <w:color w:val="auto"/>
        </w:rPr>
        <w:t>(I.R.S. Employer</w:t>
      </w:r>
    </w:p>
    <w:p>
      <w:pPr>
        <w:jc w:val="center"/>
        <w:ind w:right="240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6900" w:space="720"/>
            <w:col w:w="3620"/>
          </w:cols>
          <w:pgMar w:left="320" w:top="1188" w:right="339" w:bottom="1440" w:gutter="0" w:footer="0" w:header="0"/>
          <w:type w:val="continuous"/>
        </w:sectPr>
      </w:pP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333 Oyster Point Boulevard</w:t>
      </w:r>
    </w:p>
    <w:p>
      <w:pPr>
        <w:jc w:val="center"/>
        <w:ind w:right="-19"/>
        <w:spacing w:after="0" w:line="211" w:lineRule="auto"/>
        <w:rPr>
          <w:sz w:val="20"/>
          <w:szCs w:val="20"/>
          <w:color w:val="auto"/>
        </w:rPr>
      </w:pPr>
      <w:r>
        <w:rPr>
          <w:rFonts w:ascii="Arial" w:cs="Arial" w:eastAsia="Arial" w:hAnsi="Arial"/>
          <w:sz w:val="16"/>
          <w:szCs w:val="16"/>
          <w:b w:val="1"/>
          <w:bCs w:val="1"/>
          <w:color w:val="auto"/>
        </w:rPr>
        <w:t>South San Francisco, California 94080</w:t>
      </w:r>
    </w:p>
    <w:p>
      <w:pPr>
        <w:jc w:val="center"/>
        <w:ind w:right="-19"/>
        <w:spacing w:after="0" w:line="215" w:lineRule="auto"/>
        <w:rPr>
          <w:sz w:val="20"/>
          <w:szCs w:val="20"/>
          <w:color w:val="auto"/>
        </w:rPr>
      </w:pPr>
      <w:r>
        <w:rPr>
          <w:rFonts w:ascii="Arial" w:cs="Arial" w:eastAsia="Arial" w:hAnsi="Arial"/>
          <w:sz w:val="16"/>
          <w:szCs w:val="16"/>
          <w:b w:val="1"/>
          <w:bCs w:val="1"/>
          <w:color w:val="auto"/>
        </w:rPr>
        <w:t>(650) 243-5555</w:t>
      </w: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240"/>
          </w:cols>
          <w:pgMar w:left="320" w:top="1188" w:right="339" w:bottom="1440" w:gutter="0" w:footer="0" w:header="0"/>
          <w:type w:val="continuous"/>
        </w:sectPr>
      </w:pP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NGM Biopharmaceuticals, Inc. Amended and Restated 2018 Equity Incentive Plan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David J. Woodhouse, Ph.D.</w:t>
      </w:r>
    </w:p>
    <w:p>
      <w:pPr>
        <w:jc w:val="center"/>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spacing w:after="0" w:line="211" w:lineRule="auto"/>
        <w:rPr>
          <w:sz w:val="20"/>
          <w:szCs w:val="20"/>
          <w:color w:val="auto"/>
        </w:rPr>
      </w:pPr>
      <w:r>
        <w:rPr>
          <w:rFonts w:ascii="Arial" w:cs="Arial" w:eastAsia="Arial" w:hAnsi="Arial"/>
          <w:sz w:val="16"/>
          <w:szCs w:val="16"/>
          <w:b w:val="1"/>
          <w:bCs w:val="1"/>
          <w:color w:val="auto"/>
        </w:rPr>
        <w:t>NGM Biopharmaceuticals, Inc.</w:t>
      </w:r>
    </w:p>
    <w:p>
      <w:pPr>
        <w:jc w:val="center"/>
        <w:spacing w:after="0" w:line="211" w:lineRule="auto"/>
        <w:rPr>
          <w:sz w:val="20"/>
          <w:szCs w:val="20"/>
          <w:color w:val="auto"/>
        </w:rPr>
      </w:pPr>
      <w:r>
        <w:rPr>
          <w:rFonts w:ascii="Arial" w:cs="Arial" w:eastAsia="Arial" w:hAnsi="Arial"/>
          <w:sz w:val="16"/>
          <w:szCs w:val="16"/>
          <w:b w:val="1"/>
          <w:bCs w:val="1"/>
          <w:color w:val="auto"/>
        </w:rPr>
        <w:t>333 Oyster Point Boulevard</w:t>
      </w:r>
    </w:p>
    <w:p>
      <w:pPr>
        <w:jc w:val="center"/>
        <w:spacing w:after="0" w:line="212" w:lineRule="auto"/>
        <w:rPr>
          <w:sz w:val="20"/>
          <w:szCs w:val="20"/>
          <w:color w:val="auto"/>
        </w:rPr>
      </w:pPr>
      <w:r>
        <w:rPr>
          <w:rFonts w:ascii="Arial" w:cs="Arial" w:eastAsia="Arial" w:hAnsi="Arial"/>
          <w:sz w:val="16"/>
          <w:szCs w:val="16"/>
          <w:b w:val="1"/>
          <w:bCs w:val="1"/>
          <w:color w:val="auto"/>
        </w:rPr>
        <w:t>South San Francisco, California 94080</w:t>
      </w:r>
    </w:p>
    <w:p>
      <w:pPr>
        <w:jc w:val="center"/>
        <w:spacing w:after="0" w:line="215" w:lineRule="auto"/>
        <w:rPr>
          <w:sz w:val="20"/>
          <w:szCs w:val="20"/>
          <w:color w:val="auto"/>
        </w:rPr>
      </w:pPr>
      <w:r>
        <w:rPr>
          <w:rFonts w:ascii="Arial" w:cs="Arial" w:eastAsia="Arial" w:hAnsi="Arial"/>
          <w:sz w:val="16"/>
          <w:szCs w:val="16"/>
          <w:b w:val="1"/>
          <w:bCs w:val="1"/>
          <w:color w:val="auto"/>
        </w:rPr>
        <w:t>(650) 243-5555</w:t>
      </w:r>
    </w:p>
    <w:p>
      <w:pPr>
        <w:jc w:val="center"/>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to:</w:t>
      </w:r>
    </w:p>
    <w:p>
      <w:pPr>
        <w:spacing w:after="0" w:line="73" w:lineRule="exact"/>
        <w:rPr>
          <w:sz w:val="24"/>
          <w:szCs w:val="24"/>
          <w:color w:val="auto"/>
        </w:rPr>
      </w:pPr>
    </w:p>
    <w:p>
      <w:pPr>
        <w:ind w:left="5040"/>
        <w:spacing w:after="0"/>
        <w:rPr>
          <w:sz w:val="20"/>
          <w:szCs w:val="20"/>
          <w:color w:val="auto"/>
        </w:rPr>
      </w:pPr>
      <w:r>
        <w:rPr>
          <w:rFonts w:ascii="Arial" w:cs="Arial" w:eastAsia="Arial" w:hAnsi="Arial"/>
          <w:sz w:val="16"/>
          <w:szCs w:val="16"/>
          <w:b w:val="1"/>
          <w:bCs w:val="1"/>
          <w:color w:val="auto"/>
        </w:rPr>
        <w:t>Chadwick Mills</w:t>
      </w:r>
    </w:p>
    <w:p>
      <w:pPr>
        <w:spacing w:after="0" w:line="3" w:lineRule="exact"/>
        <w:rPr>
          <w:sz w:val="24"/>
          <w:szCs w:val="24"/>
          <w:color w:val="auto"/>
        </w:rPr>
      </w:pPr>
    </w:p>
    <w:p>
      <w:pPr>
        <w:ind w:left="4860"/>
        <w:spacing w:after="0"/>
        <w:rPr>
          <w:sz w:val="20"/>
          <w:szCs w:val="20"/>
          <w:color w:val="auto"/>
        </w:rPr>
      </w:pPr>
      <w:r>
        <w:rPr>
          <w:rFonts w:ascii="Arial" w:cs="Arial" w:eastAsia="Arial" w:hAnsi="Arial"/>
          <w:sz w:val="16"/>
          <w:szCs w:val="16"/>
          <w:b w:val="1"/>
          <w:bCs w:val="1"/>
          <w:color w:val="auto"/>
        </w:rPr>
        <w:t>Christina T. Roupas</w:t>
      </w:r>
    </w:p>
    <w:p>
      <w:pPr>
        <w:ind w:left="5180"/>
        <w:spacing w:after="0" w:line="191" w:lineRule="auto"/>
        <w:rPr>
          <w:sz w:val="20"/>
          <w:szCs w:val="20"/>
          <w:color w:val="auto"/>
        </w:rPr>
      </w:pPr>
      <w:r>
        <w:rPr>
          <w:rFonts w:ascii="Arial" w:cs="Arial" w:eastAsia="Arial" w:hAnsi="Arial"/>
          <w:sz w:val="16"/>
          <w:szCs w:val="16"/>
          <w:b w:val="1"/>
          <w:bCs w:val="1"/>
          <w:color w:val="auto"/>
        </w:rPr>
        <w:t>Cooley LLP</w:t>
      </w:r>
    </w:p>
    <w:p>
      <w:pPr>
        <w:jc w:val="center"/>
        <w:spacing w:after="0" w:line="181" w:lineRule="auto"/>
        <w:rPr>
          <w:sz w:val="20"/>
          <w:szCs w:val="20"/>
          <w:color w:val="auto"/>
        </w:rPr>
      </w:pPr>
      <w:r>
        <w:rPr>
          <w:rFonts w:ascii="Arial" w:cs="Arial" w:eastAsia="Arial" w:hAnsi="Arial"/>
          <w:sz w:val="16"/>
          <w:szCs w:val="16"/>
          <w:b w:val="1"/>
          <w:bCs w:val="1"/>
          <w:color w:val="auto"/>
        </w:rPr>
        <w:t>3 Embarcadero Center, 20</w:t>
      </w:r>
      <w:r>
        <w:rPr>
          <w:rFonts w:ascii="Arial" w:cs="Arial" w:eastAsia="Arial" w:hAnsi="Arial"/>
          <w:sz w:val="22"/>
          <w:szCs w:val="22"/>
          <w:b w:val="1"/>
          <w:bCs w:val="1"/>
          <w:color w:val="auto"/>
          <w:vertAlign w:val="superscript"/>
        </w:rPr>
        <w:t>th</w:t>
      </w:r>
      <w:r>
        <w:rPr>
          <w:rFonts w:ascii="Arial" w:cs="Arial" w:eastAsia="Arial" w:hAnsi="Arial"/>
          <w:sz w:val="16"/>
          <w:szCs w:val="16"/>
          <w:b w:val="1"/>
          <w:bCs w:val="1"/>
          <w:color w:val="auto"/>
        </w:rPr>
        <w:t xml:space="preserve"> Floor</w:t>
      </w:r>
    </w:p>
    <w:p>
      <w:pPr>
        <w:jc w:val="center"/>
        <w:spacing w:after="0" w:line="229" w:lineRule="auto"/>
        <w:rPr>
          <w:sz w:val="20"/>
          <w:szCs w:val="20"/>
          <w:color w:val="auto"/>
        </w:rPr>
      </w:pPr>
      <w:r>
        <w:rPr>
          <w:rFonts w:ascii="Arial" w:cs="Arial" w:eastAsia="Arial" w:hAnsi="Arial"/>
          <w:sz w:val="16"/>
          <w:szCs w:val="16"/>
          <w:b w:val="1"/>
          <w:bCs w:val="1"/>
          <w:color w:val="auto"/>
        </w:rPr>
        <w:t>San Francisco, California 94111</w:t>
      </w:r>
    </w:p>
    <w:p>
      <w:pPr>
        <w:jc w:val="center"/>
        <w:spacing w:after="0"/>
        <w:rPr>
          <w:sz w:val="20"/>
          <w:szCs w:val="20"/>
          <w:color w:val="auto"/>
        </w:rPr>
      </w:pPr>
      <w:r>
        <w:rPr>
          <w:rFonts w:ascii="Arial" w:cs="Arial" w:eastAsia="Arial" w:hAnsi="Arial"/>
          <w:sz w:val="16"/>
          <w:szCs w:val="16"/>
          <w:b w:val="1"/>
          <w:bCs w:val="1"/>
          <w:color w:val="auto"/>
        </w:rPr>
        <w:t>(415)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0" w:lineRule="exact"/>
        <w:rPr>
          <w:sz w:val="24"/>
          <w:szCs w:val="24"/>
          <w:color w:val="auto"/>
        </w:rPr>
      </w:pPr>
    </w:p>
    <w:p>
      <w:pPr>
        <w:ind w:right="20"/>
        <w:spacing w:after="0" w:line="2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5220" w:type="dxa"/>
            <w:vAlign w:val="bottom"/>
          </w:tcPr>
          <w:p>
            <w:pPr>
              <w:ind w:left="284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06" w:lineRule="exact"/>
        <w:rPr>
          <w:sz w:val="24"/>
          <w:szCs w:val="24"/>
          <w:color w:val="auto"/>
        </w:rPr>
      </w:pPr>
    </w:p>
    <w:p>
      <w:pPr>
        <w:ind w:right="140"/>
        <w:spacing w:after="0" w:line="18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188"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44" w:lineRule="exact"/>
        <w:rPr>
          <w:sz w:val="20"/>
          <w:szCs w:val="20"/>
          <w:color w:val="auto"/>
        </w:rPr>
      </w:pPr>
    </w:p>
    <w:p>
      <w:pPr>
        <w:jc w:val="both"/>
        <w:ind w:firstLine="648"/>
        <w:spacing w:after="0" w:line="228" w:lineRule="auto"/>
        <w:rPr>
          <w:rFonts w:ascii="Arial" w:cs="Arial" w:eastAsia="Arial" w:hAnsi="Arial"/>
          <w:sz w:val="18"/>
          <w:szCs w:val="18"/>
          <w:color w:val="000000"/>
        </w:rPr>
      </w:pPr>
      <w:r>
        <w:rPr>
          <w:rFonts w:ascii="Arial" w:cs="Arial" w:eastAsia="Arial" w:hAnsi="Arial"/>
          <w:sz w:val="18"/>
          <w:szCs w:val="18"/>
          <w:color w:val="010202"/>
        </w:rPr>
        <w:t>NGM Biopharmaceuticals, Inc. (the “</w:t>
      </w:r>
      <w:r>
        <w:rPr>
          <w:rFonts w:ascii="Arial" w:cs="Arial" w:eastAsia="Arial" w:hAnsi="Arial"/>
          <w:sz w:val="18"/>
          <w:szCs w:val="18"/>
          <w:b w:val="1"/>
          <w:bCs w:val="1"/>
          <w:i w:val="1"/>
          <w:iCs w:val="1"/>
          <w:color w:val="010202"/>
        </w:rPr>
        <w:t>Registrant</w:t>
      </w:r>
      <w:r>
        <w:rPr>
          <w:rFonts w:ascii="Arial" w:cs="Arial" w:eastAsia="Arial" w:hAnsi="Arial"/>
          <w:sz w:val="18"/>
          <w:szCs w:val="18"/>
          <w:color w:val="010202"/>
        </w:rPr>
        <w:t xml:space="preserve">”) is filing this Registration Statement on Form S-8 for the purpose of registering an additional </w:t>
      </w:r>
      <w:r>
        <w:rPr>
          <w:rFonts w:ascii="Arial" w:cs="Arial" w:eastAsia="Arial" w:hAnsi="Arial"/>
          <w:sz w:val="18"/>
          <w:szCs w:val="18"/>
          <w:color w:val="000000"/>
        </w:rPr>
        <w:t>3,118,508</w:t>
      </w:r>
      <w:r>
        <w:rPr>
          <w:rFonts w:ascii="Arial" w:cs="Arial" w:eastAsia="Arial" w:hAnsi="Arial"/>
          <w:sz w:val="18"/>
          <w:szCs w:val="18"/>
          <w:color w:val="010202"/>
        </w:rPr>
        <w:t xml:space="preserve"> shares of common stock, par value $0.001 per share (the “</w:t>
      </w:r>
      <w:r>
        <w:rPr>
          <w:rFonts w:ascii="Arial" w:cs="Arial" w:eastAsia="Arial" w:hAnsi="Arial"/>
          <w:sz w:val="18"/>
          <w:szCs w:val="18"/>
          <w:b w:val="1"/>
          <w:bCs w:val="1"/>
          <w:i w:val="1"/>
          <w:iCs w:val="1"/>
          <w:color w:val="010202"/>
        </w:rPr>
        <w:t>Common Stock</w:t>
      </w:r>
      <w:r>
        <w:rPr>
          <w:rFonts w:ascii="Arial" w:cs="Arial" w:eastAsia="Arial" w:hAnsi="Arial"/>
          <w:sz w:val="18"/>
          <w:szCs w:val="18"/>
          <w:color w:val="010202"/>
        </w:rPr>
        <w:t>”) to be issued pursuant to the Registrant’s Amended and Restated 2018 Equity Incentive Plan (the “</w:t>
      </w:r>
      <w:r>
        <w:rPr>
          <w:rFonts w:ascii="Arial" w:cs="Arial" w:eastAsia="Arial" w:hAnsi="Arial"/>
          <w:sz w:val="18"/>
          <w:szCs w:val="18"/>
          <w:b w:val="1"/>
          <w:bCs w:val="1"/>
          <w:i w:val="1"/>
          <w:iCs w:val="1"/>
          <w:color w:val="010202"/>
        </w:rPr>
        <w:t>Restated 2018 Plan</w:t>
      </w:r>
      <w:r>
        <w:rPr>
          <w:rFonts w:ascii="Arial" w:cs="Arial" w:eastAsia="Arial" w:hAnsi="Arial"/>
          <w:sz w:val="18"/>
          <w:szCs w:val="18"/>
          <w:color w:val="010202"/>
        </w:rPr>
        <w:t xml:space="preserve">”). </w:t>
      </w:r>
      <w:r>
        <w:rPr>
          <w:rFonts w:ascii="Arial" w:cs="Arial" w:eastAsia="Arial" w:hAnsi="Arial"/>
          <w:sz w:val="18"/>
          <w:szCs w:val="18"/>
          <w:color w:val="000000"/>
        </w:rPr>
        <w:t>The Registrant previously registered shares of its Common</w:t>
      </w:r>
      <w:r>
        <w:rPr>
          <w:rFonts w:ascii="Arial" w:cs="Arial" w:eastAsia="Arial" w:hAnsi="Arial"/>
          <w:sz w:val="18"/>
          <w:szCs w:val="18"/>
          <w:color w:val="010202"/>
        </w:rPr>
        <w:t xml:space="preserve"> </w:t>
      </w:r>
      <w:r>
        <w:rPr>
          <w:rFonts w:ascii="Arial" w:cs="Arial" w:eastAsia="Arial" w:hAnsi="Arial"/>
          <w:sz w:val="18"/>
          <w:szCs w:val="18"/>
          <w:color w:val="000000"/>
        </w:rPr>
        <w:t xml:space="preserve">Stock for issuance under the Restated 2018 Plan pursuant to the Registrant’s registration statements on Form S-8 filed on April 4, 2019 (File No. </w:t>
      </w:r>
      <w:hyperlink r:id="rId14">
        <w:r>
          <w:rPr>
            <w:rFonts w:ascii="Arial" w:cs="Arial" w:eastAsia="Arial" w:hAnsi="Arial"/>
            <w:sz w:val="18"/>
            <w:szCs w:val="18"/>
            <w:u w:val="single" w:color="auto"/>
            <w:color w:val="0000FF"/>
          </w:rPr>
          <w:t>333-230725</w:t>
        </w:r>
      </w:hyperlink>
      <w:r>
        <w:rPr>
          <w:rFonts w:ascii="Arial" w:cs="Arial" w:eastAsia="Arial" w:hAnsi="Arial"/>
          <w:sz w:val="18"/>
          <w:szCs w:val="18"/>
          <w:color w:val="000000"/>
        </w:rPr>
        <w:t xml:space="preserve">), March 17, 2020 (File No. </w:t>
      </w:r>
      <w:hyperlink r:id="rId15">
        <w:r>
          <w:rPr>
            <w:rFonts w:ascii="Arial" w:cs="Arial" w:eastAsia="Arial" w:hAnsi="Arial"/>
            <w:sz w:val="18"/>
            <w:szCs w:val="18"/>
            <w:u w:val="single" w:color="auto"/>
            <w:color w:val="0000FF"/>
          </w:rPr>
          <w:t>333-237243</w:t>
        </w:r>
      </w:hyperlink>
      <w:r>
        <w:rPr>
          <w:rFonts w:ascii="Arial" w:cs="Arial" w:eastAsia="Arial" w:hAnsi="Arial"/>
          <w:sz w:val="18"/>
          <w:szCs w:val="18"/>
          <w:color w:val="000000"/>
        </w:rPr>
        <w:t xml:space="preserve">) and March 15, 2021 (File No. </w:t>
      </w:r>
      <w:hyperlink r:id="rId16">
        <w:r>
          <w:rPr>
            <w:rFonts w:ascii="Arial" w:cs="Arial" w:eastAsia="Arial" w:hAnsi="Arial"/>
            <w:sz w:val="18"/>
            <w:szCs w:val="18"/>
            <w:u w:val="single" w:color="auto"/>
            <w:color w:val="0000FF"/>
          </w:rPr>
          <w:t>333-254295</w:t>
        </w:r>
      </w:hyperlink>
      <w:r>
        <w:rPr>
          <w:rFonts w:ascii="Arial" w:cs="Arial" w:eastAsia="Arial" w:hAnsi="Arial"/>
          <w:sz w:val="18"/>
          <w:szCs w:val="18"/>
          <w:color w:val="000000"/>
        </w:rPr>
        <w:t>) (together, the “</w:t>
      </w:r>
      <w:r>
        <w:rPr>
          <w:rFonts w:ascii="Arial" w:cs="Arial" w:eastAsia="Arial" w:hAnsi="Arial"/>
          <w:sz w:val="18"/>
          <w:szCs w:val="18"/>
          <w:b w:val="1"/>
          <w:bCs w:val="1"/>
          <w:i w:val="1"/>
          <w:iCs w:val="1"/>
          <w:color w:val="000000"/>
        </w:rPr>
        <w:t>Prior Registration</w:t>
      </w:r>
      <w:r>
        <w:rPr>
          <w:rFonts w:ascii="Arial" w:cs="Arial" w:eastAsia="Arial" w:hAnsi="Arial"/>
          <w:sz w:val="18"/>
          <w:szCs w:val="18"/>
          <w:color w:val="000000"/>
        </w:rPr>
        <w:t xml:space="preserve"> </w:t>
      </w:r>
      <w:r>
        <w:rPr>
          <w:rFonts w:ascii="Arial" w:cs="Arial" w:eastAsia="Arial" w:hAnsi="Arial"/>
          <w:sz w:val="18"/>
          <w:szCs w:val="18"/>
          <w:b w:val="1"/>
          <w:bCs w:val="1"/>
          <w:i w:val="1"/>
          <w:iCs w:val="1"/>
          <w:color w:val="000000"/>
        </w:rPr>
        <w:t>Statements</w:t>
      </w:r>
      <w:r>
        <w:rPr>
          <w:rFonts w:ascii="Arial" w:cs="Arial" w:eastAsia="Arial" w:hAnsi="Arial"/>
          <w:sz w:val="18"/>
          <w:szCs w:val="18"/>
          <w:color w:val="000000"/>
        </w:rPr>
        <w:t>”).</w:t>
      </w:r>
    </w:p>
    <w:p>
      <w:pPr>
        <w:spacing w:after="0" w:line="98" w:lineRule="exact"/>
        <w:rPr>
          <w:rFonts w:ascii="Arial" w:cs="Arial" w:eastAsia="Arial" w:hAnsi="Arial"/>
          <w:sz w:val="18"/>
          <w:szCs w:val="18"/>
          <w:color w:val="000000"/>
        </w:rPr>
      </w:pPr>
    </w:p>
    <w:p>
      <w:pPr>
        <w:jc w:val="both"/>
        <w:ind w:firstLine="648"/>
        <w:spacing w:after="0" w:line="254" w:lineRule="auto"/>
        <w:rPr>
          <w:sz w:val="20"/>
          <w:szCs w:val="20"/>
          <w:color w:val="auto"/>
        </w:rPr>
      </w:pPr>
      <w:r>
        <w:rPr>
          <w:rFonts w:ascii="Arial" w:cs="Arial" w:eastAsia="Arial" w:hAnsi="Arial"/>
          <w:sz w:val="18"/>
          <w:szCs w:val="18"/>
          <w:color w:val="auto"/>
        </w:rPr>
        <w:t>This Registration Statement relates to securities of the same class as that to which the Prior Registration Statements relate and is submitted in accordance with General Instruction E to Form S-8 regarding Registration of Additional Securities. Pursuant to General Instruction E of Form S-8, the contents of the Prior Registration Statements are incorporated herein by reference and made part of this Registration Statement.</w:t>
      </w:r>
    </w:p>
    <w:p>
      <w:pPr>
        <w:sectPr>
          <w:pgSz w:w="11900" w:h="16838" w:orient="portrait"/>
          <w:cols w:equalWidth="0" w:num="1">
            <w:col w:w="11240"/>
          </w:cols>
          <w:pgMar w:left="320" w:top="10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880" w:type="dxa"/>
            <w:vAlign w:val="bottom"/>
          </w:tcPr>
          <w:p>
            <w:pPr>
              <w:ind w:left="20"/>
              <w:spacing w:after="0"/>
              <w:rPr>
                <w:sz w:val="20"/>
                <w:szCs w:val="20"/>
                <w:color w:val="auto"/>
              </w:rPr>
            </w:pPr>
            <w:r>
              <w:rPr>
                <w:rFonts w:ascii="Arial" w:cs="Arial" w:eastAsia="Arial" w:hAnsi="Arial"/>
                <w:sz w:val="18"/>
                <w:szCs w:val="18"/>
                <w:b w:val="1"/>
                <w:bCs w:val="1"/>
                <w:color w:val="auto"/>
              </w:rPr>
              <w:t>ITEM 8.</w:t>
            </w:r>
          </w:p>
        </w:tc>
        <w:tc>
          <w:tcPr>
            <w:tcW w:w="5220" w:type="dxa"/>
            <w:vAlign w:val="bottom"/>
            <w:gridSpan w:val="15"/>
          </w:tcPr>
          <w:p>
            <w:pPr>
              <w:ind w:left="160"/>
              <w:spacing w:after="0"/>
              <w:rPr>
                <w:sz w:val="20"/>
                <w:szCs w:val="20"/>
                <w:color w:val="auto"/>
              </w:rPr>
            </w:pPr>
            <w:r>
              <w:rPr>
                <w:rFonts w:ascii="Arial" w:cs="Arial" w:eastAsia="Arial" w:hAnsi="Arial"/>
                <w:sz w:val="18"/>
                <w:szCs w:val="18"/>
                <w:b w:val="1"/>
                <w:bCs w:val="1"/>
                <w:color w:val="auto"/>
              </w:rPr>
              <w:t>EXHIBITS</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180" w:type="dxa"/>
            <w:vAlign w:val="bottom"/>
            <w:vMerge w:val="restart"/>
          </w:tcPr>
          <w:p>
            <w:pPr>
              <w:spacing w:after="0"/>
              <w:rPr>
                <w:sz w:val="12"/>
                <w:szCs w:val="12"/>
                <w:color w:val="auto"/>
              </w:rPr>
            </w:pPr>
          </w:p>
        </w:tc>
        <w:tc>
          <w:tcPr>
            <w:tcW w:w="12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Schedule</w:t>
            </w:r>
          </w:p>
        </w:tc>
        <w:tc>
          <w:tcPr>
            <w:tcW w:w="15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Number</w:t>
            </w:r>
          </w:p>
        </w:tc>
        <w:tc>
          <w:tcPr>
            <w:tcW w:w="160" w:type="dxa"/>
            <w:vAlign w:val="bottom"/>
            <w:vMerge w:val="restart"/>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80" w:type="dxa"/>
            <w:vAlign w:val="bottom"/>
            <w:vMerge w:val="restart"/>
          </w:tcPr>
          <w:p>
            <w:pPr>
              <w:spacing w:after="0"/>
              <w:rPr>
                <w:sz w:val="12"/>
                <w:szCs w:val="12"/>
                <w:color w:val="auto"/>
              </w:rPr>
            </w:pPr>
          </w:p>
        </w:tc>
        <w:tc>
          <w:tcPr>
            <w:tcW w:w="12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6"/>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3"/>
          </w:tcPr>
          <w:p>
            <w:pPr>
              <w:spacing w:after="0"/>
              <w:rPr>
                <w:rFonts w:ascii="Arial" w:cs="Arial" w:eastAsia="Arial" w:hAnsi="Arial"/>
                <w:sz w:val="18"/>
                <w:szCs w:val="18"/>
                <w:color w:val="0000FF"/>
              </w:rPr>
            </w:pPr>
            <w:hyperlink r:id="rId17">
              <w:r>
                <w:rPr>
                  <w:rFonts w:ascii="Arial" w:cs="Arial" w:eastAsia="Arial" w:hAnsi="Arial"/>
                  <w:sz w:val="18"/>
                  <w:szCs w:val="18"/>
                  <w:color w:val="0000FF"/>
                </w:rPr>
                <w:t>Amended and Restated Certificate of Incorporation of the</w:t>
              </w:r>
            </w:hyperlink>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4/8/19</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7">
              <w:r>
                <w:rPr>
                  <w:rFonts w:ascii="Arial" w:cs="Arial" w:eastAsia="Arial" w:hAnsi="Arial"/>
                  <w:sz w:val="18"/>
                  <w:szCs w:val="18"/>
                  <w:color w:val="0000FF"/>
                  <w:w w:val="98"/>
                </w:rPr>
                <w:t>Registrant.</w:t>
              </w:r>
            </w:hyperlink>
          </w:p>
        </w:tc>
        <w:tc>
          <w:tcPr>
            <w:tcW w:w="3680" w:type="dxa"/>
            <w:vAlign w:val="bottom"/>
            <w:tcBorders>
              <w:top w:val="single" w:sz="8" w:color="0000FF"/>
            </w:tcBorders>
            <w:gridSpan w:val="9"/>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bottom w:val="single" w:sz="8" w:color="0000FF"/>
            </w:tcBorders>
            <w:gridSpan w:val="7"/>
          </w:tcPr>
          <w:p>
            <w:pPr>
              <w:spacing w:after="0"/>
              <w:rPr>
                <w:rFonts w:ascii="Arial" w:cs="Arial" w:eastAsia="Arial" w:hAnsi="Arial"/>
                <w:sz w:val="18"/>
                <w:szCs w:val="18"/>
                <w:color w:val="0000FF"/>
                <w:w w:val="99"/>
              </w:rPr>
            </w:pPr>
            <w:hyperlink r:id="rId18">
              <w:r>
                <w:rPr>
                  <w:rFonts w:ascii="Arial" w:cs="Arial" w:eastAsia="Arial" w:hAnsi="Arial"/>
                  <w:sz w:val="18"/>
                  <w:szCs w:val="18"/>
                  <w:color w:val="0000FF"/>
                  <w:w w:val="99"/>
                </w:rPr>
                <w:t>Amended and Restated Bylaws of the Registrant.</w:t>
              </w:r>
            </w:hyperlink>
          </w:p>
        </w:tc>
        <w:tc>
          <w:tcPr>
            <w:tcW w:w="1100" w:type="dxa"/>
            <w:vAlign w:val="bottom"/>
            <w:gridSpan w:val="6"/>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9/28/18</w:t>
            </w:r>
          </w:p>
        </w:tc>
        <w:tc>
          <w:tcPr>
            <w:tcW w:w="0" w:type="dxa"/>
            <w:vAlign w:val="bottom"/>
          </w:tcPr>
          <w:p>
            <w:pPr>
              <w:spacing w:after="0"/>
              <w:rPr>
                <w:sz w:val="1"/>
                <w:szCs w:val="1"/>
                <w:color w:val="auto"/>
              </w:rPr>
            </w:pPr>
          </w:p>
        </w:tc>
      </w:tr>
      <w:tr>
        <w:trPr>
          <w:trHeight w:val="358"/>
        </w:trPr>
        <w:tc>
          <w:tcPr>
            <w:tcW w:w="880" w:type="dxa"/>
            <w:vAlign w:val="bottom"/>
          </w:tcPr>
          <w:p>
            <w:pPr>
              <w:ind w:left="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Borders>
              <w:bottom w:val="single" w:sz="8" w:color="0000FF"/>
            </w:tcBorders>
            <w:gridSpan w:val="5"/>
          </w:tcPr>
          <w:p>
            <w:pPr>
              <w:spacing w:after="0"/>
              <w:rPr>
                <w:rFonts w:ascii="Arial" w:cs="Arial" w:eastAsia="Arial" w:hAnsi="Arial"/>
                <w:sz w:val="18"/>
                <w:szCs w:val="18"/>
                <w:color w:val="0000FF"/>
                <w:w w:val="99"/>
              </w:rPr>
            </w:pPr>
            <w:hyperlink r:id="rId19">
              <w:r>
                <w:rPr>
                  <w:rFonts w:ascii="Arial" w:cs="Arial" w:eastAsia="Arial" w:hAnsi="Arial"/>
                  <w:sz w:val="18"/>
                  <w:szCs w:val="18"/>
                  <w:color w:val="0000FF"/>
                  <w:w w:val="99"/>
                </w:rPr>
                <w:t>Form of Common Stock Certificate.</w:t>
              </w:r>
            </w:hyperlink>
          </w:p>
        </w:tc>
        <w:tc>
          <w:tcPr>
            <w:tcW w:w="2220" w:type="dxa"/>
            <w:vAlign w:val="bottom"/>
            <w:gridSpan w:val="8"/>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4/1/19</w:t>
            </w:r>
          </w:p>
        </w:tc>
        <w:tc>
          <w:tcPr>
            <w:tcW w:w="0" w:type="dxa"/>
            <w:vAlign w:val="bottom"/>
          </w:tcPr>
          <w:p>
            <w:pPr>
              <w:spacing w:after="0"/>
              <w:rPr>
                <w:sz w:val="1"/>
                <w:szCs w:val="1"/>
                <w:color w:val="auto"/>
              </w:rPr>
            </w:pPr>
          </w:p>
        </w:tc>
      </w:tr>
      <w:tr>
        <w:trPr>
          <w:trHeight w:val="372"/>
        </w:trPr>
        <w:tc>
          <w:tcPr>
            <w:tcW w:w="880" w:type="dxa"/>
            <w:vAlign w:val="bottom"/>
          </w:tcPr>
          <w:p>
            <w:pPr>
              <w:ind w:left="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Borders>
              <w:bottom w:val="single" w:sz="8" w:color="0000FF"/>
            </w:tcBorders>
            <w:gridSpan w:val="4"/>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Opinion of Cooley LLP.</w:t>
              </w:r>
            </w:hyperlink>
          </w:p>
        </w:tc>
        <w:tc>
          <w:tcPr>
            <w:tcW w:w="3200" w:type="dxa"/>
            <w:vAlign w:val="bottom"/>
            <w:gridSpan w:val="9"/>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80" w:type="dxa"/>
            <w:vAlign w:val="bottom"/>
          </w:tcPr>
          <w:p>
            <w:pPr>
              <w:ind w:left="2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Consent of Cooley LLP (included in Exhibit 5.1).</w:t>
              </w:r>
            </w:hyperlink>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Consent of Independent Registered Public Accounting Firm.</w:t>
              </w:r>
            </w:hyperlink>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80" w:type="dxa"/>
            <w:vAlign w:val="bottom"/>
          </w:tcPr>
          <w:p>
            <w:pPr>
              <w:ind w:left="2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top w:val="single" w:sz="8" w:color="0000FF"/>
            </w:tcBorders>
            <w:gridSpan w:val="11"/>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Power of Attorney (included on the signature page of</w:t>
              </w:r>
            </w:hyperlink>
          </w:p>
        </w:tc>
        <w:tc>
          <w:tcPr>
            <w:tcW w:w="26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w:anchor="page1">
              <w:r>
                <w:rPr>
                  <w:rFonts w:ascii="Arial" w:cs="Arial" w:eastAsia="Arial" w:hAnsi="Arial"/>
                  <w:sz w:val="18"/>
                  <w:szCs w:val="18"/>
                  <w:color w:val="0000FF"/>
                  <w:w w:val="99"/>
                </w:rPr>
                <w:t>this Form S-8).</w:t>
              </w:r>
            </w:hyperlink>
          </w:p>
        </w:tc>
        <w:tc>
          <w:tcPr>
            <w:tcW w:w="3000" w:type="dxa"/>
            <w:vAlign w:val="bottom"/>
            <w:tcBorders>
              <w:top w:val="single" w:sz="8" w:color="0000FF"/>
            </w:tcBorders>
            <w:gridSpan w:val="6"/>
          </w:tcPr>
          <w:p>
            <w:pPr>
              <w:spacing w:after="0"/>
              <w:rPr>
                <w:sz w:val="13"/>
                <w:szCs w:val="13"/>
                <w:color w:val="auto"/>
              </w:rPr>
            </w:pPr>
          </w:p>
        </w:tc>
        <w:tc>
          <w:tcPr>
            <w:tcW w:w="840" w:type="dxa"/>
            <w:vAlign w:val="bottom"/>
            <w:gridSpan w:val="4"/>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2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3"/>
          </w:tcPr>
          <w:p>
            <w:pPr>
              <w:spacing w:after="0"/>
              <w:rPr>
                <w:rFonts w:ascii="Arial" w:cs="Arial" w:eastAsia="Arial" w:hAnsi="Arial"/>
                <w:sz w:val="18"/>
                <w:szCs w:val="18"/>
                <w:color w:val="0000FF"/>
              </w:rPr>
            </w:pPr>
            <w:hyperlink r:id="rId20">
              <w:r>
                <w:rPr>
                  <w:rFonts w:ascii="Arial" w:cs="Arial" w:eastAsia="Arial" w:hAnsi="Arial"/>
                  <w:sz w:val="18"/>
                  <w:szCs w:val="18"/>
                  <w:color w:val="0000FF"/>
                </w:rPr>
                <w:t>Amended and Restated 2018 Equity Incentive Plan.</w:t>
              </w:r>
            </w:hyperlink>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0" w:type="dxa"/>
            <w:vAlign w:val="bottom"/>
          </w:tcPr>
          <w:p>
            <w:pPr>
              <w:spacing w:after="0"/>
              <w:rPr>
                <w:sz w:val="1"/>
                <w:szCs w:val="1"/>
                <w:color w:val="auto"/>
              </w:rPr>
            </w:pPr>
          </w:p>
        </w:tc>
      </w:tr>
      <w:tr>
        <w:trPr>
          <w:trHeight w:val="318"/>
        </w:trPr>
        <w:tc>
          <w:tcPr>
            <w:tcW w:w="880" w:type="dxa"/>
            <w:vAlign w:val="bottom"/>
          </w:tcPr>
          <w:p>
            <w:pPr>
              <w:ind w:left="2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top w:val="single" w:sz="8" w:color="0000FF"/>
            </w:tcBorders>
            <w:gridSpan w:val="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Filing fee table</w:t>
              </w:r>
            </w:hyperlink>
            <w:r>
              <w:rPr>
                <w:rFonts w:ascii="Arial" w:cs="Arial" w:eastAsia="Arial" w:hAnsi="Arial"/>
                <w:sz w:val="18"/>
                <w:szCs w:val="18"/>
                <w:color w:val="000000"/>
              </w:rPr>
              <w:t>.</w:t>
            </w:r>
          </w:p>
        </w:tc>
        <w:tc>
          <w:tcPr>
            <w:tcW w:w="920" w:type="dxa"/>
            <w:vAlign w:val="bottom"/>
            <w:gridSpan w:val="5"/>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11220"/>
          </w:cols>
          <w:pgMar w:left="320" w:top="1372" w:right="35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this 1st day of March, 2022.</w:t>
      </w:r>
    </w:p>
    <w:p>
      <w:pPr>
        <w:spacing w:after="0" w:line="355"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NGM Biopharmaceuticals, Inc.</w:t>
      </w:r>
    </w:p>
    <w:p>
      <w:pPr>
        <w:spacing w:after="0" w:line="45"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J. Woodhouse, Ph.D.</w:t>
      </w:r>
    </w:p>
    <w:p>
      <w:pPr>
        <w:spacing w:after="0" w:line="10"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 and Director</w:t>
      </w:r>
    </w:p>
    <w:p>
      <w:pPr>
        <w:sectPr>
          <w:pgSz w:w="11900" w:h="16838" w:orient="portrait"/>
          <w:cols w:equalWidth="0" w:num="1">
            <w:col w:w="11120"/>
          </w:cols>
          <w:pgMar w:left="320" w:top="1075"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William J. Rieflin, David J. Woodhouse, Siobhan Nolan Mangini and Valerie Pierce, and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9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120" w:type="dxa"/>
            <w:vAlign w:val="bottom"/>
          </w:tcPr>
          <w:p>
            <w:pPr>
              <w:spacing w:after="0"/>
              <w:rPr>
                <w:sz w:val="20"/>
                <w:szCs w:val="20"/>
                <w:color w:val="auto"/>
              </w:rPr>
            </w:pPr>
          </w:p>
        </w:tc>
        <w:tc>
          <w:tcPr>
            <w:tcW w:w="5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223"/>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J. Woodhouse</w:t>
            </w:r>
          </w:p>
        </w:tc>
        <w:tc>
          <w:tcPr>
            <w:tcW w:w="120" w:type="dxa"/>
            <w:vAlign w:val="bottom"/>
          </w:tcPr>
          <w:p>
            <w:pPr>
              <w:spacing w:after="0"/>
              <w:rPr>
                <w:sz w:val="19"/>
                <w:szCs w:val="19"/>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Executive Officer and 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rPr>
              <w:t>David J. Woodhouse, Ph.D.</w:t>
            </w:r>
          </w:p>
        </w:tc>
        <w:tc>
          <w:tcPr>
            <w:tcW w:w="120" w:type="dxa"/>
            <w:vAlign w:val="bottom"/>
          </w:tcPr>
          <w:p>
            <w:pPr>
              <w:spacing w:after="0"/>
              <w:rPr>
                <w:sz w:val="19"/>
                <w:szCs w:val="19"/>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9"/>
              </w:rPr>
              <w:t>(Principal Executive Officer)</w:t>
            </w:r>
          </w:p>
        </w:tc>
        <w:tc>
          <w:tcPr>
            <w:tcW w:w="1920" w:type="dxa"/>
            <w:vAlign w:val="bottom"/>
          </w:tcPr>
          <w:p>
            <w:pPr>
              <w:spacing w:after="0"/>
              <w:rPr>
                <w:sz w:val="19"/>
                <w:szCs w:val="19"/>
                <w:color w:val="auto"/>
              </w:rPr>
            </w:pPr>
          </w:p>
        </w:tc>
      </w:tr>
      <w:tr>
        <w:trPr>
          <w:trHeight w:val="39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Siobhan Nolan Mangini</w:t>
            </w:r>
          </w:p>
        </w:tc>
        <w:tc>
          <w:tcPr>
            <w:tcW w:w="120" w:type="dxa"/>
            <w:vAlign w:val="bottom"/>
          </w:tcPr>
          <w:p>
            <w:pPr>
              <w:spacing w:after="0"/>
              <w:rPr>
                <w:sz w:val="24"/>
                <w:szCs w:val="24"/>
                <w:color w:val="auto"/>
              </w:rPr>
            </w:pPr>
          </w:p>
        </w:tc>
        <w:tc>
          <w:tcPr>
            <w:tcW w:w="6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Chief Financial Officer</w:t>
            </w:r>
          </w:p>
        </w:tc>
        <w:tc>
          <w:tcPr>
            <w:tcW w:w="1920" w:type="dxa"/>
            <w:vAlign w:val="bottom"/>
          </w:tcPr>
          <w:p>
            <w:pPr>
              <w:jc w:val="center"/>
              <w:spacing w:after="0"/>
              <w:rPr>
                <w:sz w:val="20"/>
                <w:szCs w:val="20"/>
                <w:color w:val="auto"/>
              </w:rPr>
            </w:pPr>
            <w:r>
              <w:rPr>
                <w:rFonts w:ascii="Arial" w:cs="Arial" w:eastAsia="Arial" w:hAnsi="Arial"/>
                <w:sz w:val="18"/>
                <w:szCs w:val="18"/>
                <w:color w:val="auto"/>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Siobhan Nolan Mangini</w:t>
            </w:r>
          </w:p>
        </w:tc>
        <w:tc>
          <w:tcPr>
            <w:tcW w:w="120" w:type="dxa"/>
            <w:vAlign w:val="bottom"/>
          </w:tcPr>
          <w:p>
            <w:pPr>
              <w:spacing w:after="0"/>
              <w:rPr>
                <w:sz w:val="19"/>
                <w:szCs w:val="19"/>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Bill Rieflin</w:t>
            </w:r>
          </w:p>
        </w:tc>
        <w:tc>
          <w:tcPr>
            <w:tcW w:w="120" w:type="dxa"/>
            <w:vAlign w:val="bottom"/>
          </w:tcPr>
          <w:p>
            <w:pPr>
              <w:spacing w:after="0"/>
              <w:rPr>
                <w:sz w:val="24"/>
                <w:szCs w:val="24"/>
                <w:color w:val="auto"/>
              </w:rPr>
            </w:pPr>
          </w:p>
        </w:tc>
        <w:tc>
          <w:tcPr>
            <w:tcW w:w="6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Executive Chairman and 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William J. Rieflin</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Jin-Long Chen</w:t>
            </w:r>
          </w:p>
        </w:tc>
        <w:tc>
          <w:tcPr>
            <w:tcW w:w="120" w:type="dxa"/>
            <w:vAlign w:val="bottom"/>
          </w:tcPr>
          <w:p>
            <w:pPr>
              <w:spacing w:after="0"/>
              <w:rPr>
                <w:sz w:val="24"/>
                <w:szCs w:val="24"/>
                <w:color w:val="auto"/>
              </w:rPr>
            </w:pPr>
          </w:p>
        </w:tc>
        <w:tc>
          <w:tcPr>
            <w:tcW w:w="6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Chief Scientific Officer and 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Jin-Long Chen, Ph.D.</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V. Goeddel, Ph.D.</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8"/>
              </w:rPr>
              <w:t>David V. Goeddel, Ph.D.</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Shelly D. Guyer</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Shelly D. Guyer</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Carole Ho</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Carole Ho, MD</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Suzanne Hooper</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Suzanne Sawochka Hooper</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9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Leschly</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Mark Leschly</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8"/>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Roger M. Perlmutter, M.D.</w:t>
            </w:r>
          </w:p>
        </w:tc>
        <w:tc>
          <w:tcPr>
            <w:tcW w:w="120" w:type="dxa"/>
            <w:vAlign w:val="bottom"/>
          </w:tcPr>
          <w:p>
            <w:pPr>
              <w:spacing w:after="0"/>
              <w:rPr>
                <w:sz w:val="24"/>
                <w:szCs w:val="24"/>
                <w:color w:val="auto"/>
              </w:rPr>
            </w:pPr>
          </w:p>
        </w:tc>
        <w:tc>
          <w:tcPr>
            <w:tcW w:w="60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rPr>
              <w:t>March 1, 2022</w:t>
            </w:r>
          </w:p>
        </w:tc>
      </w:tr>
      <w:tr>
        <w:trPr>
          <w:trHeight w:val="22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Roger M. Perlmutter, M.D.</w:t>
            </w:r>
          </w:p>
        </w:tc>
        <w:tc>
          <w:tcPr>
            <w:tcW w:w="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ectPr>
          <w:pgSz w:w="11900" w:h="16838" w:orient="portrait"/>
          <w:cols w:equalWidth="0" w:num="1">
            <w:col w:w="11240"/>
          </w:cols>
          <w:pgMar w:left="320" w:top="129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25158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515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Chadwick Mills</w:t>
      </w:r>
    </w:p>
    <w:p>
      <w:pPr>
        <w:spacing w:after="0" w:line="5" w:lineRule="exact"/>
        <w:rPr>
          <w:sz w:val="20"/>
          <w:szCs w:val="20"/>
          <w:color w:val="auto"/>
        </w:rPr>
      </w:pPr>
    </w:p>
    <w:p>
      <w:pPr>
        <w:jc w:val="both"/>
        <w:ind w:right="9840" w:firstLine="8"/>
        <w:spacing w:after="0" w:line="260" w:lineRule="auto"/>
        <w:tabs>
          <w:tab w:leader="none" w:pos="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1 (415) 693-2000 cmills@cooley.com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Oyster Point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3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Registration on Form S-8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3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acted as counsel to NGM Biopharmaceuticals,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covering the offering of up to 3,118,508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$0.001 per share, pursuant to the Company’s Amended and Restated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this opinion, we have examined and relied upon the Registration Statement and related prospectus, the Company’s Amended and Restated Certificate of Incorporation and Amended and Restated Bylaws, each as currently in effect, the Plan and originals or copies certified to our satisfaction of such other records, documents, certificates, memoranda and other instruments as we have determined to be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by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 the Registration Statement and related prospectus, will be validly issued, fully paid, and nonassessable (except as to shares issued pursuant to certain deferred payment arrangements, which will be fully paid and nonassessable when such deferred payments are made in full).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OOLEY</w:t>
      </w:r>
      <w:r>
        <w:rPr>
          <w:rFonts w:ascii="Arial" w:cs="Arial" w:eastAsia="Arial" w:hAnsi="Arial"/>
          <w:sz w:val="18"/>
          <w:szCs w:val="18"/>
          <w:b w:val="1"/>
          <w:bCs w:val="1"/>
          <w:color w:val="auto"/>
        </w:rPr>
        <w:t xml:space="preserve"> LLP</w:t>
      </w: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tab/>
        <w:t>/s/ Chadwick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6350</wp:posOffset>
            </wp:positionV>
            <wp:extent cx="2674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Chadwick Mills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 Embarcadero Center, 20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Floor San Francisco, CA 94111</w:t>
      </w:r>
    </w:p>
    <w:p>
      <w:pPr>
        <w:jc w:val="center"/>
        <w:spacing w:after="0"/>
        <w:rPr>
          <w:sz w:val="20"/>
          <w:szCs w:val="20"/>
          <w:color w:val="auto"/>
        </w:rPr>
      </w:pPr>
      <w:r>
        <w:rPr>
          <w:rFonts w:ascii="Arial" w:cs="Arial" w:eastAsia="Arial" w:hAnsi="Arial"/>
          <w:sz w:val="13"/>
          <w:szCs w:val="13"/>
          <w:color w:val="auto"/>
        </w:rPr>
        <w:t>t: (415) 693-2000 f: (415) 693-2222 cooley.com</w:t>
      </w:r>
    </w:p>
    <w:p>
      <w:pPr>
        <w:sectPr>
          <w:pgSz w:w="11900" w:h="16838" w:orient="portrait"/>
          <w:cols w:equalWidth="0" w:num="1">
            <w:col w:w="11240"/>
          </w:cols>
          <w:pgMar w:left="320" w:top="1089"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NGM Biopharmaceuticals, Inc. Amended and Restated 2018 Equity Incentive Plan of our reports dated March 1, 2022, with respect to the consolidated financial statements of NGM Biopharmaceuticals, Inc., and the effectiveness of internal control over financial reporting of NGM Biopharmaceuticals, Inc., included in its Annual Report (Form 10-K) for the year ended December 31, 2021, filed with the Securities and Exchange Commission.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1413"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000" w:type="dxa"/>
            <w:vAlign w:val="bottom"/>
            <w:tcBorders>
              <w:top w:val="single" w:sz="8" w:color="auto"/>
              <w:left w:val="single" w:sz="8" w:color="auto"/>
              <w:right w:val="single" w:sz="8" w:color="auto"/>
            </w:tcBorders>
          </w:tcPr>
          <w:p>
            <w:pPr>
              <w:spacing w:after="0"/>
              <w:rPr>
                <w:sz w:val="14"/>
                <w:szCs w:val="14"/>
                <w:color w:val="auto"/>
              </w:rPr>
            </w:pPr>
          </w:p>
        </w:tc>
        <w:tc>
          <w:tcPr>
            <w:tcW w:w="176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spacing w:after="0"/>
              <w:rPr>
                <w:sz w:val="14"/>
                <w:szCs w:val="14"/>
                <w:color w:val="auto"/>
              </w:rPr>
            </w:pPr>
          </w:p>
        </w:tc>
        <w:tc>
          <w:tcPr>
            <w:tcW w:w="130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Proposed</w:t>
            </w:r>
          </w:p>
        </w:tc>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Maximum</w:t>
            </w:r>
          </w:p>
        </w:tc>
        <w:tc>
          <w:tcPr>
            <w:tcW w:w="124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Security</w:t>
            </w:r>
          </w:p>
        </w:tc>
        <w:tc>
          <w:tcPr>
            <w:tcW w:w="17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Fee Calculation</w:t>
            </w:r>
          </w:p>
        </w:tc>
        <w:tc>
          <w:tcPr>
            <w:tcW w:w="1300" w:type="dxa"/>
            <w:vAlign w:val="bottom"/>
            <w:tcBorders>
              <w:right w:val="single" w:sz="8" w:color="auto"/>
            </w:tcBorders>
            <w:vMerge w:val="restart"/>
          </w:tcPr>
          <w:p>
            <w:pPr>
              <w:jc w:val="center"/>
              <w:ind w:right="4"/>
              <w:spacing w:after="0"/>
              <w:rPr>
                <w:sz w:val="20"/>
                <w:szCs w:val="20"/>
                <w:color w:val="auto"/>
              </w:rPr>
            </w:pPr>
            <w:r>
              <w:rPr>
                <w:rFonts w:ascii="Arial" w:cs="Arial" w:eastAsia="Arial" w:hAnsi="Arial"/>
                <w:sz w:val="14"/>
                <w:szCs w:val="14"/>
                <w:b w:val="1"/>
                <w:bCs w:val="1"/>
                <w:color w:val="auto"/>
              </w:rPr>
              <w:t>Amount</w:t>
            </w:r>
          </w:p>
        </w:tc>
        <w:tc>
          <w:tcPr>
            <w:tcW w:w="12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Maximum</w:t>
            </w:r>
          </w:p>
        </w:tc>
        <w:tc>
          <w:tcPr>
            <w:tcW w:w="172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vMerge w:val="continue"/>
          </w:tcPr>
          <w:p>
            <w:pPr>
              <w:spacing w:after="0"/>
              <w:rPr>
                <w:sz w:val="11"/>
                <w:szCs w:val="11"/>
                <w:color w:val="auto"/>
              </w:rPr>
            </w:pP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Security Class Title</w:t>
            </w:r>
          </w:p>
        </w:tc>
        <w:tc>
          <w:tcPr>
            <w:tcW w:w="124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Offering Price</w:t>
            </w:r>
          </w:p>
        </w:tc>
        <w:tc>
          <w:tcPr>
            <w:tcW w:w="1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Aggregate</w:t>
            </w:r>
          </w:p>
        </w:tc>
        <w:tc>
          <w:tcPr>
            <w:tcW w:w="12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Fee Rate</w:t>
            </w:r>
          </w:p>
        </w:tc>
        <w:tc>
          <w:tcPr>
            <w:tcW w:w="1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Type</w:t>
            </w:r>
          </w:p>
        </w:tc>
        <w:tc>
          <w:tcPr>
            <w:tcW w:w="176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Rule</w:t>
            </w:r>
          </w:p>
        </w:tc>
        <w:tc>
          <w:tcPr>
            <w:tcW w:w="130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8"/>
              </w:rPr>
              <w:t xml:space="preserve">Registered </w:t>
            </w:r>
            <w:r>
              <w:rPr>
                <w:rFonts w:ascii="Arial" w:cs="Arial" w:eastAsia="Arial" w:hAnsi="Arial"/>
                <w:sz w:val="18"/>
                <w:szCs w:val="18"/>
                <w:b w:val="1"/>
                <w:bCs w:val="1"/>
                <w:color w:val="auto"/>
                <w:w w:val="98"/>
                <w:vertAlign w:val="superscript"/>
              </w:rPr>
              <w:t>(1)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Unit</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w:t>
            </w:r>
          </w:p>
        </w:tc>
        <w:tc>
          <w:tcPr>
            <w:tcW w:w="124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84"/>
        </w:trPr>
        <w:tc>
          <w:tcPr>
            <w:tcW w:w="10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Rule 457(c) and</w:t>
            </w:r>
          </w:p>
        </w:tc>
        <w:tc>
          <w:tcPr>
            <w:tcW w:w="1300" w:type="dxa"/>
            <w:vAlign w:val="bottom"/>
            <w:tcBorders>
              <w:right w:val="single" w:sz="8" w:color="auto"/>
            </w:tcBorders>
            <w:shd w:val="clear" w:color="auto" w:fill="CCEEFF"/>
          </w:tcPr>
          <w:p>
            <w:pPr>
              <w:jc w:val="center"/>
              <w:ind w:right="124"/>
              <w:spacing w:after="0" w:line="185" w:lineRule="exact"/>
              <w:rPr>
                <w:sz w:val="20"/>
                <w:szCs w:val="20"/>
                <w:color w:val="auto"/>
              </w:rPr>
            </w:pPr>
            <w:r>
              <w:rPr>
                <w:rFonts w:ascii="Arial" w:cs="Arial" w:eastAsia="Arial" w:hAnsi="Arial"/>
                <w:sz w:val="16"/>
                <w:szCs w:val="16"/>
                <w:color w:val="auto"/>
              </w:rPr>
              <w:t xml:space="preserve">3,118,508 </w:t>
            </w:r>
            <w:r>
              <w:rPr>
                <w:rFonts w:ascii="Arial" w:cs="Arial" w:eastAsia="Arial" w:hAnsi="Arial"/>
                <w:sz w:val="21"/>
                <w:szCs w:val="21"/>
                <w:b w:val="1"/>
                <w:bCs w:val="1"/>
                <w:color w:val="auto"/>
                <w:vertAlign w:val="superscript"/>
              </w:rPr>
              <w:t>(2)</w:t>
            </w:r>
          </w:p>
        </w:tc>
        <w:tc>
          <w:tcPr>
            <w:tcW w:w="1240" w:type="dxa"/>
            <w:vAlign w:val="bottom"/>
            <w:tcBorders>
              <w:right w:val="single" w:sz="8" w:color="auto"/>
            </w:tcBorders>
            <w:shd w:val="clear" w:color="auto" w:fill="CCEEFF"/>
          </w:tcPr>
          <w:p>
            <w:pPr>
              <w:jc w:val="center"/>
              <w:spacing w:after="0" w:line="185" w:lineRule="exact"/>
              <w:rPr>
                <w:sz w:val="20"/>
                <w:szCs w:val="20"/>
                <w:color w:val="auto"/>
              </w:rPr>
            </w:pPr>
            <w:r>
              <w:rPr>
                <w:rFonts w:ascii="Arial" w:cs="Arial" w:eastAsia="Arial" w:hAnsi="Arial"/>
                <w:sz w:val="16"/>
                <w:szCs w:val="16"/>
                <w:color w:val="auto"/>
                <w:w w:val="96"/>
              </w:rPr>
              <w:t xml:space="preserve">$14.72 </w:t>
            </w:r>
            <w:r>
              <w:rPr>
                <w:rFonts w:ascii="Arial" w:cs="Arial" w:eastAsia="Arial" w:hAnsi="Arial"/>
                <w:sz w:val="21"/>
                <w:szCs w:val="21"/>
                <w:b w:val="1"/>
                <w:bCs w:val="1"/>
                <w:color w:val="auto"/>
                <w:w w:val="96"/>
                <w:vertAlign w:val="superscript"/>
              </w:rPr>
              <w:t>(3)</w:t>
            </w:r>
          </w:p>
        </w:tc>
        <w:tc>
          <w:tcPr>
            <w:tcW w:w="1720" w:type="dxa"/>
            <w:vAlign w:val="bottom"/>
            <w:tcBorders>
              <w:right w:val="single" w:sz="8" w:color="auto"/>
            </w:tcBorders>
            <w:shd w:val="clear" w:color="auto" w:fill="CCEEFF"/>
          </w:tcPr>
          <w:p>
            <w:pPr>
              <w:jc w:val="center"/>
              <w:ind w:right="124"/>
              <w:spacing w:after="0" w:line="185" w:lineRule="exact"/>
              <w:rPr>
                <w:sz w:val="20"/>
                <w:szCs w:val="20"/>
                <w:color w:val="auto"/>
              </w:rPr>
            </w:pPr>
            <w:r>
              <w:rPr>
                <w:rFonts w:ascii="Arial" w:cs="Arial" w:eastAsia="Arial" w:hAnsi="Arial"/>
                <w:sz w:val="16"/>
                <w:szCs w:val="16"/>
                <w:color w:val="auto"/>
              </w:rPr>
              <w:t xml:space="preserve">$45,904,437.76 </w:t>
            </w:r>
            <w:r>
              <w:rPr>
                <w:rFonts w:ascii="Arial" w:cs="Arial" w:eastAsia="Arial" w:hAnsi="Arial"/>
                <w:sz w:val="21"/>
                <w:szCs w:val="21"/>
                <w:b w:val="1"/>
                <w:bCs w:val="1"/>
                <w:color w:val="auto"/>
                <w:vertAlign w:val="superscript"/>
              </w:rPr>
              <w:t>(3)</w:t>
            </w:r>
          </w:p>
        </w:tc>
        <w:tc>
          <w:tcPr>
            <w:tcW w:w="1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$92.70 per</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$4,255.34</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shd w:val="clear" w:color="auto" w:fill="CCEEFF"/>
          </w:tcPr>
          <w:p>
            <w:pPr>
              <w:spacing w:after="0"/>
              <w:rPr>
                <w:sz w:val="18"/>
                <w:szCs w:val="18"/>
                <w:color w:val="auto"/>
              </w:rPr>
            </w:pP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par value $0.001 per</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457(h)</w:t>
            </w:r>
          </w:p>
        </w:tc>
        <w:tc>
          <w:tcPr>
            <w:tcW w:w="130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million dollars</w:t>
            </w:r>
          </w:p>
        </w:tc>
        <w:tc>
          <w:tcPr>
            <w:tcW w:w="12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Borders>
              <w:left w:val="single" w:sz="8" w:color="auto"/>
              <w:right w:val="single" w:sz="8" w:color="auto"/>
            </w:tcBorders>
            <w:shd w:val="clear" w:color="auto" w:fill="CCEEFF"/>
          </w:tcPr>
          <w:p>
            <w:pPr>
              <w:spacing w:after="0"/>
              <w:rPr>
                <w:sz w:val="16"/>
                <w:szCs w:val="16"/>
                <w:color w:val="auto"/>
              </w:rPr>
            </w:pP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240" w:type="dxa"/>
            <w:vAlign w:val="bottom"/>
            <w:tcBorders>
              <w:right w:val="single" w:sz="8" w:color="auto"/>
            </w:tcBorders>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72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Borders>
              <w:left w:val="single" w:sz="8" w:color="auto"/>
              <w:right w:val="single" w:sz="8" w:color="auto"/>
            </w:tcBorders>
            <w:shd w:val="clear" w:color="auto" w:fill="CCEEFF"/>
          </w:tcPr>
          <w:p>
            <w:pPr>
              <w:spacing w:after="0"/>
              <w:rPr>
                <w:sz w:val="16"/>
                <w:szCs w:val="16"/>
                <w:color w:val="auto"/>
              </w:rPr>
            </w:pPr>
          </w:p>
        </w:tc>
        <w:tc>
          <w:tcPr>
            <w:tcW w:w="176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 Amended and</w:t>
            </w:r>
          </w:p>
        </w:tc>
        <w:tc>
          <w:tcPr>
            <w:tcW w:w="1240" w:type="dxa"/>
            <w:vAlign w:val="bottom"/>
            <w:tcBorders>
              <w:right w:val="single" w:sz="8" w:color="auto"/>
            </w:tcBorders>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72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Borders>
              <w:left w:val="single" w:sz="8" w:color="auto"/>
              <w:right w:val="single" w:sz="8" w:color="auto"/>
            </w:tcBorders>
            <w:shd w:val="clear" w:color="auto" w:fill="CCEEFF"/>
          </w:tcPr>
          <w:p>
            <w:pPr>
              <w:spacing w:after="0"/>
              <w:rPr>
                <w:sz w:val="16"/>
                <w:szCs w:val="16"/>
                <w:color w:val="auto"/>
              </w:rPr>
            </w:pPr>
          </w:p>
        </w:tc>
        <w:tc>
          <w:tcPr>
            <w:tcW w:w="17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Restated 2018 Equity</w:t>
            </w:r>
          </w:p>
        </w:tc>
        <w:tc>
          <w:tcPr>
            <w:tcW w:w="1240" w:type="dxa"/>
            <w:vAlign w:val="bottom"/>
            <w:tcBorders>
              <w:right w:val="single" w:sz="8" w:color="auto"/>
            </w:tcBorders>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72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Incentive Plan</w:t>
            </w: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00" w:type="dxa"/>
            <w:vAlign w:val="bottom"/>
            <w:tcBorders>
              <w:left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ind w:left="20"/>
              <w:spacing w:after="0" w:line="171" w:lineRule="exact"/>
              <w:rPr>
                <w:sz w:val="20"/>
                <w:szCs w:val="20"/>
                <w:color w:val="auto"/>
              </w:rPr>
            </w:pPr>
            <w:r>
              <w:rPr>
                <w:rFonts w:ascii="Arial" w:cs="Arial" w:eastAsia="Arial" w:hAnsi="Arial"/>
                <w:sz w:val="16"/>
                <w:szCs w:val="16"/>
                <w:b w:val="1"/>
                <w:bCs w:val="1"/>
                <w:color w:val="auto"/>
              </w:rPr>
              <w:t>Total Offering</w:t>
            </w:r>
          </w:p>
        </w:tc>
        <w:tc>
          <w:tcPr>
            <w:tcW w:w="12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right"/>
              <w:ind w:right="224"/>
              <w:spacing w:after="0" w:line="171" w:lineRule="exact"/>
              <w:rPr>
                <w:sz w:val="20"/>
                <w:szCs w:val="20"/>
                <w:color w:val="auto"/>
              </w:rPr>
            </w:pPr>
            <w:r>
              <w:rPr>
                <w:rFonts w:ascii="Arial" w:cs="Arial" w:eastAsia="Arial" w:hAnsi="Arial"/>
                <w:sz w:val="16"/>
                <w:szCs w:val="16"/>
                <w:color w:val="auto"/>
              </w:rPr>
              <w:t>3,118,508</w:t>
            </w:r>
          </w:p>
        </w:tc>
        <w:tc>
          <w:tcPr>
            <w:tcW w:w="124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jc w:val="right"/>
              <w:ind w:right="244"/>
              <w:spacing w:after="0" w:line="171" w:lineRule="exact"/>
              <w:rPr>
                <w:sz w:val="20"/>
                <w:szCs w:val="20"/>
                <w:color w:val="auto"/>
              </w:rPr>
            </w:pPr>
            <w:r>
              <w:rPr>
                <w:rFonts w:ascii="Arial" w:cs="Arial" w:eastAsia="Arial" w:hAnsi="Arial"/>
                <w:sz w:val="16"/>
                <w:szCs w:val="16"/>
                <w:color w:val="auto"/>
              </w:rPr>
              <w:t>$45,904,437.76</w:t>
            </w:r>
          </w:p>
        </w:tc>
        <w:tc>
          <w:tcPr>
            <w:tcW w:w="12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rPr>
              <w:t>$4,255.34</w:t>
            </w:r>
          </w:p>
        </w:tc>
        <w:tc>
          <w:tcPr>
            <w:tcW w:w="0" w:type="dxa"/>
            <w:vAlign w:val="bottom"/>
          </w:tcPr>
          <w:p>
            <w:pPr>
              <w:spacing w:after="0"/>
              <w:rPr>
                <w:sz w:val="1"/>
                <w:szCs w:val="1"/>
                <w:color w:val="auto"/>
              </w:rPr>
            </w:pPr>
          </w:p>
        </w:tc>
      </w:tr>
      <w:tr>
        <w:trPr>
          <w:trHeight w:val="228"/>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Amounts</w:t>
            </w:r>
          </w:p>
        </w:tc>
        <w:tc>
          <w:tcPr>
            <w:tcW w:w="124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100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17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Fee Offsets</w:t>
            </w:r>
          </w:p>
        </w:tc>
        <w:tc>
          <w:tcPr>
            <w:tcW w:w="1240" w:type="dxa"/>
            <w:vAlign w:val="bottom"/>
            <w:tcBorders>
              <w:bottom w:val="single" w:sz="8" w:color="CCEEFF"/>
              <w:right w:val="single" w:sz="8" w:color="auto"/>
            </w:tcBorders>
            <w:shd w:val="clear" w:color="auto" w:fill="CCEEFF"/>
          </w:tcPr>
          <w:p>
            <w:pPr>
              <w:spacing w:after="0"/>
              <w:rPr>
                <w:sz w:val="23"/>
                <w:szCs w:val="23"/>
                <w:color w:val="auto"/>
              </w:rPr>
            </w:pPr>
          </w:p>
        </w:tc>
        <w:tc>
          <w:tcPr>
            <w:tcW w:w="1300" w:type="dxa"/>
            <w:vAlign w:val="bottom"/>
            <w:tcBorders>
              <w:bottom w:val="single" w:sz="8" w:color="CCEEFF"/>
              <w:right w:val="single" w:sz="8" w:color="auto"/>
            </w:tcBorders>
            <w:shd w:val="clear" w:color="auto" w:fill="CCEEFF"/>
          </w:tcPr>
          <w:p>
            <w:pPr>
              <w:spacing w:after="0"/>
              <w:rPr>
                <w:sz w:val="23"/>
                <w:szCs w:val="23"/>
                <w:color w:val="auto"/>
              </w:rPr>
            </w:pPr>
          </w:p>
        </w:tc>
        <w:tc>
          <w:tcPr>
            <w:tcW w:w="1240" w:type="dxa"/>
            <w:vAlign w:val="bottom"/>
            <w:tcBorders>
              <w:bottom w:val="single" w:sz="8" w:color="CCEEFF"/>
              <w:right w:val="single" w:sz="8" w:color="auto"/>
            </w:tcBorders>
            <w:shd w:val="clear" w:color="auto" w:fill="CCEEFF"/>
          </w:tcPr>
          <w:p>
            <w:pPr>
              <w:spacing w:after="0"/>
              <w:rPr>
                <w:sz w:val="23"/>
                <w:szCs w:val="23"/>
                <w:color w:val="auto"/>
              </w:rPr>
            </w:pPr>
          </w:p>
        </w:tc>
        <w:tc>
          <w:tcPr>
            <w:tcW w:w="1720" w:type="dxa"/>
            <w:vAlign w:val="bottom"/>
            <w:tcBorders>
              <w:bottom w:val="single" w:sz="8" w:color="CCEEFF"/>
              <w:right w:val="single" w:sz="8" w:color="auto"/>
            </w:tcBorders>
            <w:shd w:val="clear" w:color="auto" w:fill="CCEEFF"/>
          </w:tcPr>
          <w:p>
            <w:pPr>
              <w:spacing w:after="0"/>
              <w:rPr>
                <w:sz w:val="23"/>
                <w:szCs w:val="23"/>
                <w:color w:val="auto"/>
              </w:rPr>
            </w:pPr>
          </w:p>
        </w:tc>
        <w:tc>
          <w:tcPr>
            <w:tcW w:w="1240" w:type="dxa"/>
            <w:vAlign w:val="bottom"/>
            <w:tcBorders>
              <w:bottom w:val="single" w:sz="8" w:color="CCEEFF"/>
              <w:right w:val="single" w:sz="8" w:color="auto"/>
            </w:tcBorders>
            <w:shd w:val="clear" w:color="auto" w:fill="CCEEFF"/>
          </w:tcPr>
          <w:p>
            <w:pPr>
              <w:spacing w:after="0"/>
              <w:rPr>
                <w:sz w:val="23"/>
                <w:szCs w:val="23"/>
                <w:color w:val="auto"/>
              </w:rPr>
            </w:pPr>
          </w:p>
        </w:tc>
        <w:tc>
          <w:tcPr>
            <w:tcW w:w="1240" w:type="dxa"/>
            <w:vAlign w:val="bottom"/>
            <w:tcBorders>
              <w:bottom w:val="single" w:sz="8" w:color="CCEEFF"/>
              <w:right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0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Fee Due</w:t>
            </w:r>
          </w:p>
        </w:tc>
        <w:tc>
          <w:tcPr>
            <w:tcW w:w="1240" w:type="dxa"/>
            <w:vAlign w:val="bottom"/>
            <w:tcBorders>
              <w:top w:val="single" w:sz="8" w:color="auto"/>
              <w:bottom w:val="single" w:sz="8" w:color="auto"/>
              <w:right w:val="single" w:sz="8" w:color="auto"/>
            </w:tcBorders>
          </w:tcPr>
          <w:p>
            <w:pPr>
              <w:spacing w:after="0"/>
              <w:rPr>
                <w:sz w:val="18"/>
                <w:szCs w:val="18"/>
                <w:color w:val="auto"/>
              </w:rPr>
            </w:pPr>
          </w:p>
        </w:tc>
        <w:tc>
          <w:tcPr>
            <w:tcW w:w="1300" w:type="dxa"/>
            <w:vAlign w:val="bottom"/>
            <w:tcBorders>
              <w:top w:val="single" w:sz="8" w:color="auto"/>
              <w:bottom w:val="single" w:sz="8" w:color="auto"/>
              <w:right w:val="single" w:sz="8" w:color="auto"/>
            </w:tcBorders>
          </w:tcPr>
          <w:p>
            <w:pPr>
              <w:spacing w:after="0"/>
              <w:rPr>
                <w:sz w:val="18"/>
                <w:szCs w:val="18"/>
                <w:color w:val="auto"/>
              </w:rPr>
            </w:pPr>
          </w:p>
        </w:tc>
        <w:tc>
          <w:tcPr>
            <w:tcW w:w="1240" w:type="dxa"/>
            <w:vAlign w:val="bottom"/>
            <w:tcBorders>
              <w:top w:val="single" w:sz="8" w:color="auto"/>
              <w:bottom w:val="single" w:sz="8" w:color="auto"/>
              <w:right w:val="single" w:sz="8" w:color="auto"/>
            </w:tcBorders>
          </w:tcPr>
          <w:p>
            <w:pPr>
              <w:spacing w:after="0"/>
              <w:rPr>
                <w:sz w:val="18"/>
                <w:szCs w:val="18"/>
                <w:color w:val="auto"/>
              </w:rPr>
            </w:pPr>
          </w:p>
        </w:tc>
        <w:tc>
          <w:tcPr>
            <w:tcW w:w="1720" w:type="dxa"/>
            <w:vAlign w:val="bottom"/>
            <w:tcBorders>
              <w:top w:val="single" w:sz="8" w:color="auto"/>
              <w:bottom w:val="single" w:sz="8" w:color="auto"/>
              <w:right w:val="single" w:sz="8" w:color="auto"/>
            </w:tcBorders>
          </w:tcPr>
          <w:p>
            <w:pPr>
              <w:spacing w:after="0"/>
              <w:rPr>
                <w:sz w:val="18"/>
                <w:szCs w:val="18"/>
                <w:color w:val="auto"/>
              </w:rPr>
            </w:pPr>
          </w:p>
        </w:tc>
        <w:tc>
          <w:tcPr>
            <w:tcW w:w="1240" w:type="dxa"/>
            <w:vAlign w:val="bottom"/>
            <w:tcBorders>
              <w:top w:val="single" w:sz="8" w:color="auto"/>
              <w:bottom w:val="single" w:sz="8" w:color="auto"/>
              <w:right w:val="single" w:sz="8" w:color="auto"/>
            </w:tcBorders>
          </w:tcPr>
          <w:p>
            <w:pPr>
              <w:spacing w:after="0"/>
              <w:rPr>
                <w:sz w:val="18"/>
                <w:szCs w:val="18"/>
                <w:color w:val="auto"/>
              </w:rPr>
            </w:pP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$4,255.34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right="500" w:hanging="430"/>
        <w:spacing w:after="0" w:line="253"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“Securities Act”), this Registration Statement shall also cover any additional shares of common stock, par value $0.001 per share (the “Common Stock”), of NGM Biopharmaceuticals, Inc. (the “Registrant”) that become issuable under the plans set forth herein by reason of any stock dividend, stock split, recapitalization, or other similar transaction effected that results in an increase to the number of outstanding shares of Common Stock.</w:t>
      </w:r>
    </w:p>
    <w:p>
      <w:pPr>
        <w:spacing w:after="0" w:line="151" w:lineRule="exact"/>
        <w:rPr>
          <w:rFonts w:ascii="Arial" w:cs="Arial" w:eastAsia="Arial" w:hAnsi="Arial"/>
          <w:sz w:val="18"/>
          <w:szCs w:val="18"/>
          <w:color w:val="auto"/>
        </w:rPr>
      </w:pPr>
    </w:p>
    <w:p>
      <w:pPr>
        <w:ind w:left="460" w:right="400" w:hanging="430"/>
        <w:spacing w:after="0" w:line="252"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shares of Common Stock that were automatically added to the share reserve under the Registrant’s Amended and Restated 2018 Equity Incentive Plan (the “Restated 2018 Plan”) on January 1, 2022. The Restated 2018 Plan provides that the number of shares of Common Stock reserved for issuance under the Restated 2018 Plan will automatically increase on January 1st each calendar year for ten years, starting on January 1, 2020 and ending on and including January 1, 2029, by the lesser of (a) four percent (4.0%) of the total number of the Registrant’s capital stock outstanding as of December 31st of the immediately preceding calendar year or (b) a number determined by the Registrant’s board of directors.</w:t>
      </w:r>
    </w:p>
    <w:p>
      <w:pPr>
        <w:spacing w:after="0" w:line="154" w:lineRule="exact"/>
        <w:rPr>
          <w:rFonts w:ascii="Arial" w:cs="Arial" w:eastAsia="Arial" w:hAnsi="Arial"/>
          <w:sz w:val="18"/>
          <w:szCs w:val="18"/>
          <w:color w:val="auto"/>
        </w:rPr>
      </w:pPr>
    </w:p>
    <w:p>
      <w:pPr>
        <w:ind w:left="460" w:right="700" w:hanging="430"/>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estimate is made pursuant to Rule 457(c) and Rule 457(h) of the Securities Act solely for purposes of calculating the registration fee. The Proposed Maximum Offering Price Per Share is based upon the average of the high and low prices for the Registrant’s common stock as reported on The Nasdaq Global Select Market on February 23, 2022, which was $14.72.</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eg"/><Relationship Id="rId23" Type="http://schemas.openxmlformats.org/officeDocument/2006/relationships/image" Target="media/image9.png"/><Relationship Id="rId14" Type="http://schemas.openxmlformats.org/officeDocument/2006/relationships/hyperlink" Target="https://www.sec.gov/Archives/edgar/data/0001426332/000119312519098022/d697498ds8.htm" TargetMode="External"/><Relationship Id="rId15" Type="http://schemas.openxmlformats.org/officeDocument/2006/relationships/hyperlink" Target="https://www.sec.gov/Archives/edgar/data/1426332/000156459020011430/ngm-s8.htm" TargetMode="External"/><Relationship Id="rId16" Type="http://schemas.openxmlformats.org/officeDocument/2006/relationships/hyperlink" Target="https://www.sec.gov/Archives/edgar/data/0001426332/000156459021013185/ngm-s8.htm" TargetMode="External"/><Relationship Id="rId17" Type="http://schemas.openxmlformats.org/officeDocument/2006/relationships/hyperlink" Target="https://www.sec.gov/Archives/edgar/data/1426332/000119312519100757/d731361dex31.htm" TargetMode="External"/><Relationship Id="rId18" Type="http://schemas.openxmlformats.org/officeDocument/2006/relationships/hyperlink" Target="https://www.sec.gov/Archives/edgar/data/1426332/000119312518287727/d693178dex34.htm" TargetMode="External"/><Relationship Id="rId19" Type="http://schemas.openxmlformats.org/officeDocument/2006/relationships/hyperlink" Target="http://www.sec.gov/Archives/edgar/data/1426332/000119312519094494/d693178dex42.htm" TargetMode="External"/><Relationship Id="rId20" Type="http://schemas.openxmlformats.org/officeDocument/2006/relationships/hyperlink" Target="http://www.sec.gov/Archives/edgar/data/1426332/000119312519084550/d69317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2022-03-01T17:08:49Z</dcterms:created>
  <dcterms:modified xsi:type="dcterms:W3CDTF">2022-03-01T17:08:49Z</dcterms:modified>
</cp:coreProperties>
</file>