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932"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02/26/2020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932"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1"/>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02/26/2020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2"/>
              </w:rPr>
              <w:t>3,751</w:t>
            </w:r>
            <w:r>
              <w:rPr>
                <w:rFonts w:ascii="Arial" w:cs="Arial" w:eastAsia="Arial" w:hAnsi="Arial"/>
                <w:sz w:val="22"/>
                <w:szCs w:val="22"/>
                <w:color w:val="008000"/>
                <w:w w:val="82"/>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16,469,480</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02/27/2020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33,896</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16,503,376</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02/28/2020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37,800</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16,541,176</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90"/>
              </w:rPr>
              <w:t>20,000</w:t>
            </w:r>
          </w:p>
        </w:tc>
        <w:tc>
          <w:tcPr>
            <w:tcW w:w="220" w:type="dxa"/>
            <w:vAlign w:val="bottom"/>
          </w:tcPr>
          <w:p>
            <w:pPr>
              <w:spacing w:after="0"/>
              <w:rPr>
                <w:sz w:val="23"/>
                <w:szCs w:val="23"/>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1,762 shares held directly by The Column Group III, LP ("TCG III LP") and 1,989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15,919 shares held directly by TCG III LP and 17,977 shares held directly by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17,752 shares held directly by TCG III LP and 20,048 shares held directly by TCG III-A LP.</w:t>
      </w:r>
    </w:p>
    <w:p>
      <w:pPr>
        <w:spacing w:after="0" w:line="64" w:lineRule="exact"/>
        <w:rPr>
          <w:rFonts w:ascii="Arial" w:cs="Arial" w:eastAsia="Arial" w:hAnsi="Arial"/>
          <w:sz w:val="12"/>
          <w:szCs w:val="12"/>
          <w:color w:val="008000"/>
        </w:rPr>
      </w:pPr>
    </w:p>
    <w:p>
      <w:pPr>
        <w:ind w:left="40" w:right="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175,770 shares of Common Stock held directly by TCG III LP and 198,499 shares of Common Stock held directly by TCG III-A LP. The Reporting Person disclaims beneficial ownership of the securities except to the extent of his pecuniary interest therein.</w:t>
      </w:r>
    </w:p>
    <w:p>
      <w:pPr>
        <w:sectPr>
          <w:pgSz w:w="11900" w:h="16932"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2020-02-28T18:15:31Z</dcterms:created>
  <dcterms:modified xsi:type="dcterms:W3CDTF">2020-02-28T18:15:31Z</dcterms:modified>
</cp:coreProperties>
</file>