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Arial" w:cs="Arial" w:eastAsia="Arial" w:hAnsi="Arial"/>
                <w:sz w:val="21"/>
                <w:szCs w:val="21"/>
                <w:color w:val="0000EE"/>
                <w:w w:val="99"/>
              </w:rPr>
            </w:pPr>
            <w:hyperlink r:id="rId13">
              <w:r>
                <w:rPr>
                  <w:rFonts w:ascii="Arial" w:cs="Arial" w:eastAsia="Arial" w:hAnsi="Arial"/>
                  <w:sz w:val="21"/>
                  <w:szCs w:val="21"/>
                  <w:color w:val="0000EE"/>
                  <w:w w:val="99"/>
                </w:rPr>
                <w:t>GOEDDEL DAVID V</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4">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22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03/23/2020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2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5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1"/>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20" w:type="dxa"/>
            <w:vAlign w:val="bottom"/>
          </w:tcPr>
          <w:p>
            <w:pPr>
              <w:spacing w:after="0"/>
              <w:rPr>
                <w:sz w:val="20"/>
                <w:szCs w:val="20"/>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94158</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gridSpan w:val="8"/>
            <w:vMerge w:val="restart"/>
          </w:tcPr>
          <w:p>
            <w:pPr>
              <w:ind w:left="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color w:val="auto"/>
              </w:rPr>
              <w:t>Person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500" w:type="dxa"/>
            <w:vAlign w:val="bottom"/>
            <w:tcBorders>
              <w:bottom w:val="single" w:sz="8" w:color="2C2C2C"/>
            </w:tcBorders>
            <w:gridSpan w:val="11"/>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50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11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jc w:val="center"/>
              <w:ind w:left="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center"/>
              <w:ind w:left="23"/>
              <w:spacing w:after="0"/>
              <w:rPr>
                <w:sz w:val="20"/>
                <w:szCs w:val="20"/>
                <w:color w:val="auto"/>
              </w:rPr>
            </w:pPr>
            <w:r>
              <w:rPr>
                <w:rFonts w:ascii="Arial" w:cs="Arial" w:eastAsia="Arial" w:hAnsi="Arial"/>
                <w:sz w:val="17"/>
                <w:szCs w:val="17"/>
                <w:color w:val="0000FF"/>
                <w:w w:val="91"/>
              </w:rPr>
              <w:t>03/23/2020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jc w:val="center"/>
              <w:ind w:right="36"/>
              <w:spacing w:after="0"/>
              <w:rPr>
                <w:sz w:val="20"/>
                <w:szCs w:val="20"/>
                <w:color w:val="auto"/>
              </w:rPr>
            </w:pPr>
            <w:r>
              <w:rPr>
                <w:rFonts w:ascii="Arial" w:cs="Arial" w:eastAsia="Arial" w:hAnsi="Arial"/>
                <w:sz w:val="17"/>
                <w:szCs w:val="17"/>
                <w:color w:val="0000FF"/>
                <w:w w:val="85"/>
              </w:rPr>
              <w:t>170,387</w:t>
            </w:r>
            <w:r>
              <w:rPr>
                <w:rFonts w:ascii="Arial" w:cs="Arial" w:eastAsia="Arial" w:hAnsi="Arial"/>
                <w:sz w:val="22"/>
                <w:szCs w:val="22"/>
                <w:color w:val="008000"/>
                <w:w w:val="85"/>
                <w:vertAlign w:val="superscript"/>
              </w:rPr>
              <w:t>(1)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11.63</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1"/>
              </w:rPr>
              <w:t>17,264,284</w:t>
            </w:r>
          </w:p>
        </w:tc>
        <w:tc>
          <w:tcPr>
            <w:tcW w:w="4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center"/>
              <w:ind w:left="23"/>
              <w:spacing w:after="0"/>
              <w:rPr>
                <w:sz w:val="20"/>
                <w:szCs w:val="20"/>
                <w:color w:val="auto"/>
              </w:rPr>
            </w:pPr>
            <w:r>
              <w:rPr>
                <w:rFonts w:ascii="Arial" w:cs="Arial" w:eastAsia="Arial" w:hAnsi="Arial"/>
                <w:sz w:val="17"/>
                <w:szCs w:val="17"/>
                <w:color w:val="0000FF"/>
                <w:w w:val="91"/>
              </w:rPr>
              <w:t>03/24/2020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jc w:val="center"/>
              <w:ind w:right="36"/>
              <w:spacing w:after="0"/>
              <w:rPr>
                <w:sz w:val="20"/>
                <w:szCs w:val="20"/>
                <w:color w:val="auto"/>
              </w:rPr>
            </w:pPr>
            <w:r>
              <w:rPr>
                <w:rFonts w:ascii="Arial" w:cs="Arial" w:eastAsia="Arial" w:hAnsi="Arial"/>
                <w:sz w:val="17"/>
                <w:szCs w:val="17"/>
                <w:color w:val="0000FF"/>
                <w:w w:val="86"/>
              </w:rPr>
              <w:t>128,377</w:t>
            </w:r>
            <w:r>
              <w:rPr>
                <w:rFonts w:ascii="Arial" w:cs="Arial" w:eastAsia="Arial" w:hAnsi="Arial"/>
                <w:sz w:val="22"/>
                <w:szCs w:val="22"/>
                <w:color w:val="008000"/>
                <w:w w:val="86"/>
                <w:vertAlign w:val="superscript"/>
              </w:rPr>
              <w:t>(10)</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12.22</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1"/>
              </w:rPr>
              <w:t>17,392,661</w:t>
            </w:r>
          </w:p>
        </w:tc>
        <w:tc>
          <w:tcPr>
            <w:tcW w:w="4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center"/>
              <w:ind w:left="23"/>
              <w:spacing w:after="0"/>
              <w:rPr>
                <w:sz w:val="20"/>
                <w:szCs w:val="20"/>
                <w:color w:val="auto"/>
              </w:rPr>
            </w:pPr>
            <w:r>
              <w:rPr>
                <w:rFonts w:ascii="Arial" w:cs="Arial" w:eastAsia="Arial" w:hAnsi="Arial"/>
                <w:sz w:val="17"/>
                <w:szCs w:val="17"/>
                <w:color w:val="0000FF"/>
                <w:w w:val="91"/>
              </w:rPr>
              <w:t>03/25/2020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ind w:right="116"/>
              <w:spacing w:after="0"/>
              <w:rPr>
                <w:sz w:val="20"/>
                <w:szCs w:val="20"/>
                <w:color w:val="auto"/>
              </w:rPr>
            </w:pPr>
            <w:r>
              <w:rPr>
                <w:rFonts w:ascii="Arial" w:cs="Arial" w:eastAsia="Arial" w:hAnsi="Arial"/>
                <w:sz w:val="17"/>
                <w:szCs w:val="17"/>
                <w:color w:val="0000FF"/>
                <w:w w:val="81"/>
              </w:rPr>
              <w:t>2,416</w:t>
            </w:r>
            <w:r>
              <w:rPr>
                <w:rFonts w:ascii="Arial" w:cs="Arial" w:eastAsia="Arial" w:hAnsi="Arial"/>
                <w:sz w:val="22"/>
                <w:szCs w:val="22"/>
                <w:color w:val="008000"/>
                <w:w w:val="81"/>
                <w:vertAlign w:val="superscript"/>
              </w:rPr>
              <w:t>(11)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12.49</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8"/>
              </w:rPr>
              <w:t>17,395,077</w:t>
            </w:r>
            <w:r>
              <w:rPr>
                <w:rFonts w:ascii="Arial" w:cs="Arial" w:eastAsia="Arial" w:hAnsi="Arial"/>
                <w:sz w:val="22"/>
                <w:szCs w:val="22"/>
                <w:color w:val="008000"/>
                <w:w w:val="88"/>
                <w:vertAlign w:val="superscript"/>
              </w:rPr>
              <w:t>(12)</w:t>
            </w:r>
          </w:p>
        </w:tc>
        <w:tc>
          <w:tcPr>
            <w:tcW w:w="4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11"/>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60" w:type="dxa"/>
            <w:vAlign w:val="bottom"/>
            <w:gridSpan w:val="16"/>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Acquired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2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(A)</w:t>
            </w:r>
          </w:p>
        </w:tc>
        <w:tc>
          <w:tcPr>
            <w:tcW w:w="360" w:type="dxa"/>
            <w:vAlign w:val="bottom"/>
          </w:tcPr>
          <w:p>
            <w:pPr>
              <w:ind w:left="180"/>
              <w:spacing w:after="0"/>
              <w:rPr>
                <w:sz w:val="20"/>
                <w:szCs w:val="20"/>
                <w:color w:val="auto"/>
              </w:rPr>
            </w:pPr>
            <w:r>
              <w:rPr>
                <w:rFonts w:ascii="Arial" w:cs="Arial" w:eastAsia="Arial" w:hAnsi="Arial"/>
                <w:sz w:val="12"/>
                <w:szCs w:val="12"/>
                <w:b w:val="1"/>
                <w:bCs w:val="1"/>
                <w:color w:val="auto"/>
                <w:w w:val="95"/>
              </w:rPr>
              <w:t>(D)</w:t>
            </w:r>
          </w:p>
        </w:tc>
        <w:tc>
          <w:tcPr>
            <w:tcW w:w="8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-3677920</wp:posOffset>
            </wp:positionV>
            <wp:extent cx="7031355" cy="3723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230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80,020 shares held directly by The Column Group III, LP ("TCG III LP") and 90,367 shares held directly by The Column Group III-A, LP ("TCG III-A LP").</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60,290 shares held directly by TCG III LP and 68,087 shares held directly by TCG III-A LP.</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1,135 shares held directly by TCG III LP and 1,281 shares held directly by TCG III-A LP.</w:t>
      </w:r>
    </w:p>
    <w:p>
      <w:pPr>
        <w:spacing w:after="0" w:line="50" w:lineRule="exact"/>
        <w:rPr>
          <w:rFonts w:ascii="Arial" w:cs="Arial" w:eastAsia="Arial" w:hAnsi="Arial"/>
          <w:sz w:val="13"/>
          <w:szCs w:val="13"/>
          <w:color w:val="008000"/>
        </w:rPr>
      </w:pPr>
    </w:p>
    <w:p>
      <w:pPr>
        <w:ind w:left="40" w:right="160" w:firstLine="7"/>
        <w:spacing w:after="0" w:line="245"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487,561 shares of Common Stock held directly by TCG III LP, 550,609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ectPr>
          <w:pgSz w:w="11900" w:h="16838" w:orient="portrait"/>
          <w:cols w:equalWidth="0" w:num="1">
            <w:col w:w="11080"/>
          </w:cols>
          <w:pgMar w:left="460" w:top="225" w:right="359" w:bottom="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03/25/2020</w:t>
            </w:r>
          </w:p>
        </w:tc>
      </w:tr>
      <w:tr>
        <w:trPr>
          <w:trHeight w:val="193"/>
        </w:trPr>
        <w:tc>
          <w:tcPr>
            <w:tcW w:w="118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46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2020-03-25T18:44:54Z</dcterms:created>
  <dcterms:modified xsi:type="dcterms:W3CDTF">2020-03-25T18:44:54Z</dcterms:modified>
</cp:coreProperties>
</file>