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520" w:hanging="474"/>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80" w:hanging="441"/>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001-38853</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NGM BIOPHARMACEUTICALS,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620" w:type="dxa"/>
            <w:vAlign w:val="bottom"/>
          </w:tcPr>
          <w:p>
            <w:pPr>
              <w:jc w:val="center"/>
              <w:ind w:left="904"/>
              <w:spacing w:after="0"/>
              <w:rPr>
                <w:sz w:val="20"/>
                <w:szCs w:val="20"/>
                <w:color w:val="auto"/>
              </w:rPr>
            </w:pPr>
            <w:r>
              <w:rPr>
                <w:rFonts w:ascii="Arial" w:cs="Arial" w:eastAsia="Arial" w:hAnsi="Arial"/>
                <w:sz w:val="16"/>
                <w:szCs w:val="16"/>
                <w:b w:val="1"/>
                <w:bCs w:val="1"/>
                <w:color w:val="auto"/>
              </w:rPr>
              <w:t>Delaware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jc w:val="right"/>
              <w:ind w:right="2327"/>
              <w:spacing w:after="0"/>
              <w:rPr>
                <w:sz w:val="20"/>
                <w:szCs w:val="20"/>
                <w:color w:val="auto"/>
              </w:rPr>
            </w:pPr>
            <w:r>
              <w:rPr>
                <w:rFonts w:ascii="Arial" w:cs="Arial" w:eastAsia="Arial" w:hAnsi="Arial"/>
                <w:sz w:val="16"/>
                <w:szCs w:val="16"/>
                <w:b w:val="1"/>
                <w:bCs w:val="1"/>
                <w:color w:val="auto"/>
              </w:rPr>
              <w:t>26-1679911</w:t>
            </w:r>
          </w:p>
        </w:tc>
        <w:tc>
          <w:tcPr>
            <w:tcW w:w="0" w:type="dxa"/>
            <w:vAlign w:val="bottom"/>
          </w:tcPr>
          <w:p>
            <w:pPr>
              <w:spacing w:after="0"/>
              <w:rPr>
                <w:sz w:val="1"/>
                <w:szCs w:val="1"/>
                <w:color w:val="auto"/>
              </w:rPr>
            </w:pPr>
          </w:p>
        </w:tc>
      </w:tr>
      <w:tr>
        <w:trPr>
          <w:trHeight w:val="130"/>
        </w:trPr>
        <w:tc>
          <w:tcPr>
            <w:tcW w:w="4620" w:type="dxa"/>
            <w:vAlign w:val="bottom"/>
          </w:tcPr>
          <w:p>
            <w:pPr>
              <w:jc w:val="center"/>
              <w:ind w:left="904"/>
              <w:spacing w:after="0" w:line="130" w:lineRule="exact"/>
              <w:rPr>
                <w:sz w:val="20"/>
                <w:szCs w:val="20"/>
                <w:color w:val="auto"/>
              </w:rPr>
            </w:pPr>
            <w:r>
              <w:rPr>
                <w:rFonts w:ascii="Arial" w:cs="Arial" w:eastAsia="Arial" w:hAnsi="Arial"/>
                <w:sz w:val="13"/>
                <w:szCs w:val="13"/>
                <w:b w:val="1"/>
                <w:bCs w:val="1"/>
                <w:color w:val="auto"/>
                <w:w w:val="96"/>
              </w:rPr>
              <w:t>(State or other jurisdiction of</w:t>
            </w: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20" w:type="dxa"/>
            <w:vAlign w:val="bottom"/>
          </w:tcPr>
          <w:p>
            <w:pPr>
              <w:jc w:val="center"/>
              <w:ind w:right="587"/>
              <w:spacing w:after="0" w:line="130"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8"/>
        </w:trPr>
        <w:tc>
          <w:tcPr>
            <w:tcW w:w="462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incorporation or organization)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tcPr>
          <w:p>
            <w:pPr>
              <w:jc w:val="center"/>
              <w:ind w:right="587"/>
              <w:spacing w:after="0"/>
              <w:rPr>
                <w:sz w:val="20"/>
                <w:szCs w:val="20"/>
                <w:color w:val="auto"/>
              </w:rPr>
            </w:pPr>
            <w:r>
              <w:rPr>
                <w:rFonts w:ascii="Arial" w:cs="Arial" w:eastAsia="Arial" w:hAnsi="Arial"/>
                <w:sz w:val="13"/>
                <w:szCs w:val="13"/>
                <w:b w:val="1"/>
                <w:bCs w:val="1"/>
                <w:color w:val="auto"/>
                <w:w w:val="98"/>
              </w:rPr>
              <w:t>Identification No.)</w:t>
            </w:r>
          </w:p>
        </w:tc>
        <w:tc>
          <w:tcPr>
            <w:tcW w:w="0" w:type="dxa"/>
            <w:vAlign w:val="bottom"/>
          </w:tcPr>
          <w:p>
            <w:pPr>
              <w:spacing w:after="0"/>
              <w:rPr>
                <w:sz w:val="1"/>
                <w:szCs w:val="1"/>
                <w:color w:val="auto"/>
              </w:rPr>
            </w:pPr>
          </w:p>
        </w:tc>
      </w:tr>
      <w:tr>
        <w:trPr>
          <w:trHeight w:val="170"/>
        </w:trPr>
        <w:tc>
          <w:tcPr>
            <w:tcW w:w="4620" w:type="dxa"/>
            <w:vAlign w:val="bottom"/>
          </w:tcPr>
          <w:p>
            <w:pPr>
              <w:jc w:val="center"/>
              <w:ind w:left="904"/>
              <w:spacing w:after="0" w:line="170" w:lineRule="exact"/>
              <w:rPr>
                <w:sz w:val="20"/>
                <w:szCs w:val="20"/>
                <w:color w:val="auto"/>
              </w:rPr>
            </w:pPr>
            <w:r>
              <w:rPr>
                <w:rFonts w:ascii="Arial" w:cs="Arial" w:eastAsia="Arial" w:hAnsi="Arial"/>
                <w:sz w:val="16"/>
                <w:szCs w:val="16"/>
                <w:b w:val="1"/>
                <w:bCs w:val="1"/>
                <w:color w:val="auto"/>
              </w:rPr>
              <w:t>333 Oyster Point Boulevard</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vMerge w:val="restart"/>
          </w:tcPr>
          <w:p>
            <w:pPr>
              <w:jc w:val="right"/>
              <w:ind w:right="2547"/>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8"/>
        </w:trPr>
        <w:tc>
          <w:tcPr>
            <w:tcW w:w="4620" w:type="dxa"/>
            <w:vAlign w:val="bottom"/>
          </w:tcPr>
          <w:p>
            <w:pPr>
              <w:jc w:val="center"/>
              <w:ind w:left="924"/>
              <w:spacing w:after="0"/>
              <w:rPr>
                <w:sz w:val="20"/>
                <w:szCs w:val="20"/>
                <w:color w:val="auto"/>
              </w:rPr>
            </w:pPr>
            <w:r>
              <w:rPr>
                <w:rFonts w:ascii="Arial" w:cs="Arial" w:eastAsia="Arial" w:hAnsi="Arial"/>
                <w:sz w:val="16"/>
                <w:szCs w:val="16"/>
                <w:b w:val="1"/>
                <w:bCs w:val="1"/>
                <w:color w:val="auto"/>
              </w:rPr>
              <w:t>South San Francisco, CA</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20" w:type="dxa"/>
            <w:vAlign w:val="bottom"/>
          </w:tcPr>
          <w:p>
            <w:pPr>
              <w:jc w:val="center"/>
              <w:ind w:left="904"/>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tcPr>
          <w:p>
            <w:pPr>
              <w:jc w:val="center"/>
              <w:ind w:right="607"/>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334"/>
        </w:trPr>
        <w:tc>
          <w:tcPr>
            <w:tcW w:w="4620" w:type="dxa"/>
            <w:vAlign w:val="bottom"/>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(650) 243-5555</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40" w:type="dxa"/>
            <w:vAlign w:val="bottom"/>
            <w:gridSpan w:val="4"/>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56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8"/>
              </w:rPr>
              <w:t>Trading</w:t>
            </w:r>
          </w:p>
        </w:tc>
        <w:tc>
          <w:tcPr>
            <w:tcW w:w="300" w:type="dxa"/>
            <w:vAlign w:val="bottom"/>
          </w:tcPr>
          <w:p>
            <w:pPr>
              <w:spacing w:after="0"/>
              <w:rPr>
                <w:sz w:val="14"/>
                <w:szCs w:val="14"/>
                <w:color w:val="auto"/>
              </w:rPr>
            </w:pPr>
          </w:p>
        </w:tc>
        <w:tc>
          <w:tcPr>
            <w:tcW w:w="5020" w:type="dxa"/>
            <w:vAlign w:val="bottom"/>
            <w:tcBorders>
              <w:right w:val="single" w:sz="8" w:color="auto"/>
            </w:tcBorders>
          </w:tcPr>
          <w:p>
            <w:pPr>
              <w:jc w:val="center"/>
              <w:ind w:right="267"/>
              <w:spacing w:after="0" w:line="162" w:lineRule="exact"/>
              <w:rPr>
                <w:sz w:val="20"/>
                <w:szCs w:val="20"/>
                <w:color w:val="auto"/>
              </w:rPr>
            </w:pPr>
            <w:r>
              <w:rPr>
                <w:rFonts w:ascii="Arial" w:cs="Arial" w:eastAsia="Arial" w:hAnsi="Arial"/>
                <w:sz w:val="16"/>
                <w:szCs w:val="16"/>
                <w:b w:val="1"/>
                <w:bCs w:val="1"/>
                <w:color w:val="auto"/>
              </w:rPr>
              <w:t>Name of Each Exchange on which Securities are Registered</w:t>
            </w:r>
          </w:p>
        </w:tc>
        <w:tc>
          <w:tcPr>
            <w:tcW w:w="0" w:type="dxa"/>
            <w:vAlign w:val="bottom"/>
          </w:tcPr>
          <w:p>
            <w:pPr>
              <w:spacing w:after="0"/>
              <w:rPr>
                <w:sz w:val="1"/>
                <w:szCs w:val="1"/>
                <w:color w:val="auto"/>
              </w:rPr>
            </w:pPr>
          </w:p>
        </w:tc>
      </w:tr>
      <w:tr>
        <w:trPr>
          <w:trHeight w:val="215"/>
        </w:trPr>
        <w:tc>
          <w:tcPr>
            <w:tcW w:w="46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30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30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jc w:val="center"/>
              <w:ind w:right="267"/>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45"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79" w:lineRule="exact"/>
        <w:rPr>
          <w:sz w:val="24"/>
          <w:szCs w:val="24"/>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right="218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2021, the registrant had 77,709,084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gridSpan w:val="11"/>
          </w:tcPr>
          <w:p>
            <w:pPr>
              <w:ind w:left="78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40" w:type="dxa"/>
            <w:vAlign w:val="bottom"/>
            <w:gridSpan w:val="2"/>
            <w:vMerge w:val="continue"/>
          </w:tcPr>
          <w:p>
            <w:pPr>
              <w:spacing w:after="0"/>
              <w:rPr>
                <w:sz w:val="14"/>
                <w:szCs w:val="14"/>
                <w:color w:val="auto"/>
              </w:rPr>
            </w:pPr>
          </w:p>
        </w:tc>
        <w:tc>
          <w:tcPr>
            <w:tcW w:w="8620" w:type="dxa"/>
            <w:vAlign w:val="bottom"/>
            <w:gridSpan w:val="23"/>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1020" w:type="dxa"/>
            <w:vAlign w:val="bottom"/>
          </w:tcPr>
          <w:p>
            <w:pPr>
              <w:jc w:val="right"/>
              <w:spacing w:after="0" w:line="156" w:lineRule="exact"/>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Financial Statements</w:t>
              </w:r>
            </w:hyperlink>
          </w:p>
        </w:tc>
        <w:tc>
          <w:tcPr>
            <w:tcW w:w="540" w:type="dxa"/>
            <w:vAlign w:val="bottom"/>
            <w:tcBorders>
              <w:top w:val="single" w:sz="8" w:color="0000FF"/>
            </w:tcBorders>
            <w:gridSpan w:val="4"/>
          </w:tcPr>
          <w:p>
            <w:pPr>
              <w:spacing w:after="0"/>
              <w:rPr>
                <w:sz w:val="19"/>
                <w:szCs w:val="19"/>
                <w:color w:val="auto"/>
              </w:rPr>
            </w:pPr>
          </w:p>
        </w:tc>
        <w:tc>
          <w:tcPr>
            <w:tcW w:w="6400" w:type="dxa"/>
            <w:vAlign w:val="bottom"/>
            <w:gridSpan w:val="12"/>
          </w:tcPr>
          <w:p>
            <w:pPr>
              <w:spacing w:after="0"/>
              <w:rPr>
                <w:sz w:val="19"/>
                <w:szCs w:val="19"/>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2021 (Unaudited) and December 31, 2020</w:t>
              </w:r>
            </w:hyperlink>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(Audited)</w:t>
              </w:r>
            </w:hyperlink>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nine months ended September 30,</w:t>
              </w:r>
            </w:hyperlink>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2021 and 2020 (Unaudited)</w:t>
              </w:r>
            </w:hyperlink>
          </w:p>
        </w:tc>
        <w:tc>
          <w:tcPr>
            <w:tcW w:w="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for the three and nine months ended</w:t>
              </w:r>
            </w:hyperlink>
          </w:p>
        </w:tc>
        <w:tc>
          <w:tcPr>
            <w:tcW w:w="102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September 30, 2021 and 2020 (Unaudited)</w:t>
              </w:r>
            </w:hyperlink>
          </w:p>
        </w:tc>
        <w:tc>
          <w:tcPr>
            <w:tcW w:w="4440" w:type="dxa"/>
            <w:vAlign w:val="bottom"/>
            <w:tcBorders>
              <w:top w:val="single" w:sz="8" w:color="0000FF"/>
            </w:tcBorders>
            <w:gridSpan w:val="6"/>
          </w:tcPr>
          <w:p>
            <w:pPr>
              <w:spacing w:after="0"/>
              <w:rPr>
                <w:sz w:val="13"/>
                <w:szCs w:val="13"/>
                <w:color w:val="auto"/>
              </w:rPr>
            </w:pPr>
          </w:p>
        </w:tc>
        <w:tc>
          <w:tcPr>
            <w:tcW w:w="48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three and nine months ended</w:t>
              </w:r>
            </w:hyperlink>
          </w:p>
        </w:tc>
        <w:tc>
          <w:tcPr>
            <w:tcW w:w="102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September 30, 2021 and 2020 (Unaudited)</w:t>
              </w:r>
            </w:hyperlink>
          </w:p>
        </w:tc>
        <w:tc>
          <w:tcPr>
            <w:tcW w:w="4380" w:type="dxa"/>
            <w:vAlign w:val="bottom"/>
            <w:tcBorders>
              <w:top w:val="single" w:sz="8" w:color="0000FF"/>
            </w:tcBorders>
            <w:gridSpan w:val="5"/>
          </w:tcPr>
          <w:p>
            <w:pPr>
              <w:spacing w:after="0"/>
              <w:rPr>
                <w:sz w:val="13"/>
                <w:szCs w:val="13"/>
                <w:color w:val="auto"/>
              </w:rPr>
            </w:pPr>
          </w:p>
        </w:tc>
        <w:tc>
          <w:tcPr>
            <w:tcW w:w="540" w:type="dxa"/>
            <w:vAlign w:val="bottom"/>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nine months ended September 30, 2021 and</w:t>
              </w:r>
            </w:hyperlink>
          </w:p>
        </w:tc>
        <w:tc>
          <w:tcPr>
            <w:tcW w:w="102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3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2020 (Unaudited)</w:t>
              </w:r>
            </w:hyperlink>
          </w:p>
        </w:tc>
        <w:tc>
          <w:tcPr>
            <w:tcW w:w="2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 (Unaudited)</w:t>
              </w:r>
            </w:hyperlink>
          </w:p>
        </w:tc>
        <w:tc>
          <w:tcPr>
            <w:tcW w:w="3160" w:type="dxa"/>
            <w:vAlign w:val="bottom"/>
            <w:gridSpan w:val="7"/>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1560" w:type="dxa"/>
            <w:vAlign w:val="bottom"/>
            <w:gridSpan w:val="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3920" w:type="dxa"/>
            <w:vAlign w:val="bottom"/>
            <w:gridSpan w:val="9"/>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7"/>
              </w:rPr>
            </w:pPr>
            <w:hyperlink w:anchor="page43">
              <w:r>
                <w:rPr>
                  <w:rFonts w:ascii="Arial" w:cs="Arial" w:eastAsia="Arial" w:hAnsi="Arial"/>
                  <w:sz w:val="18"/>
                  <w:szCs w:val="18"/>
                  <w:color w:val="0000FF"/>
                  <w:w w:val="97"/>
                </w:rPr>
                <w:t>OTHER INFORMATION</w:t>
              </w:r>
            </w:hyperlink>
          </w:p>
        </w:tc>
        <w:tc>
          <w:tcPr>
            <w:tcW w:w="60" w:type="dxa"/>
            <w:vAlign w:val="bottom"/>
            <w:tcBorders>
              <w:top w:val="single" w:sz="8" w:color="0000FF"/>
            </w:tcBorders>
          </w:tcPr>
          <w:p>
            <w:pPr>
              <w:spacing w:after="0"/>
              <w:rPr>
                <w:sz w:val="18"/>
                <w:szCs w:val="18"/>
                <w:color w:val="auto"/>
              </w:rPr>
            </w:pPr>
          </w:p>
        </w:tc>
        <w:tc>
          <w:tcPr>
            <w:tcW w:w="6640" w:type="dxa"/>
            <w:vAlign w:val="bottom"/>
            <w:gridSpan w:val="14"/>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2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44">
              <w:r>
                <w:rPr>
                  <w:rFonts w:ascii="Arial" w:cs="Arial" w:eastAsia="Arial" w:hAnsi="Arial"/>
                  <w:sz w:val="18"/>
                  <w:szCs w:val="18"/>
                  <w:color w:val="0000FF"/>
                  <w:w w:val="97"/>
                </w:rPr>
                <w:t>Risk Factors</w:t>
              </w:r>
            </w:hyperlink>
          </w:p>
        </w:tc>
        <w:tc>
          <w:tcPr>
            <w:tcW w:w="480" w:type="dxa"/>
            <w:vAlign w:val="bottom"/>
            <w:tcBorders>
              <w:top w:val="single" w:sz="8" w:color="0000FF"/>
            </w:tcBorders>
            <w:gridSpan w:val="3"/>
          </w:tcPr>
          <w:p>
            <w:pPr>
              <w:spacing w:after="0"/>
              <w:rPr>
                <w:sz w:val="18"/>
                <w:szCs w:val="18"/>
                <w:color w:val="auto"/>
              </w:rPr>
            </w:pPr>
          </w:p>
        </w:tc>
        <w:tc>
          <w:tcPr>
            <w:tcW w:w="7140" w:type="dxa"/>
            <w:vAlign w:val="bottom"/>
            <w:gridSpan w:val="17"/>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Defaults Upon Senior Securities</w:t>
              </w:r>
            </w:hyperlink>
          </w:p>
        </w:tc>
        <w:tc>
          <w:tcPr>
            <w:tcW w:w="3780" w:type="dxa"/>
            <w:vAlign w:val="bottom"/>
            <w:gridSpan w:val="8"/>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Mine Safety Disclosures</w:t>
              </w:r>
            </w:hyperlink>
          </w:p>
        </w:tc>
        <w:tc>
          <w:tcPr>
            <w:tcW w:w="6080" w:type="dxa"/>
            <w:vAlign w:val="bottom"/>
            <w:gridSpan w:val="11"/>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w:anchor="page82">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3"/>
          </w:tcPr>
          <w:p>
            <w:pPr>
              <w:spacing w:after="0"/>
              <w:rPr>
                <w:sz w:val="18"/>
                <w:szCs w:val="18"/>
                <w:color w:val="auto"/>
              </w:rPr>
            </w:pPr>
          </w:p>
        </w:tc>
        <w:tc>
          <w:tcPr>
            <w:tcW w:w="6700" w:type="dxa"/>
            <w:vAlign w:val="bottom"/>
            <w:gridSpan w:val="15"/>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2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Exhibits</w:t>
              </w:r>
            </w:hyperlink>
          </w:p>
        </w:tc>
        <w:tc>
          <w:tcPr>
            <w:tcW w:w="102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6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6"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0"/>
        </w:trPr>
        <w:tc>
          <w:tcPr>
            <w:tcW w:w="778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148,139</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Related party contract asset</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3"/>
        </w:trPr>
        <w:tc>
          <w:tcPr>
            <w:tcW w:w="77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308,426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29,945</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Deferred rent, non-current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6,417</w:t>
            </w: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2"/>
        </w:trPr>
        <w:tc>
          <w:tcPr>
            <w:tcW w:w="7780" w:type="dxa"/>
            <w:vAlign w:val="bottom"/>
          </w:tcPr>
          <w:p>
            <w:pPr>
              <w:ind w:left="220"/>
              <w:spacing w:after="0"/>
              <w:rPr>
                <w:sz w:val="20"/>
                <w:szCs w:val="20"/>
                <w:color w:val="auto"/>
              </w:rPr>
            </w:pPr>
            <w:r>
              <w:rPr>
                <w:rFonts w:ascii="Arial" w:cs="Arial" w:eastAsia="Arial" w:hAnsi="Arial"/>
                <w:sz w:val="18"/>
                <w:szCs w:val="18"/>
                <w:color w:val="auto"/>
              </w:rPr>
              <w:t>Preferred stock, $0.001 par value; 10,000,000 shares authorized; no shares issued or</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4"/>
        </w:trPr>
        <w:tc>
          <w:tcPr>
            <w:tcW w:w="7780" w:type="dxa"/>
            <w:vAlign w:val="bottom"/>
          </w:tcPr>
          <w:p>
            <w:pPr>
              <w:ind w:left="220"/>
              <w:spacing w:after="0"/>
              <w:rPr>
                <w:sz w:val="20"/>
                <w:szCs w:val="20"/>
                <w:color w:val="auto"/>
              </w:rPr>
            </w:pPr>
            <w:r>
              <w:rPr>
                <w:rFonts w:ascii="Arial" w:cs="Arial" w:eastAsia="Arial" w:hAnsi="Arial"/>
                <w:sz w:val="18"/>
                <w:szCs w:val="18"/>
                <w:color w:val="auto"/>
              </w:rPr>
              <w:t>outstanding as of September 30, 2021 and December 31, 2020, respectively</w:t>
            </w:r>
          </w:p>
        </w:tc>
        <w:tc>
          <w:tcPr>
            <w:tcW w:w="18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$0.001 par value; 400,000,000 shares authorized; 77,642,628 and 70,585,364</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as of September 30, 2021 and December 31, 2020,</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745,704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578,599</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(298,631)</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280,043</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1"/>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4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condensed consolidated balance sheet as of December 31, 2020 has been derived from the audited financial statements as of that date.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7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70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122,983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53,439</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150,394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143,761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(76,160)</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(74,496)</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60" w:type="dxa"/>
            <w:vAlign w:val="bottom"/>
            <w:shd w:val="clear" w:color="auto" w:fill="CFF0FC"/>
          </w:tcPr>
          <w:p>
            <w:pPr>
              <w:ind w:left="180"/>
              <w:spacing w:after="0" w:line="155" w:lineRule="exact"/>
              <w:rPr>
                <w:sz w:val="20"/>
                <w:szCs w:val="20"/>
                <w:color w:val="auto"/>
              </w:rPr>
            </w:pPr>
            <w:r>
              <w:rPr>
                <w:rFonts w:ascii="Arial" w:cs="Arial" w:eastAsia="Arial" w:hAnsi="Arial"/>
                <w:sz w:val="17"/>
                <w:szCs w:val="17"/>
                <w:color w:val="auto"/>
              </w:rPr>
              <w:t>Weighted average shares used to compute net loss per</w:t>
            </w:r>
          </w:p>
        </w:tc>
        <w:tc>
          <w:tcPr>
            <w:tcW w:w="28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77,408,893</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68,815,696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76,851,508</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68,174,654</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ind w:left="180"/>
              <w:spacing w:after="0" w:line="190" w:lineRule="exact"/>
              <w:rPr>
                <w:sz w:val="20"/>
                <w:szCs w:val="20"/>
                <w:color w:val="auto"/>
              </w:rPr>
            </w:pPr>
            <w:r>
              <w:rPr>
                <w:rFonts w:ascii="Arial" w:cs="Arial" w:eastAsia="Arial" w:hAnsi="Arial"/>
                <w:sz w:val="18"/>
                <w:szCs w:val="18"/>
                <w:color w:val="auto"/>
              </w:rPr>
              <w:t>share, basic and diluted</w:t>
            </w: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(93,101)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unrealized loss on available-for-sale marketable securities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(93,116)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(74,506)</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ind w:left="20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7"/>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30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line="20" w:lineRule="exact"/>
              <w:rPr>
                <w:sz w:val="1"/>
                <w:szCs w:val="1"/>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Accumulated Deficit</w:t>
            </w:r>
          </w:p>
        </w:tc>
        <w:tc>
          <w:tcPr>
            <w:tcW w:w="1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70,583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578,599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(298,631)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280,043</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under offering, net of</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5,324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134,565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134,570</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5,907</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300" w:type="dxa"/>
            <w:vAlign w:val="bottom"/>
          </w:tcPr>
          <w:p>
            <w:pPr>
              <w:jc w:val="right"/>
              <w:spacing w:after="0"/>
              <w:rPr>
                <w:sz w:val="20"/>
                <w:szCs w:val="20"/>
                <w:color w:val="auto"/>
              </w:rPr>
            </w:pPr>
            <w:r>
              <w:rPr>
                <w:rFonts w:ascii="Arial" w:cs="Arial" w:eastAsia="Arial" w:hAnsi="Arial"/>
                <w:sz w:val="13"/>
                <w:szCs w:val="13"/>
                <w:color w:val="auto"/>
              </w:rPr>
              <w:t>76,913</w:t>
            </w:r>
          </w:p>
        </w:tc>
        <w:tc>
          <w:tcPr>
            <w:tcW w:w="12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77</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725,693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(326,175)</w:t>
            </w:r>
          </w:p>
        </w:tc>
        <w:tc>
          <w:tcPr>
            <w:tcW w:w="12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399,577</w:t>
            </w: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1,905</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7"/>
              </w:rPr>
              <w:t>Issuance of common stock under employee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1,409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1,409</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common stock to participants in</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401(k) plan</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6,716</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Issuance costs under offering</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(36,692)</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(36,692)</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77,307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735,860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(362,867)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373,075</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348</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3,281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3,282</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common stock under Open Market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Agreement, net of issuance costs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6,365</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7"/>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(28,865)</w:t>
            </w: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(28,865)</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77,662</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745,704</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(391,732)</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354,039</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7"/>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420" w:type="dxa"/>
            <w:vAlign w:val="bottom"/>
            <w:gridSpan w:val="3"/>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66,886</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526,771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(196,144)</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330,719</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984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3,591</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3,695</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(19,115)</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(19,115)</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67,891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534,218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(215,259)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318,972</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680</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2,365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2,366</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7"/>
              </w:rPr>
              <w:t>Issuance of common stock under employee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to participants in</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401(k) plan</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3,723</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(25,616)</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(25,616)</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68,702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541,833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301,164</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1,257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1,257</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4,049</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(29,765)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(29,765)</w:t>
            </w:r>
          </w:p>
        </w:tc>
        <w:tc>
          <w:tcPr>
            <w:tcW w:w="0" w:type="dxa"/>
            <w:vAlign w:val="bottom"/>
          </w:tcPr>
          <w:p>
            <w:pPr>
              <w:spacing w:after="0"/>
              <w:rPr>
                <w:sz w:val="1"/>
                <w:szCs w:val="1"/>
                <w:color w:val="auto"/>
              </w:rPr>
            </w:pPr>
          </w:p>
        </w:tc>
      </w:tr>
      <w:tr>
        <w:trPr>
          <w:trHeight w:val="200"/>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547,259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(270,640)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276,703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Nine Months Ended</w:t>
      </w:r>
    </w:p>
    <w:p>
      <w:pPr>
        <w:jc w:val="center"/>
        <w:ind w:left="816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(93,101)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(74,496)</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11,467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in related party contract asset due to Amended Collaboration Agreement with Merck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 (discount) on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Other non-cash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contract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(3,715)</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9,765</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(63,456)</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94,537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purchase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63,533</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follow on offering,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Open Market Agreement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Deferred offering costs paid</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247,472</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255,475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Vesting of common stock from early exercises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purchases accrued and not yet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offering costs accrued but not yet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NGM Biopharmaceuticals, Inc. and its wholly-owned subsidiary, NGM Biopharmaceuticals Australia Pty Ltd., collectively referred to as the Company, is focused on discovering and developing novel therapeutics based on scientific understanding of key biological pathways underlying retinal diseases, cancer and liver and metabolic diseases. The Company’s robust portfolio of product candidates range from early discovery to late-stage development and include NGM621, NGM120, NGM707, NGM831, NGM438, MK-3655 and aldafermin. The Company has additional undisclosed programs that are in various stages of development ranging from functional validation to preclinical development.</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Its headquarters are located at 333 Oyster Point Blvd., South San Francisco, California 94080.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2020 included in the Company’s Annual Report on Form 10-K for the year ended December 31, 2020 filed with the United States Securities and Exchange Commission, or SEC, on March 15, 2021.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2021 or for any subsequent interim period.</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 and its wholly-owned foreign subsidiary in Australia, NGM Biopharmaceuticals Australia Pty Ltd. All intercompany balances and transactions have been eliminated upon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Codification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our estimates and actual results, our future financial statement presentation, financial condition, results of operations and cash flows may be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and Sources of Liquidity</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inception, the Company has incurred net losses and negative cash flow from operations. Net losses were $28.9 million and $93.1 million during the three and nine months ended September 30, 2021, respectively, and $29.8 million and $74.5 million for the three and nine months ended September 30, 2020, respectively. As of September 30, 2021, the Company had an accumulated deficit of $391.7 million. The Company expects its accumulated deficit will increase significantly over time and does not expect to experience positive cash flows from operations in the near future.</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September 30, 2021, the Company had $383.4 million of cash, cash equivalents and short-term marketable securities. In January 2021, the Company sold 5,324,074 shares of its common stock through an underwritten public offering at a price to the public of $27.00 per share for aggregate net proceeds to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18"/>
          <w:szCs w:val="18"/>
          <w:color w:val="auto"/>
        </w:rPr>
        <w:t>of $134.6 million after deducting underwriting discounts and commissions and other offering expenses paid by the Company. 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with Jefferies LLC. During the nine months ended September 30, 2021, 7,400 shares of the Company's common stock were sold pursuant to the Sales Agreement. As of September 30, 2021, $127.2 million of the Company's common stock remained available to be sold under the Sales Agreement, subject to conditions specified in the Sales Agreement.</w:t>
      </w:r>
    </w:p>
    <w:p>
      <w:pPr>
        <w:spacing w:after="0" w:line="21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these unaudited condensed consolidated financial statements.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additional capital through public or private equity offerings (which may include potential net proceeds from future sales, if any, under the Sales Agreement), debt financings, government or other third-party funding, collaborations, strategic alliances and licensing arrangements or a combination of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September 30, 2021 and December 31, 2020, cash and cash equivalents consisted of bank deposits and investments in money market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income, net of tax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September 30, 2021,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condensed consolidated balance sheets, as the collateral will not be returned to the Company within 12 months from the date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United States, or U.S., and Australian banks. Under its investment policy, the Company limits amounts invested in such securities by credit rating, maturity, industry group, investment type and issuer, except for securities issued by the U.S. government.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amended and restated research collaboration, product development and license agreement, or the Amended Collaboration Agreement, with Merck Sharp &amp; Dohme Corp., or Merck, and any future collaboration agreements with other collaboration partners. To date, the Company has not experienced any losses related to these receivables.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three and nine months ended September 30, 2021 and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820" w:type="dxa"/>
            <w:vAlign w:val="bottom"/>
            <w:tcBorders>
              <w:bottom w:val="single" w:sz="8" w:color="CFF0FC"/>
            </w:tcBorders>
            <w:shd w:val="clear" w:color="auto" w:fill="CFF0FC"/>
          </w:tcPr>
          <w:p>
            <w:pPr>
              <w:ind w:left="2100"/>
              <w:spacing w:after="0"/>
              <w:rPr>
                <w:sz w:val="20"/>
                <w:szCs w:val="20"/>
                <w:color w:val="auto"/>
              </w:rPr>
            </w:pPr>
            <w:r>
              <w:rPr>
                <w:rFonts w:ascii="Arial" w:cs="Arial" w:eastAsia="Arial" w:hAnsi="Arial"/>
                <w:sz w:val="18"/>
                <w:szCs w:val="18"/>
                <w:color w:val="auto"/>
              </w:rPr>
              <w:t>3 years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5820" w:type="dxa"/>
            <w:vAlign w:val="bottom"/>
          </w:tcPr>
          <w:p>
            <w:pPr>
              <w:ind w:left="2100"/>
              <w:spacing w:after="0"/>
              <w:rPr>
                <w:sz w:val="20"/>
                <w:szCs w:val="20"/>
                <w:color w:val="auto"/>
              </w:rPr>
            </w:pPr>
            <w:r>
              <w:rPr>
                <w:rFonts w:ascii="Arial" w:cs="Arial" w:eastAsia="Arial" w:hAnsi="Arial"/>
                <w:sz w:val="18"/>
                <w:szCs w:val="18"/>
                <w:color w:val="auto"/>
              </w:rPr>
              <w:t>3 years</w:t>
            </w:r>
          </w:p>
        </w:tc>
      </w:tr>
      <w:tr>
        <w:trPr>
          <w:trHeight w:val="27"/>
        </w:trPr>
        <w:tc>
          <w:tcPr>
            <w:tcW w:w="54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5820" w:type="dxa"/>
            <w:vAlign w:val="bottom"/>
            <w:shd w:val="clear" w:color="auto" w:fill="CFF0FC"/>
          </w:tcPr>
          <w:p>
            <w:pPr>
              <w:ind w:left="2100"/>
              <w:spacing w:after="0"/>
              <w:rPr>
                <w:sz w:val="20"/>
                <w:szCs w:val="20"/>
                <w:color w:val="auto"/>
              </w:rPr>
            </w:pPr>
            <w:r>
              <w:rPr>
                <w:rFonts w:ascii="Arial" w:cs="Arial" w:eastAsia="Arial" w:hAnsi="Arial"/>
                <w:sz w:val="18"/>
                <w:szCs w:val="18"/>
                <w:color w:val="auto"/>
              </w:rPr>
              <w:t>Shorter of life of asset or lease term</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September 30, 2021 and December 31, 2020,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8"/>
          <w:szCs w:val="18"/>
          <w:color w:val="auto"/>
        </w:rPr>
        <w:t>or settled. The effect on deferred tax assets and liabilities of a change in tax rates is recognized in the period such tax rate changes are enacted.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Accounting Standards Update, or ASU, 2014-09, Revenue from Contracts with Customers (Topic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18"/>
          <w:szCs w:val="18"/>
          <w:color w:val="auto"/>
        </w:rPr>
        <w:t>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or CROs, and other service providers, as they are incurred, based upon estimates of the work completed over the life of the individual study in accordance with associated agreements. The Company uses assessments by its internal personnel and information it receives from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ordinary share is computed by giving effect to all potentially dilutive shares, including common stock issuable upon exercise of stock options. However, where there is a diluted net loss per ordinary share, no adjustment is made for potentially issuable shares since their effect would be anti-dilutive. In this case, diluted net loss per share is equal to basic net loss per share.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 per share was computed as follows (in thousands, except share and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6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9"/>
                <w:szCs w:val="19"/>
                <w:color w:val="auto"/>
              </w:rPr>
            </w:pPr>
          </w:p>
        </w:tc>
        <w:tc>
          <w:tcPr>
            <w:tcW w:w="268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(29,765)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(93,101)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(74,496)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number of shares used in calculating net loss</w:t>
            </w:r>
          </w:p>
        </w:tc>
        <w:tc>
          <w:tcPr>
            <w:tcW w:w="28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77,408,893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68,815,696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76,851,508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9"/>
              </w:rPr>
              <w:t>68,174,654</w:t>
            </w:r>
          </w:p>
        </w:tc>
        <w:tc>
          <w:tcPr>
            <w:tcW w:w="0" w:type="dxa"/>
            <w:vAlign w:val="bottom"/>
          </w:tcPr>
          <w:p>
            <w:pPr>
              <w:spacing w:after="0"/>
              <w:rPr>
                <w:sz w:val="1"/>
                <w:szCs w:val="1"/>
                <w:color w:val="auto"/>
              </w:rPr>
            </w:pP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per share—basic and diluted</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follows: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4"/>
          </w:tcPr>
          <w:p>
            <w:pPr>
              <w:jc w:val="center"/>
              <w:ind w:right="452"/>
              <w:spacing w:after="0"/>
              <w:rPr>
                <w:sz w:val="20"/>
                <w:szCs w:val="20"/>
                <w:color w:val="auto"/>
              </w:rPr>
            </w:pPr>
            <w:r>
              <w:rPr>
                <w:rFonts w:ascii="Arial" w:cs="Arial" w:eastAsia="Arial" w:hAnsi="Arial"/>
                <w:sz w:val="16"/>
                <w:szCs w:val="16"/>
                <w:b w:val="1"/>
                <w:bCs w:val="1"/>
                <w:color w:val="auto"/>
              </w:rPr>
              <w:t>For the Three and</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center"/>
              <w:ind w:right="45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10,660,410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10,651,475</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Shares committed under ESPP</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214,604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353,754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0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10,875,014</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11,005,229</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comprised of property and equipment, are based in the United States. For the three and nine months ended September 30, 2021 and 2020,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 Under the Jumpstart Our Business Startups Act of 2012, as amended, or the JOBS Act, the Company currently meets the definition of an emerging growth company and has elected the extended transition period for complying with new or revised accounting standards pursuant to Section 107(b) of the JOBS Act. The Company expects to be a large accelerated filer as of December 31, 2021 and as a result, the Company will no longer be an emerging growth company as of that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addition, ASC 808 precludes an entity from presenting consideration from a transaction in a collaborative arrangement as revenue from contracts with customers if the participant is not a customer for that transaction. The Company adopted ASU 2018-18 effective January 1, 2021, noting no material impact on the Company’s results of operations and financial position.</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4" w:name="page15"/>
    <w:bookmarkEnd w:id="14"/>
    <w:p>
      <w:pPr>
        <w:jc w:val="both"/>
        <w:ind w:firstLine="648"/>
        <w:spacing w:after="0" w:line="254"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The Company adopted ASU 2019-12 effective January 1, 2021, noting no material impact on the Company’s results of operations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2016, the FASB issued ASU 2016-02, Leases (Topic 842), which increases lease transparency and comparability among organizations. Under the new standard, lessees will be required to recognize right-of-use, or ROU, assets and lease liabilities arising from lease arrangements on the balance sheet, with the exception of leases with a term of twelve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In November 2019, the FASB issued ASU 2019-10, which deferred the effective date for certain ASUs including ASU 2016-02. In June 2020, due to the evolving impacts of the COVID-19 pandemic, the FASB issued ASU 2020-05, which further defers the effective date of ASU 2016-02, which is now effective for the Company’s fiscal year beginning after December 15, 2021, and interim periods within fiscal years beginning after December 15, 2022.</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Company expects that it will no longer be an emerging growth company as of December 31, 2021, the Company plans to adopt the new lease standard in the fiscal year beginning January 1, 2021,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The Company continues to evaluate the impact of this new lease standard to its results of operations and financial position.</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standard amends guidance on reporting credit losses for financial assets held at amortized cost basis, including accounts receivable, investments classified as available for sale, such as our debt securities, and unbilled related party revenue. Estimated credit losses will be recorded as an allowance rather than a write-down. In November 2019, the FASB issued ASU 2019-10, which deferred the effective date for certain ASUs including ASU 2016-13. Given the Company expects that it will no longer be an emerging growth company as of December 31, 2021, it plans to adopt ASU 2016-13 in the fiscal year beginning January 1, 2021 and the impact of adoption is not expected to materially impact the Company’s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9"/>
              </w:rPr>
              <w:t>Amortized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Gain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Loss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2021</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135,278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center"/>
              <w:ind w:left="693"/>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agencies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693"/>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left="733"/>
              <w:spacing w:after="0"/>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center"/>
              <w:ind w:left="693"/>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$237,614)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6"/>
                <w:szCs w:val="16"/>
                <w:b w:val="1"/>
                <w:bCs w:val="1"/>
                <w:color w:val="auto"/>
              </w:rPr>
              <w:t>Amortized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Gain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Loss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137,658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agencies securities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agency bonds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ind w:left="100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285,793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Classified as:</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FF0FC"/>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$148,135)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148,139</w:t>
            </w:r>
          </w:p>
        </w:tc>
        <w:tc>
          <w:tcPr>
            <w:tcW w:w="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$10.5 million and $9.4 million as of September 30, 2021 and December 31, 2020,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September 30, 2021 and December 31, 2020, all of the Company’s marketable securities had remaining contractual maturities of less than one year. As of September 30, 2021, there were twelve marketable securities in an unrealized loss position compared to one marketable security in an unrealized loss position as of December 31, 2020. Marketable securities that had been in unrealized loss positions as of September 30, 2021 and December 31, 2020 had been in an unrealized loss position for less than 12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September 30, 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135,278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135,278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agencies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Corporate and agency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73,508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237,603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government agencies securities</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 and agency bonds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contract asset from collaboration and other current assets and liabilities approximate their respective fair values due to their short-term nature.</w:t>
      </w:r>
    </w:p>
    <w:p>
      <w:pPr>
        <w:spacing w:after="0" w:line="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nine months ended September 30, 2021 and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CFF0FC"/>
            </w:tcBorders>
          </w:tcPr>
          <w:p>
            <w:pPr>
              <w:spacing w:after="0"/>
              <w:rPr>
                <w:sz w:val="18"/>
                <w:szCs w:val="18"/>
                <w:color w:val="auto"/>
              </w:rPr>
            </w:pPr>
          </w:p>
        </w:tc>
        <w:tc>
          <w:tcPr>
            <w:tcW w:w="3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3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3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147,325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3000" w:type="dxa"/>
            <w:vAlign w:val="bottom"/>
            <w:tcBorders>
              <w:top w:val="single" w:sz="8" w:color="CFF0FC"/>
              <w:bottom w:val="single" w:sz="8" w:color="CFF0FC"/>
            </w:tcBorders>
            <w:vMerge w:val="restart"/>
          </w:tcPr>
          <w:p>
            <w:pPr>
              <w:jc w:val="right"/>
              <w:ind w:right="197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7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23,638</w:t>
            </w: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w:t>
            </w: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w:t>
            </w: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Depreciation expense was $1.5 million and $4.6 million for the three and nine months ended September 30, 2021, respectively, compared to $1.6 million and $5.0 million for the same periods in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2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2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r>
      <w:tr>
        <w:trPr>
          <w:trHeight w:val="224"/>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180" w:type="dxa"/>
            <w:vAlign w:val="bottom"/>
            <w:shd w:val="clear" w:color="auto" w:fill="CFF2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9,316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Manufacturing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8,297</w:t>
            </w:r>
          </w:p>
        </w:tc>
      </w:tr>
      <w:tr>
        <w:trPr>
          <w:trHeight w:val="229"/>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Personnel-related costs</w:t>
            </w:r>
          </w:p>
        </w:tc>
        <w:tc>
          <w:tcPr>
            <w:tcW w:w="180" w:type="dxa"/>
            <w:vAlign w:val="bottom"/>
            <w:shd w:val="clear" w:color="auto" w:fill="CFF2FC"/>
          </w:tcPr>
          <w:p>
            <w:pPr>
              <w:spacing w:after="0"/>
              <w:rPr>
                <w:sz w:val="19"/>
                <w:szCs w:val="19"/>
                <w:color w:val="auto"/>
              </w:rPr>
            </w:pPr>
          </w:p>
        </w:tc>
        <w:tc>
          <w:tcPr>
            <w:tcW w:w="14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8,921</w:t>
            </w:r>
          </w:p>
        </w:tc>
      </w:tr>
      <w:tr>
        <w:trPr>
          <w:trHeight w:val="230"/>
        </w:trPr>
        <w:tc>
          <w:tcPr>
            <w:tcW w:w="7780" w:type="dxa"/>
            <w:vAlign w:val="bottom"/>
            <w:tcBorders>
              <w:bottom w:val="single" w:sz="8" w:color="CFF2FC"/>
            </w:tcBorders>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FF2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48"/>
        </w:trPr>
        <w:tc>
          <w:tcPr>
            <w:tcW w:w="7780" w:type="dxa"/>
            <w:vAlign w:val="bottom"/>
            <w:tcBorders>
              <w:bottom w:val="single" w:sz="8" w:color="CFF2FC"/>
            </w:tcBorders>
            <w:shd w:val="clear" w:color="auto" w:fill="CFF2FC"/>
          </w:tcPr>
          <w:p>
            <w:pPr>
              <w:ind w:left="22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34,720</w:t>
            </w:r>
          </w:p>
        </w:tc>
        <w:tc>
          <w:tcPr>
            <w:tcW w:w="100" w:type="dxa"/>
            <w:vAlign w:val="bottom"/>
            <w:tcBorders>
              <w:bottom w:val="single" w:sz="8" w:color="CFF2FC"/>
            </w:tcBorders>
            <w:shd w:val="clear" w:color="auto" w:fill="CFF2FC"/>
          </w:tcPr>
          <w:p>
            <w:pPr>
              <w:spacing w:after="0"/>
              <w:rPr>
                <w:sz w:val="21"/>
                <w:szCs w:val="21"/>
                <w:color w:val="auto"/>
              </w:rPr>
            </w:pPr>
          </w:p>
        </w:tc>
        <w:tc>
          <w:tcPr>
            <w:tcW w:w="2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29,945</w:t>
            </w:r>
          </w:p>
        </w:tc>
      </w:tr>
      <w:tr>
        <w:trPr>
          <w:trHeight w:val="20"/>
        </w:trPr>
        <w:tc>
          <w:tcPr>
            <w:tcW w:w="7780" w:type="dxa"/>
            <w:vAlign w:val="bottom"/>
            <w:tcBorders>
              <w:top w:val="single" w:sz="8" w:color="CFF2FC"/>
            </w:tcBorders>
          </w:tcPr>
          <w:p>
            <w:pPr>
              <w:spacing w:after="0" w:line="20" w:lineRule="exact"/>
              <w:rPr>
                <w:sz w:val="1"/>
                <w:szCs w:val="1"/>
                <w:color w:val="auto"/>
              </w:rPr>
            </w:pPr>
          </w:p>
        </w:tc>
        <w:tc>
          <w:tcPr>
            <w:tcW w:w="180" w:type="dxa"/>
            <w:vAlign w:val="bottom"/>
            <w:tcBorders>
              <w:top w:val="single" w:sz="8" w:color="CFF2FC"/>
              <w:bottom w:val="single" w:sz="8" w:color="auto"/>
            </w:tcBorders>
          </w:tcPr>
          <w:p>
            <w:pPr>
              <w:spacing w:after="0" w:line="20" w:lineRule="exact"/>
              <w:rPr>
                <w:sz w:val="1"/>
                <w:szCs w:val="1"/>
                <w:color w:val="auto"/>
              </w:rPr>
            </w:pPr>
          </w:p>
        </w:tc>
        <w:tc>
          <w:tcPr>
            <w:tcW w:w="1480" w:type="dxa"/>
            <w:vAlign w:val="bottom"/>
            <w:tcBorders>
              <w:top w:val="single" w:sz="8" w:color="CFF2FC"/>
              <w:bottom w:val="single" w:sz="8" w:color="auto"/>
            </w:tcBorders>
          </w:tcPr>
          <w:p>
            <w:pPr>
              <w:spacing w:after="0" w:line="20" w:lineRule="exact"/>
              <w:rPr>
                <w:sz w:val="1"/>
                <w:szCs w:val="1"/>
                <w:color w:val="auto"/>
              </w:rPr>
            </w:pPr>
          </w:p>
        </w:tc>
        <w:tc>
          <w:tcPr>
            <w:tcW w:w="100" w:type="dxa"/>
            <w:vAlign w:val="bottom"/>
            <w:tcBorders>
              <w:top w:val="single" w:sz="8" w:color="CFF2FC"/>
            </w:tcBorders>
          </w:tcPr>
          <w:p>
            <w:pPr>
              <w:spacing w:after="0" w:line="20" w:lineRule="exact"/>
              <w:rPr>
                <w:sz w:val="1"/>
                <w:szCs w:val="1"/>
                <w:color w:val="auto"/>
              </w:rPr>
            </w:pPr>
          </w:p>
        </w:tc>
        <w:tc>
          <w:tcPr>
            <w:tcW w:w="200" w:type="dxa"/>
            <w:vAlign w:val="bottom"/>
            <w:tcBorders>
              <w:top w:val="single" w:sz="8" w:color="CFF2FC"/>
              <w:bottom w:val="single" w:sz="8" w:color="auto"/>
            </w:tcBorders>
          </w:tcPr>
          <w:p>
            <w:pPr>
              <w:spacing w:after="0" w:line="20" w:lineRule="exact"/>
              <w:rPr>
                <w:sz w:val="1"/>
                <w:szCs w:val="1"/>
                <w:color w:val="auto"/>
              </w:rPr>
            </w:pPr>
          </w:p>
        </w:tc>
        <w:tc>
          <w:tcPr>
            <w:tcW w:w="1460" w:type="dxa"/>
            <w:vAlign w:val="bottom"/>
            <w:tcBorders>
              <w:top w:val="single" w:sz="8" w:color="CFF2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684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Merck</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2015, the Company entered into a research collaboration, product development and license agreement with Merck, which, together with amendments made prior to June 30, 2021, is referred to as the Original Agreement, covering the discovery, development and commercialization of novel therapies across a range of therapeutic areas, including a broad, multi-year drug discovery and early</w:t>
      </w:r>
    </w:p>
    <w:p>
      <w:pPr>
        <w:spacing w:after="0" w:line="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development program financially supported by Merck. On June 30, 2021, the Company and Merck entered into the Amended Collaboration Agreement with a narrower scope than contemplated in the Original Agreement, as described in more detail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Original Agreement.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Original Agreement had an initial five-year research term, and Merck was granted the unilateral right to extend the research phase of the collaboration for two additional two-year terms in exchange for a $20.0 million extension fee payable at each extension, as described in more detail below. Each extension, if and when exercised by Merck, would be considered and would be accounted for as a separate arrangement. Under the Original Agreement, in March 2019, Merck exercised its first option to extend the research phase of the collaboration for two additional years through March 16, 2022, agreeing at that time to continue to fund the Company’s research and development efforts up to $ 75.0 million each year consistent with the initial five-year term and, in lieu of the $20.0 million extension fee that would have otherwise been payable to the Company at that time, Merck agreed to make additional payments totaling up to $20.0 million in support of the Company’s research and development program activities during 2021 and in the first quarter of 2022. Merck’s decision whether or not to exercise its second option to extend the research phase of the collaboration under the Original Agreement was mooted when, on June 30, 2021, Merck and the Company entered into the Amended Collaboration Agreement, as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8" w:name="page19"/>
    <w:bookmarkEnd w:id="18"/>
    <w:p>
      <w:pPr>
        <w:jc w:val="both"/>
        <w:ind w:firstLine="648"/>
        <w:spacing w:after="0" w:line="253" w:lineRule="auto"/>
        <w:rPr>
          <w:sz w:val="20"/>
          <w:szCs w:val="20"/>
          <w:color w:val="auto"/>
        </w:rPr>
      </w:pPr>
      <w:r>
        <w:rPr>
          <w:rFonts w:ascii="Arial" w:cs="Arial" w:eastAsia="Arial" w:hAnsi="Arial"/>
          <w:sz w:val="18"/>
          <w:szCs w:val="18"/>
          <w:color w:val="auto"/>
        </w:rPr>
        <w:t>Under the terms of Original Agreement, the Company determined the scientific direction and areas of therapeutic interest for the collaboration, with input from Merck, and was primarily responsible for the conduct of all research, preclinical and early clinical development activities through human proof-of-concept trials. The Company made the final determinations as to which collaboration compounds to advance into and through initial clinical trials, which collaboration compounds to progress into a human proof-of-concept trial and the design of any such trials, in each case with input from Merck through various governance committees.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Agreement, upon completion of a human proof-of-concept trial for a particular collaboration compound, regardless of the results of such trial, Merck had the one-time option to obtain an exclusive, worldwide license, on specified terms, to that collaboration compound, as well as to all other molecules that are directed against the same target and that result in the same effect on such target, or the related molecules, referred to as the Merck license option. For each program that Merck licensed, Merck was required to pay the Company a one-time fee of $20.0 million. Following exercise of a Merck license option, Merck was responsible, at its own cost, for any further development and any commercialization activities for compounds within the applicable program that it licensed, or the licensed compounds, subject to the Company’s option on a licensed compound-by-licensed compound basis, prior to Merck initiating any Phase 3 clinical trial of such licensed compound, to enter into a worldwide cost and profit share with Merck, or the cost and profit share option, and to co-detail the applicable licensed compound in the United States. If the Company elected to exercise its cost and profit share option for a particular licensed compound, Merck agreed to advance to the Company and/or assume up to 25% of the Company’s share of the global development costs for such licensed compound, subject to an aggregate cap over the course of the collaboration. All such amounts advanced or assumed by Merck accrued interest and would be recouped by Merck in full out of the Company’s share of any profits resulting from sales of the licensed compound for which the Company elected to exercise its cost and profit share option before the Company was entitled to receive any of those profits. If the Company did not elect to exercise its cost and profit share option for a particular licensed compound, the Company was eligible to receive (i) an aggregate of up to $449.0 million in pre-commercial milestone payments upon the achievement of specific clinical development and regulatory events with respect to the licensed compound for the first three indications in the United States, the European Union, or EU, and Japan; (ii) commercial milestone payments of up to $125.0 million; and (iii) royalties at ascending low-double digit to mid-teen percentage rates, depending on the level of net sales Merck achieves worldwide for such licensed compound.</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Agreement, the Company also granted Merck a worldwide, exclusive right to conduct research and development on, and to manufacture, use and commercialize, small molecule compounds identified or developed by Merck that have specified activity against any target that the Company researched or developed during the research phase of the collaboration and that, but for use of the Company’s confidential and proprietary information, Merck would not have discovered. If Merck ultimately did not exercise its Merck license option to a collaboration compound the Company advanced through a human proof-of-concept study that was directed to any such target, Merck’s research license for its own small molecule program with respect to such target would become non-exclusive, but it would retain an exclusive license to any small molecule compounds that it had, as of that time, identified and developed. Merck had sole responsibility for research and development of any of these small molecule compounds, at its own cost. The Company was eligible to receive milestone and royalty payments on small molecule compounds that were developed by Merck under such a license from the Company, in some cases at the same rates as those the Company was eligible to receive from Merck for a program that Merck licensed and that originated from the Company’s own research and development efforts, provided that, but for use of the Company’s confidential and proprietary information, Merck would not have discovered such small molecule compounds. However, the Company did not have the option to enter into a cost and profit share with respect to, or the option to co-detail, those small molecule compounds.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Agreement, during the three-month period before the end of the research phase as defined in the Original Agreement, Merck had the right to review the Company’s then-existing programs and to elect to designate one or more such programs and require the Company to continue to conduct research and development on such Merck-designated programs for up to three years, a period referred to as the Original Agreement tail period. Merck would pay all of the Company’s internal and external costs for its work on such Merck-designated programs during the Original Agreement tail period, up to certain funding caps that decreased over the Original Agreement tail period based on a specified percentage of certain funding actually provided to the Company by Merck during the last 12 months of the research phase as defined in the Original Agreement. Merck also had the right to take over such Merck-designated programs and conduct such research and development activities itself or in partnership with a third party, at its own cost, or to terminate the Original Agreement tail period after a specified notice period. If Merck terminated the Original Agreement tail period, it had the right to elect to transition to itself or a third-party partner, at its own cost, any clinical trials that were then being conducted in such Merck-designated programs. If the Company completed a human proof-of-concept trial in one of such Merck-designated programs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spacing w:after="0" w:line="252" w:lineRule="auto"/>
        <w:rPr>
          <w:sz w:val="20"/>
          <w:szCs w:val="20"/>
          <w:color w:val="auto"/>
        </w:rPr>
      </w:pPr>
      <w:r>
        <w:rPr>
          <w:rFonts w:ascii="Arial" w:cs="Arial" w:eastAsia="Arial" w:hAnsi="Arial"/>
          <w:sz w:val="18"/>
          <w:szCs w:val="18"/>
          <w:color w:val="auto"/>
        </w:rPr>
        <w:t>during the Original Agreement tail period or if Merck or its third-party partner completed a human proof-of-concept trial of a collaboration compound in one of such Merck-designated programs during or after the Original Agreement tail period, then Merck would have the same one-time Merck license option to obtain an exclusive, worldwide license, on specified terms, to that collaboration compound, as well as to all its related molecules. Merck would lose its Merck license option rights at the end of the Original Agreement tail period with respect to all programs for which no collaboration compound had completed a human proof-of-concept trial by such time, except for Merck-designated programs that Merck was continuing to use commercially reasonable efforts to research and develop.</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evaluated the Original Agreement under ASC 606. The Company identified the following promised goods or services at the inception of the Original Agreement: (i) a license to the Company’s growth differentiation factor 15, or GDF15, agonist program; (ii) a license to pursue research and development and commercialization of small molecule compounds; (iii) the performance of research and development services for five years; (iv) two options to extend performance of the research and development services, each for two additional years; and (v) Merck license options to obtain licenses to collaboration compounds and related molecules after proof-of-concept trials. The Company determined that the GDF15 agonist program license and small molecule program license were not distinct from the research and development services, resulting in these items being combined into a single performance obligation.</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considered whether such options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Original Agreement and, if and when exercised, would be accounted for as separate arrangements under ASC 606.</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a separate arrangement were created by the exercise of such an option, such amounts would be contingent on events outside of either party’s control, such as products proving to be commercially viable and governmental agencies granting regulatory approval. Such contingencies and uncertainties resulted in the amounts being constrained and withheld from inclusion in the estimated transaction price of a separate arrangement. Consequently, the estimated transaction price related to the Original Agreement was comprised of the upfront cash licensing fee of $94.0 million and ongoing research and development reimbursements.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Any fees associated with such options, including upfront fees, funding fees and milestones, were not included in the transaction price related to the Original Agreement as they were associated with options that were not material rights and, thus, were not performance obligations within the Original Agreement. For example, in November 2018, Merck exercised its option for a license to further research and develop MK-3655, an agonistic antibody discovered by the Company that selectively activates fibroblast growth factor receptor 1c-beta-klotho, or FGFR1c/KLB, and other FGFR1c/KLB agonists and paid the Company $20.0 million. The $ 20.0 million license fee for MK-3655 was not included in the transaction price related to the Original Agreement and was instead recognized in the period of exercise in the fourth quarter of 2018 as the Company had no further obligation related to that license. The Phase 3 clinical study for MK-3655 has not begun, and the Company has therefore not made an election as to whether it will participate in the cost and profit share or receive milestone and royalty payments with respect to MK-3655.</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transaction price associated with the initial five-year term of the Original Agreement consisted of the $94.0 million upfront fee and the funding amounts of up to $75.0 million per year for each of the first five years of the Original Agreement. No milestones or other forms of consideration were included in the transaction price related to the Original Agreement as those amounts were contingent upon Merck exercising an option for licenses on collaboration compounds and would, therefore, be pursuant to separate arrangements and not part of the Original Agreement estimated transaction price. As there was only one performance obligation in the Original Agreement, the transaction price was allocated entirely to that performance obligation.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end of the initial five-year term of the Original Agreement, the remaining contract liability amount of $ 4.9 million related to the upfront license fee included within the transaction price as of December 31, 2019 was fully earned and recognized during the three months ended March 31, 2020. The Company has fully recognized revenue of approximately $388.1 million related to the single performance obligation associated with the initial five-year term of the Original Agreement.</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Merck exercising its option to extend the research phase of the collaboration through March 16, 2022, the Company deemed that a separate arrangement containing a two-year performance obligation to provide distinct research and development services was created on March 17, 2020. The transaction price of $170.0 million for this two-year performance obligation under the Original Agreement consisted of the potential funding of amounts of up to $75.0 million per year plus the additional funding amount of $20.0 million to be made during 2021 through to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0" w:name="page21"/>
    <w:bookmarkEnd w:id="20"/>
    <w:p>
      <w:pPr>
        <w:jc w:val="both"/>
        <w:spacing w:after="0" w:line="251" w:lineRule="auto"/>
        <w:rPr>
          <w:sz w:val="20"/>
          <w:szCs w:val="20"/>
          <w:color w:val="auto"/>
        </w:rPr>
      </w:pPr>
      <w:r>
        <w:rPr>
          <w:rFonts w:ascii="Arial" w:cs="Arial" w:eastAsia="Arial" w:hAnsi="Arial"/>
          <w:sz w:val="18"/>
          <w:szCs w:val="18"/>
          <w:color w:val="auto"/>
        </w:rPr>
        <w:t>first quarter of 2022 if the Company exceeded the $75.0 million funding cap. The Company used a cost-based input method to calculate the corresponding amount of revenue to recognize. In applying the cost-based input measure of revenue recognition, the Company measured actual costs incurred relative to budgeted costs to fulfill this distinct two-year performance obligation. These costs consisted of Company employee full-time equivalent hours plus allowable external (third-party) costs incurred. Revenue was recognized based on actual costs incurred as a percentage of total budgeted costs as the Company completed its performance obligation applied to the transaction price. The Company re-evaluated the estimate of expected costs to satisfy the performance obligation each reporting period and made adjustments for any significant changes. In addition, the Company also considered any necessary adjustments in an effort to ensure that the transaction price was within the range of potential funding amounts as described above. As such, management applied considerable judgment in estimating expected costs as such costs were key inputs when applying the cost-based input method. As the Company’s estimated measure of progress was updated at each reporting period and revenue was recognized on a cumulative catch-up basis, a significant change in the estimate of expected costs for the remainder of the contract term could have had a material impact on revenue recognized (including the possible reversal of previously recognized revenue) at each reporting period, as well as the related impact on contract assets and liabilities.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transaction price under the Original Agreement included an additional funding amount of $20.0 million to be made during 2021 and in the first quarter of 2022, the timing of when the revenue was recognized for this additional funding amount for performance of the services and when this additional funding amount can be billed resulted in the recognition of a related party contract asset of $4.6 million at March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Amended Collaboration Agreement.</w:t>
      </w:r>
    </w:p>
    <w:p>
      <w:pPr>
        <w:spacing w:after="0" w:line="1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Under the Original Agreement, Merck was required to notify the Company no later than March 17, 2021 of its unilateral decision whether to exercise its option to extend the research phase of the collaboration for an additional two-year term through March 16, 2024. In March 2021, Merck initiated discussions with the Company with respect to elements of the ongoing collaboration that might be optimized to better address the evolving interests and priorities of both the Company and Merck. On June 30, 2021, the Company and Merck entered into the Amended Collaboration Agreement. Pursuant to the Amended Collaboration Agreement, the prior two-year extension of the research phase under the Original Agreement was deemed to end on March 31, 2021, while a new three-year research phase commenced on April 1, 2021. Under the Original Agreement, all of the Company’s research and development programs, both those existing at the time the Company entered into the Original Agreement and those the Company worked on during the research phase of the collaboration, other than aldafermin, were included within the scope of the collaboration. Under the Amended Collaboration Agreement, the scope of the collaboration and the resulting programs for which Merck has the Merck license option was narrowed. The collaboration as conducted under the Amended Collaboration Agreement, or the continuing collaboration, is focused primarily on the identification, research and development of collaboration compounds directed to targets of interest to Merck in the fields of ophthalmology and cardiovascular or metabolic, or CVM, disease, including heart failure, as well as certain laboratory testing and other activities on molecules that are directed to one of up to two undisclosed targets outside of the fields of ophthalmology and CVM disease, referred to as the lab programs. The ophthalmology compounds in the continuing collaboration include NGM621, an ophthalmology compound in a Phase 2 clinical trial, and its related molecules, and compounds directed against two other undisclosed ophthalmology targets and their related molecules. Collaboration compounds that remain within the scope of the continuing collaboration under the Amended Collaboration Agreement are referred to as continuing collaboration compounds. Given the narrowed research scope under the Amended Collaboration Agreement, the Company has the right, in its sole discretion, to independently research, develop and commercialize the collaboration compounds known as NGM120, NGM707, NGM831 and NGM438, their related molecules and all other preclinical and research assets that the Company researched or developed under the Original Agreement but that are not included within the research and development scope of the continuing collaboration, which are referred to as the released NGM compounds. Merck retained the right to receive royalties at low single 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Amended Collaboration Agreement, Merck continues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molecules (each such continuing collaboration compound and its related molecules are referred to generally as a continuing program). In addition,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18"/>
          <w:szCs w:val="18"/>
          <w:color w:val="auto"/>
        </w:rPr>
        <w:t>under the terms of the Amended Collaboration Agreement, new CVM-related programs may be added to the continuing collaboration if recommended by the Company and selected by Merck, and Merck would have a Merck license option to such CVM-related continuing program. Merck has a one-time right to exercise its Merck license option, during the research phase or a tail period following such research phase, as applicable, for any continuing collaboration compound on a continuing program-by-continuing program basis when the Company or Merck achieves the specified Merck license option exercise point. The Merck license option exercise point for collaboration compounds under the Original Agreement was the completion of a human proof-of-concept trial. This generally continues to be the Merck license option exercise point under the Amended Collaboration Agreement for continuing collaboration compounds that are directed to ophthalmology targets, including NGM621 and its related molecules and all of the continuing collaboration compounds from two other ophthalmology continuing programs directed against undisclosed ophthalmology targets and their related molecules (including NGM621 and its related molecules, collectively referred to as the continuing ophthalmology collaboration compounds). Upon the completion of the ongoing Phase 2 NGM621 CATALINA clinical trial, Merck will have an additional one-time option to obtain an exclusive, worldwide license to all of the continuing ophthalmology collaboration compounds together, referred to as the ophthalmology bundle option. If Merck does not exercise this one-time ophthalmology bundle option for all continuing ophthalmology collaboration compounds, it may nevertheless exercise its regular Merck license option with respect to NGM621 and its related molecules at such time, and it may also exercise its regular Merck license option for the continuing ophthalmology collaboration compounds from each of the other two programs if a continuing ophthalmology collaboration compound from such continuing program completes a human proof-of-concept trial. Unlike the Original Agreement, 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was the case under the Original Agreement, under the Amended Collaboration Agreement, if Merck exercises a Merck license option and obtains the relevant exclusive, worldwide license for a continuing collaboration compound and its related molecules,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Agreement. Except for the bundle option, the amount of the option exercise fees for continuing ophthalmology collaboration compounds upon completion of a human proof-of-concept trial remains the same under the Amended Collaboration Agreement as under the Original Agreement. If Merck exercises the ophthalmology bundle option, it will pay the Company either $40.0 million or $45.0 million as the Merck license option exercise fee, depending upon the stage of development of one of the two earlier stage ophthalmology programs that is included in the ophthalmology bundle option. Under the Amended Collaboration Agreement, if Merck exercises the Merck license option for a continuing collaboration compound from a CVM-related continuing program or a lab program, Merck will pay the Company a $6.0 million option exercise fee at the time of selection to progress such licensed continuing collaboration compound or any of its related molecules into preclinical development and an additional $10.0 million milestone payment if such continuing collaboration compounds or one of its related molecules subsequently completes a human proof-of-concept trial.</w:t>
      </w:r>
    </w:p>
    <w:p>
      <w:pPr>
        <w:spacing w:after="0" w:line="1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the parties’ rights and obligations with respect to MK-3655 and related FGFR1c/KLB agonists for which Merck exercised its Merck license option in November 2018 did not change as compared to the Original Agreement.</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will provide up to $ 86.0 million in research funding for the four calendar quarters ending March 31, 2022, which includes the remaining $16.0 million of the up to $20.0 million in additional payments Merck agreed to pay as part of exercising its first option to extend the research phase of the collaboration under the Original Agreement for two years through March 16, 2022. The Company is obligated to use commercially reasonable efforts to expend $35.0 million of such funding during the same time frame on the ophthalmology- and CVM-related continuing programs and the lab programs. The Company is permitted to use the remaining research funding provided by Merck during such time frame to advance the released NGM compounds. During the remaining two years of the research phase after March 2022, Merck will provide up to a total of $20.0 million in research funding for the ophthalmology- and CVM-related continuing programs. Merck will also fund the research and development costs related to NGM621 during the earlier of the remaining two years of the research phase after March 2022 or until Merck exercises, or decides not to exercise, its license option with respect to NGM621, subject to certain limitations. After March 2022, the Company will use its own funding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8"/>
          <w:szCs w:val="18"/>
          <w:color w:val="auto"/>
        </w:rPr>
        <w:t>complete the work needed to be ready to submit an investigational new drug application, or IND, for a specific continuing collaboration compound included in one of the two earlier stage ophthalmology-related continuing programs and it will use commercially reasonable efforts to complete such work by March 31, 2023. If Merck exercises its regular Merck license option with respect to NGM621 or the ophthalmology bundle option for all of the continuing ophthalmology collaboration compounds upon completion of the ongoing Phase 2 CATALINA clinical trial of NGM621 and pays the applicable option exercise fee to the Company, then the Company will be obligated to reinvest $5.0 million or up to $15.0 million, respectively, of such option fee to fund research on the ophthalmology- and CVM-related continuing programs.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the research phase for the ophthalmology-related continuing programs will end no later than March 31, 2024. The research phase for the CVM-related continuing programs will also continue until March 31, 2024, unless the parties mutually agree to extend the research phase to March 31, 2026, in which case Merck will provide up to a total of $20.0 million in research funding during those additional two years. The research phase for the lab programs will end no later than December 31, 2022.</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under the Original Agreement, Merck has the right under the Amended Collaboration Agreement to review the then-ongoing continuing programs in the three-month period before the end of applicable research phase and to elect to designate one or more continuing programs for which research and development would continue to be conducted, until the applicable Merck license option exercise point is reached, for up to three years after the end of such research phase, with the possibility of extension if the Company is conducting ongoing ophthalmology clinical trials, if Merck is using commercially reasonable efforts to progress one or more ophthalmology-related continuing programs, or if Merck determines to continue progressing a CVM-related continuing program or lab program toward the nomination of a research program development candidate, and any such extension is referred to as an Amended Collaboration Agreement tail period. Under the Amended Collaboration Agreement, the Amended Collaboration Agreement tail period, if any, for the ophthalmology-related continuing programs would be separate from the Amended Collaboration Agreement tail period, if any, for the CVM-related continuing programs or any lab program, and Merck would be primarily responsible for performing all research and development activities, itself or through third party contractors, during the Amended Collaboration Agreement tail period, if any, for the CVM-related continuing programs or any lab program.</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concluded that the Amended Collaboration Agreement is a separate arrangement containing a three-year performance obligation to provide distinct research and development services in accordance with ASC 606. The total transaction price under the Amended Collaboration Agreement is $126.1 million and represents the sum of potential funding amounts, including $86.0 million in research funding for the four calendar quarters ending March 31, 2022, $20.0 million in research funding for the ophthalmology- and CVM-related continuing programs during the remaining two years of the research phase after March 2022 and $20.1 million in estimated NGM621 reimbursable expenses also during the remaining two years of the research phase after March 2022. The Company will continue to re-evaluate the transaction price as uncertain events are resolved or other changes in circumstances occur. The Company continues performing a series of research and development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Merck exercises its regular Merck license option for NGM621 or the ophthalmology bundle option for all of the continuing ophthalmology collaboration compounds upon completion of the Phase 2 CATALINA clinical trial and pays the applicable Merck license option exercise fee to the Company, this would not result in a modification of the contract as total contract consideration and the Company's performance obligation under the Amended Collaboration Agreement will not change.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March 31, 2021, the Company had a contract asset of $4.6 million under the prior two-year extension of the research phase under the Original Agreement which, under the Amended Collaboration Agreement, was no longer billable to Merck at any point and therefore was recorded as a reduction in both the transaction price under the Original Agreement and revenue on June 30, 2021.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for each of the first three indications is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Third</w:t>
            </w:r>
          </w:p>
        </w:tc>
      </w:tr>
      <w:tr>
        <w:trPr>
          <w:trHeight w:val="230"/>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Indication</w:t>
            </w:r>
          </w:p>
        </w:tc>
      </w:tr>
      <w:tr>
        <w:trPr>
          <w:trHeight w:val="168"/>
        </w:trPr>
        <w:tc>
          <w:tcPr>
            <w:tcW w:w="6660" w:type="dxa"/>
            <w:vAlign w:val="bottom"/>
            <w:tcBorders>
              <w:top w:val="single" w:sz="8" w:color="CCEEFF"/>
            </w:tcBorders>
            <w:shd w:val="clear" w:color="auto" w:fill="CCEEFF"/>
          </w:tcPr>
          <w:p>
            <w:pPr>
              <w:ind w:left="80"/>
              <w:spacing w:after="0" w:line="168"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clinical trial for such product for the given indication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188"/>
        </w:trPr>
        <w:tc>
          <w:tcPr>
            <w:tcW w:w="6660" w:type="dxa"/>
            <w:vAlign w:val="bottom"/>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CVM-related research</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6660" w:type="dxa"/>
            <w:vAlign w:val="bottom"/>
          </w:tcPr>
          <w:p>
            <w:pPr>
              <w:ind w:left="80"/>
              <w:spacing w:after="0"/>
              <w:rPr>
                <w:sz w:val="20"/>
                <w:szCs w:val="20"/>
                <w:color w:val="auto"/>
              </w:rPr>
            </w:pPr>
            <w:r>
              <w:rPr>
                <w:rFonts w:ascii="Arial" w:cs="Arial" w:eastAsia="Arial" w:hAnsi="Arial"/>
                <w:sz w:val="18"/>
                <w:szCs w:val="18"/>
                <w:color w:val="auto"/>
              </w:rPr>
              <w:t>program development candidate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certain research</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development candidate for a lab program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A breakout of the aggregate milestone payments in connection with the potential achievement of both acceptance of an application for and receipt of regulatory approval for each of the first three indications, for each of the three geographic areas, is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center"/>
              <w:ind w:right="235"/>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r>
    </w:tbl>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the three and nine months ended September 30, 2021, the Company recognized collaboration and license revenue of $18.6 million and $56.9 million, respectively, primarily related to reimbursable research and development activities associated with the performance obligation for the two-year extension period through March 31, 2021 under the Original Agreement and from April 1, 2021 through September 30, 2021 under the Amended Collaboration Agreement, all of which were recognized using the cost-based input model. For the nine months ended September 30, 2020, collaboration and license revenue under the Original Agreement included $4.9 million related to the upfront license fee under the initial five-year term that ended in March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September 30, 2021, the Company did not have a related party contract asset. As of December 31, 2020, the Company had a related party contract asset of $6.1 million.</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As of September 30, 2021, the Company had a contract liability of $12.3 million. The Company did not have a contract liability as of December 31,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2015, the Company entered into an operating lease agreement, or the 333 Oyster Point lease agreement, for its corporate office space and laboratory facility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third anniversary and fourth anniversary of the rent commencement date. In 2020, the Company reduced its letter of credit by $0.4 million and reclassified that amount from restricted cash to cash and cash equivalents on the condensed consolidated balance sheets.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September 2009, the Company entered into an operating lease agreement, or the 630 Gateway lease agreement, for a corporate office space and laboratory facility at 630 Gateway Blvd., in South San Francisco, California for approximately 50,000 square feet, which was amended in June 2014. In July 2016, the Company assigned the 630 Gateway lease agreement to Merck as part of the Company’s relocation to the 333 Oyster Point facility. The 630 Gateway lease agreement expired in November 2020. Following expiration of the 630 Gateway lease agreement, the Company retains the obligation to indemnify the landlord and Merck under certain limited circumstances, but has no further payment obligations.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the three-month periods ended September 30, 2021 and 2020 and approximately $1.6 million for the nine-month periods ended September 30, 2021 and 2020.</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September 30,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76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w:t>
            </w:r>
          </w:p>
        </w:tc>
      </w:tr>
      <w:tr>
        <w:trPr>
          <w:trHeight w:val="21"/>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fix the number, rights, preferences, privileges and restrictions for such series. These rights, preferences and privileges could include dividend rights, conversion rights, voting rights, terms of redemption, liquidation preferences and sinking fund terms. As of September 30, 2021, the Company did not have any shares of preferred stock issued or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the Company sold 5,324,074 shares of its common stock through an underwritten public offering at a price to the public of $27.00 per share for aggregate net proceeds to the Company of $134.6 million, after deducting underwriting discounts and commissions and other offering expenses paid by the Company. The offering closed on January 8, 2021.</w:t>
      </w:r>
    </w:p>
    <w:p>
      <w:pPr>
        <w:spacing w:after="0" w:line="20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As of September 30, 2021 and December 31, 2020, the Company had 77,642,628 and 70,585,364 shares of common stock outstanding, respectively, which included shares subject to repurchase of 376 and 6,508, respectively, as a result of early exercise of stock options not yet vested.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and December 31, 2020, the Company had reserved shares of common stock for issuance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for Sales Agreement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14,182,900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14,190,300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10,660,410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10,017,918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6,739,933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6,186,497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640" w:type="dxa"/>
            <w:vAlign w:val="bottom"/>
          </w:tcPr>
          <w:p>
            <w:pPr>
              <w:jc w:val="right"/>
              <w:spacing w:after="0"/>
              <w:rPr>
                <w:sz w:val="20"/>
                <w:szCs w:val="20"/>
                <w:color w:val="auto"/>
              </w:rPr>
            </w:pPr>
            <w:r>
              <w:rPr>
                <w:rFonts w:ascii="Arial" w:cs="Arial" w:eastAsia="Arial" w:hAnsi="Arial"/>
                <w:sz w:val="18"/>
                <w:szCs w:val="18"/>
                <w:color w:val="auto"/>
              </w:rPr>
              <w:t>590,219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700,074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Matching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32,191,275</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31,116,719</w:t>
            </w:r>
          </w:p>
        </w:tc>
      </w:tr>
      <w:tr>
        <w:trPr>
          <w:trHeight w:val="20"/>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 During the nine months ended September 30, 2021, 7,400 shares of the Company's common stock were sold pursuant to the Sales Agreement. As of September 30, 2021, $127.2 million of the Company’s common stock remained available to be sold under the Sales Agreement, subject to conditions specified in the Sales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6" w:name="page27"/>
    <w:bookmarkEnd w:id="26"/>
    <w:p>
      <w:pPr>
        <w:jc w:val="both"/>
        <w:spacing w:after="0" w:line="252" w:lineRule="auto"/>
        <w:rPr>
          <w:sz w:val="20"/>
          <w:szCs w:val="20"/>
          <w:color w:val="auto"/>
        </w:rPr>
      </w:pPr>
      <w:r>
        <w:rPr>
          <w:rFonts w:ascii="Arial" w:cs="Arial" w:eastAsia="Arial" w:hAnsi="Arial"/>
          <w:sz w:val="18"/>
          <w:szCs w:val="18"/>
          <w:color w:val="auto"/>
        </w:rPr>
        <w:t>termination of the purchaser’s employment or services, at the price paid by the purchaser, and are not deemed to be issued for accounting purposes until those related shares vest. The amounts received in exchange for these shares have been recorded as a liability on the condensed consolidated balance sheets and will be reclassified into Company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ectPr>
          <w:pgSz w:w="11900" w:h="16838" w:orient="portrait"/>
          <w:cols w:equalWidth="0" w:num="1">
            <w:col w:w="11240"/>
          </w:cols>
          <w:pgMar w:left="320" w:top="1016" w:right="3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6"/>
          <w:szCs w:val="16"/>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1885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Weighted</w:t>
      </w:r>
    </w:p>
    <w:p>
      <w:pPr>
        <w:jc w:val="right"/>
        <w:ind w:right="60"/>
        <w:spacing w:after="0" w:line="211" w:lineRule="auto"/>
        <w:rPr>
          <w:sz w:val="20"/>
          <w:szCs w:val="20"/>
          <w:color w:val="auto"/>
        </w:rPr>
      </w:pPr>
      <w:r>
        <w:rPr>
          <w:rFonts w:ascii="Arial" w:cs="Arial" w:eastAsia="Arial" w:hAnsi="Arial"/>
          <w:sz w:val="16"/>
          <w:szCs w:val="16"/>
          <w:b w:val="1"/>
          <w:bCs w:val="1"/>
          <w:color w:val="auto"/>
        </w:rPr>
        <w:t>Average</w:t>
      </w:r>
    </w:p>
    <w:p>
      <w:pPr>
        <w:jc w:val="right"/>
        <w:ind w:right="40"/>
        <w:spacing w:after="0" w:line="211" w:lineRule="auto"/>
        <w:tabs>
          <w:tab w:leader="none" w:pos="680" w:val="left"/>
        </w:tabs>
        <w:rPr>
          <w:sz w:val="20"/>
          <w:szCs w:val="20"/>
          <w:color w:val="auto"/>
        </w:rPr>
      </w:pPr>
      <w:r>
        <w:rPr>
          <w:rFonts w:ascii="Arial" w:cs="Arial" w:eastAsia="Arial" w:hAnsi="Arial"/>
          <w:sz w:val="16"/>
          <w:szCs w:val="16"/>
          <w:b w:val="1"/>
          <w:bCs w:val="1"/>
          <w:color w:val="auto"/>
        </w:rPr>
        <w:t>Number of</w:t>
      </w:r>
      <w:r>
        <w:rPr>
          <w:sz w:val="20"/>
          <w:szCs w:val="20"/>
          <w:color w:val="auto"/>
        </w:rPr>
        <w:tab/>
      </w:r>
      <w:r>
        <w:rPr>
          <w:rFonts w:ascii="Arial" w:cs="Arial" w:eastAsia="Arial" w:hAnsi="Arial"/>
          <w:sz w:val="16"/>
          <w:szCs w:val="16"/>
          <w:b w:val="1"/>
          <w:bCs w:val="1"/>
          <w:color w:val="auto"/>
        </w:rPr>
        <w:t>Exercise</w:t>
      </w:r>
    </w:p>
    <w:p>
      <w:pPr>
        <w:ind w:left="5580"/>
        <w:spacing w:after="0"/>
        <w:tabs>
          <w:tab w:leader="none" w:pos="7220" w:val="left"/>
        </w:tabs>
        <w:rPr>
          <w:sz w:val="20"/>
          <w:szCs w:val="20"/>
          <w:color w:val="auto"/>
        </w:rPr>
      </w:pPr>
      <w:r>
        <w:rPr>
          <w:rFonts w:ascii="Arial" w:cs="Arial" w:eastAsia="Arial" w:hAnsi="Arial"/>
          <w:sz w:val="16"/>
          <w:szCs w:val="16"/>
          <w:b w:val="1"/>
          <w:bCs w:val="1"/>
          <w:color w:val="auto"/>
        </w:rPr>
        <w:t>Options</w:t>
      </w:r>
      <w:r>
        <w:rPr>
          <w:sz w:val="20"/>
          <w:szCs w:val="20"/>
          <w:color w:val="auto"/>
        </w:rPr>
        <w:tab/>
      </w:r>
      <w:r>
        <w:rPr>
          <w:rFonts w:ascii="Arial" w:cs="Arial" w:eastAsia="Arial" w:hAnsi="Arial"/>
          <w:sz w:val="16"/>
          <w:szCs w:val="16"/>
          <w:b w:val="1"/>
          <w:bCs w:val="1"/>
          <w:color w:val="auto"/>
        </w:rPr>
        <w:t>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w:t>
            </w:r>
          </w:p>
        </w:tc>
        <w:tc>
          <w:tcPr>
            <w:tcW w:w="13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Average</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Remaining</w:t>
            </w:r>
          </w:p>
        </w:tc>
        <w:tc>
          <w:tcPr>
            <w:tcW w:w="134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Contractual Life</w:t>
            </w:r>
          </w:p>
        </w:tc>
        <w:tc>
          <w:tcPr>
            <w:tcW w:w="13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5"/>
        </w:trPr>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(In Years)</w:t>
            </w:r>
          </w:p>
        </w:tc>
        <w:tc>
          <w:tcPr>
            <w:tcW w:w="1340" w:type="dxa"/>
            <w:vAlign w:val="bottom"/>
          </w:tcPr>
          <w:p>
            <w:pPr>
              <w:jc w:val="center"/>
              <w:ind w:lef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00" w:space="560"/>
            <w:col w:w="2880"/>
          </w:cols>
          <w:pgMar w:left="320" w:top="1016"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10,017,918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w:t>
            </w: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2,762,183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10,660,410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8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September 30, 2021</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10,467,350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15.46</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80,604</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8,647,960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2021 and 2020 was $18.89 per share and $10.32 per share, respectively. The intrinsic value of stock options exercised during the nine months ended September 30, 2021 and 2020 was $ 31.5 million and $27.0 million, respectively. Due to the Company’s net operating losses, the Company did not realize any tax benefits from stock-based payment arrangements for the three and nine months ended September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Employee and director stock-based compensation expense for the three and nine months ended September 30, 2021 and 2020 was calculated based on awards previously granted to employees and directors that are ultimately expected to vest and has been reduced for estimated forfeitures.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and director stock-based compensation expense was allocated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44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spacing w:after="0"/>
              <w:rPr>
                <w:sz w:val="20"/>
                <w:szCs w:val="20"/>
                <w:color w:val="auto"/>
              </w:rPr>
            </w:pPr>
            <w:r>
              <w:rPr>
                <w:rFonts w:ascii="Arial" w:cs="Arial" w:eastAsia="Arial" w:hAnsi="Arial"/>
                <w:sz w:val="18"/>
                <w:szCs w:val="18"/>
                <w:color w:val="auto"/>
              </w:rPr>
              <w:t>3,319</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r>
      <w:tr>
        <w:trPr>
          <w:trHeight w:val="230"/>
        </w:trPr>
        <w:tc>
          <w:tcPr>
            <w:tcW w:w="52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1,867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r>
      <w:tr>
        <w:trPr>
          <w:trHeight w:val="248"/>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6,292</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3,984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11,339</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September 30, 2021, 409,781 shares of common stock had been purchased under the ESPP.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8.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2021. Additionally, the Company’s net deferred tax assets have been fully offset by a valuation allowance. Therefore, the Company did not record a tax provision for income taxes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the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2020 included in our Annual Report on Form 10-K filed with the Securities and Exchange Commission, or SEC, on March 15, 2021.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“believe,” “continue,” “could,” “estimate,” “expect,” “intend,” “may,” “plan,” “potentially,” “predict,” “should,” “will” or the negative of these terms or other similar expressions.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retinal diseases, cancer and liver and metabolic diseases. These diseases represent a significant burden for patients and healthcare systems and, in some cases, are leading causes of morbidity and mortality. Our strategy is to leverage a combination of interrogating human biology and engineering powerful biologics to discover and develop promising product candidates and seek to move them rapidly into proof-of-concept studies and late-stage development, with the goal of delivering impactful first-in-class or best-in-class treatments to underserved patients suffering from grievous diseases. Since the commencement of our operations in 2008, we have generated a robust portfolio of product candidates ranging from early discovery to late-stage development. We aspire to operate one of the most productive research and development engines in the biopharmaceutical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Operational Updates and Financial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have five product candidates in the clinic, including four Phase 2 and Phase 2b programs, two wholly-owned by us (NGM120 and aldafermin), one being progressed by our collaborator, Merck Sharp &amp; Dohme Corp., or Merck (MK-3655), and one optionable by Merck (NGM621), and one in the Phase 1 component of a Phase 1/2 trial (NGM707). In addition, we have two wholly-owned product candidates expected to enter the clinic in the first half of 2022.</w:t>
      </w:r>
    </w:p>
    <w:p>
      <w:pPr>
        <w:spacing w:after="0" w:line="7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300" w:hanging="320"/>
        <w:spacing w:after="0" w:line="267"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inhibit the activity of complement C3 with the treatment goal of reducing disease progression in patients with geographic atrophy, or GA, secondary to age-related macular degeneration. The Phase 2 CATALINA clinical trial to assess NGM621's effect on patients with GA is ongoing.</w:t>
      </w:r>
    </w:p>
    <w:p>
      <w:pPr>
        <w:spacing w:after="0" w:line="86" w:lineRule="exact"/>
        <w:rPr>
          <w:rFonts w:ascii="Arial" w:cs="Arial" w:eastAsia="Arial" w:hAnsi="Arial"/>
          <w:sz w:val="18"/>
          <w:szCs w:val="18"/>
          <w:color w:val="auto"/>
        </w:rPr>
      </w:pPr>
    </w:p>
    <w:p>
      <w:pPr>
        <w:jc w:val="both"/>
        <w:ind w:left="1960" w:hanging="332"/>
        <w:spacing w:after="0" w:line="254" w:lineRule="auto"/>
        <w:tabs>
          <w:tab w:leader="none" w:pos="1956" w:val="left"/>
        </w:tabs>
        <w:numPr>
          <w:ilvl w:val="2"/>
          <w:numId w:val="4"/>
        </w:numPr>
        <w:rPr>
          <w:rFonts w:ascii="Arial" w:cs="Arial" w:eastAsia="Arial" w:hAnsi="Arial"/>
          <w:sz w:val="18"/>
          <w:szCs w:val="18"/>
          <w:color w:val="auto"/>
        </w:rPr>
      </w:pPr>
      <w:r>
        <w:rPr>
          <w:rFonts w:ascii="Arial" w:cs="Arial" w:eastAsia="Arial" w:hAnsi="Arial"/>
          <w:sz w:val="18"/>
          <w:szCs w:val="18"/>
          <w:color w:val="auto"/>
        </w:rPr>
        <w:t>NGM621 is within the scope of the amended and restated research collaboration, product development and license agreement, or the Amended Collaboration Agreement, with Merck, and Merck has a one-time option to license NGM621 and its related molecules upon completion of the Phase 2 CATALINA clinical trial, as well as the additional one-time option at that time to license NGM621 together with all of the ophthalmology continuing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9" w:name="page30"/>
    <w:bookmarkEnd w:id="29"/>
    <w:p>
      <w:pPr>
        <w:ind w:left="1628"/>
        <w:spacing w:after="0" w:line="261" w:lineRule="auto"/>
        <w:rPr>
          <w:sz w:val="20"/>
          <w:szCs w:val="20"/>
          <w:color w:val="auto"/>
        </w:rPr>
      </w:pPr>
      <w:r>
        <w:rPr>
          <w:rFonts w:ascii="Arial" w:cs="Arial" w:eastAsia="Arial" w:hAnsi="Arial"/>
          <w:sz w:val="18"/>
          <w:szCs w:val="18"/>
          <w:color w:val="auto"/>
        </w:rPr>
        <w:t>collaboration compounds and their respective related molecules included within the scope of the Amended Collaboration Agreement.</w:t>
      </w:r>
    </w:p>
    <w:p>
      <w:pPr>
        <w:spacing w:after="0" w:line="90" w:lineRule="exact"/>
        <w:rPr>
          <w:sz w:val="20"/>
          <w:szCs w:val="20"/>
          <w:color w:val="auto"/>
        </w:rPr>
      </w:pPr>
    </w:p>
    <w:p>
      <w:pPr>
        <w:jc w:val="both"/>
        <w:ind w:left="1628" w:hanging="332"/>
        <w:spacing w:after="0" w:line="254"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date in 2021, we have completed enrollment of the Phase 2 CATALINA clinical trial, enrolling 320 patients, which is more than the originally planned 240 patients. The CATALINA trial was designed to be a Phase 3-supportive or - enabling clinical trial and is evaluating NGM621’s safety and effects on disease progression when given every four weeks or every eight weeks compared to matched sham injection control groups.</w:t>
      </w:r>
    </w:p>
    <w:p>
      <w:pPr>
        <w:spacing w:after="0" w:line="73" w:lineRule="exact"/>
        <w:rPr>
          <w:rFonts w:ascii="Arial" w:cs="Arial" w:eastAsia="Arial" w:hAnsi="Arial"/>
          <w:sz w:val="18"/>
          <w:szCs w:val="18"/>
          <w:color w:val="auto"/>
        </w:rPr>
      </w:pPr>
    </w:p>
    <w:p>
      <w:pPr>
        <w:ind w:left="1608" w:hanging="312"/>
        <w:spacing w:after="0"/>
        <w:tabs>
          <w:tab w:leader="none" w:pos="1608"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anticipate a readout of the CATALINA trial topline data in the second half of 2022.</w:t>
      </w:r>
    </w:p>
    <w:p>
      <w:pPr>
        <w:spacing w:after="0" w:line="11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 Our oncology product candidates NGM120, NGM707, NGM831 and NGM438 and their related molecules are wholly-owned by us.</w:t>
      </w:r>
    </w:p>
    <w:p>
      <w:pPr>
        <w:spacing w:after="0" w:line="44" w:lineRule="exact"/>
        <w:rPr>
          <w:rFonts w:ascii="Arial" w:cs="Arial" w:eastAsia="Arial" w:hAnsi="Arial"/>
          <w:sz w:val="18"/>
          <w:szCs w:val="18"/>
          <w:b w:val="1"/>
          <w:bCs w:val="1"/>
          <w:color w:val="auto"/>
        </w:rPr>
      </w:pPr>
    </w:p>
    <w:p>
      <w:pPr>
        <w:jc w:val="both"/>
        <w:ind w:left="968" w:hanging="320"/>
        <w:spacing w:after="0" w:line="267" w:lineRule="auto"/>
        <w:tabs>
          <w:tab w:leader="none" w:pos="1005"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 antibody that binds to glial cell-derived neurotrophic factor receptor alpha-like, or</w:t>
      </w:r>
      <w:r>
        <w:rPr>
          <w:rFonts w:ascii="Arial" w:cs="Arial" w:eastAsia="Arial" w:hAnsi="Arial"/>
          <w:sz w:val="18"/>
          <w:szCs w:val="18"/>
          <w:b w:val="1"/>
          <w:bCs w:val="1"/>
          <w:color w:val="auto"/>
        </w:rPr>
        <w:t xml:space="preserve"> </w:t>
      </w:r>
      <w:r>
        <w:rPr>
          <w:rFonts w:ascii="Arial" w:cs="Arial" w:eastAsia="Arial" w:hAnsi="Arial"/>
          <w:sz w:val="18"/>
          <w:szCs w:val="18"/>
          <w:color w:val="auto"/>
        </w:rPr>
        <w:t>GFRAL, and inhibits growth differentiation factor 15, or GDF15, signaling, for the potential treatment of cancer and cancer-related cachexia. We are currently conducting the Phase 1/2 PINNACLES clinical trial to assess NGM120’s effect on cancer-related cachexia and on cancer in patients with select advanced solid tumors and metastatic pancreatic cancer.</w:t>
      </w:r>
    </w:p>
    <w:p>
      <w:pPr>
        <w:spacing w:after="0" w:line="99" w:lineRule="exact"/>
        <w:rPr>
          <w:rFonts w:ascii="Arial" w:cs="Arial" w:eastAsia="Arial" w:hAnsi="Arial"/>
          <w:sz w:val="18"/>
          <w:szCs w:val="18"/>
          <w:color w:val="auto"/>
        </w:rPr>
      </w:pPr>
    </w:p>
    <w:p>
      <w:pPr>
        <w:jc w:val="both"/>
        <w:ind w:left="1628" w:hanging="332"/>
        <w:spacing w:after="0" w:line="254"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color w:val="auto"/>
        </w:rPr>
        <w:t>We are continuing enrollment in a Phase 2 placebo-controlled component of the ongoing PINNACLES clinical trial. This Phase 2 component of the PINNACLES trial is testing NGM120 in combination with gemcitabine and Nab-paclitaxel as first-line treatment in patients with metastatic pancreatic cancer to assess NGM120’s effect on both cancer and cancer-related cachexia.</w:t>
      </w:r>
    </w:p>
    <w:p>
      <w:pPr>
        <w:spacing w:after="0" w:line="95" w:lineRule="exact"/>
        <w:rPr>
          <w:rFonts w:ascii="Arial" w:cs="Arial" w:eastAsia="Arial" w:hAnsi="Arial"/>
          <w:sz w:val="18"/>
          <w:szCs w:val="18"/>
          <w:color w:val="auto"/>
        </w:rPr>
      </w:pPr>
    </w:p>
    <w:p>
      <w:pPr>
        <w:jc w:val="both"/>
        <w:ind w:left="1628" w:hanging="332"/>
        <w:spacing w:after="0" w:line="252" w:lineRule="auto"/>
        <w:tabs>
          <w:tab w:leader="none" w:pos="1665"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September 2021, at the European Society for Medical Oncology, or ESMO, Virtual Congress, we reported preliminary findings from two Phase 1 dose-escalation cohorts of the PINNACLES trial, including a Phase 1a cohort evaluating NGM120 as a monotherapy in patients with select advanced solid tumors and a Phase 1b cohort evaluating NGM120 in combination with gemcitabine and Nab-paclitaxel in patients with metastatic pancreatic cancer. The preliminary results reported at ESMO showed that NGM120 was well tolerated with no dose-limiting toxicities and provided encouraging initial signals of anti-cancer activity in patients with advanced solid tumors.</w:t>
      </w:r>
    </w:p>
    <w:p>
      <w:pPr>
        <w:spacing w:after="0" w:line="77" w:lineRule="exact"/>
        <w:rPr>
          <w:rFonts w:ascii="Arial" w:cs="Arial" w:eastAsia="Arial" w:hAnsi="Arial"/>
          <w:sz w:val="18"/>
          <w:szCs w:val="18"/>
          <w:color w:val="auto"/>
        </w:rPr>
      </w:pPr>
    </w:p>
    <w:p>
      <w:pPr>
        <w:ind w:left="1628" w:right="20" w:hanging="332"/>
        <w:spacing w:after="0" w:line="287"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plan to report final results from the Phase 1a and Phase 1b cohorts of the PINNACLES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all patients have completed treatment and follow-up pursuant to the trial protocol.</w:t>
      </w:r>
    </w:p>
    <w:p>
      <w:pPr>
        <w:spacing w:after="0" w:line="44" w:lineRule="exact"/>
        <w:rPr>
          <w:rFonts w:ascii="Arial" w:cs="Arial" w:eastAsia="Arial" w:hAnsi="Arial"/>
          <w:sz w:val="18"/>
          <w:szCs w:val="18"/>
          <w:color w:val="auto"/>
        </w:rPr>
      </w:pPr>
    </w:p>
    <w:p>
      <w:pPr>
        <w:jc w:val="both"/>
        <w:ind w:left="968" w:hanging="320"/>
        <w:spacing w:after="0" w:line="259" w:lineRule="auto"/>
        <w:tabs>
          <w:tab w:leader="none" w:pos="978"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 is a dual antagonist antibody that is designed to inhibit Immunoglobulin-like transcript 2, or ILT2 (also</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LILRB1), and Immunoglobulin-like transcript 4, or ILT4 (also known as LILRB2). ILT2 and ILT4 are key myeloid and lymphoid checkpoints that may restrict anti-tumor immunity, enable tumors to evade immune detection and contribute to resistance to T-cell checkpoint inhibitors. Designed to inhibit these key checkpoints, NGM707 has the potential to both reverse myeloid suppression as well as to promote direct tumor cell killing by T and NK cells.</w:t>
      </w:r>
    </w:p>
    <w:p>
      <w:pPr>
        <w:spacing w:after="0" w:line="93" w:lineRule="exact"/>
        <w:rPr>
          <w:sz w:val="20"/>
          <w:szCs w:val="20"/>
          <w:color w:val="auto"/>
        </w:rPr>
      </w:pPr>
    </w:p>
    <w:p>
      <w:pPr>
        <w:jc w:val="both"/>
        <w:ind w:left="1628" w:hanging="332"/>
        <w:spacing w:after="0" w:line="256" w:lineRule="auto"/>
        <w:tabs>
          <w:tab w:leader="none" w:pos="1651"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June 2021, we initiated the Phase 1 component of a first-in-human Phase 1/2 clinical trial that will evaluate NGM707 as a monotherapy and in combination with KEYTRUDA® (pembrolizumab) for the treatment of patients with advanced solid tumors. We expect to enroll approximately 180 patients in this trial.</w:t>
      </w:r>
    </w:p>
    <w:p>
      <w:pPr>
        <w:spacing w:after="0" w:line="71" w:lineRule="exact"/>
        <w:rPr>
          <w:rFonts w:ascii="Arial" w:cs="Arial" w:eastAsia="Arial" w:hAnsi="Arial"/>
          <w:sz w:val="18"/>
          <w:szCs w:val="18"/>
          <w:color w:val="auto"/>
        </w:rPr>
      </w:pPr>
    </w:p>
    <w:p>
      <w:pPr>
        <w:jc w:val="both"/>
        <w:ind w:left="968" w:hanging="320"/>
        <w:spacing w:after="0" w:line="257" w:lineRule="auto"/>
        <w:tabs>
          <w:tab w:leader="none" w:pos="99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NGM831</w:t>
      </w:r>
      <w:r>
        <w:rPr>
          <w:rFonts w:ascii="Arial" w:cs="Arial" w:eastAsia="Arial" w:hAnsi="Arial"/>
          <w:sz w:val="18"/>
          <w:szCs w:val="18"/>
          <w:color w:val="auto"/>
        </w:rPr>
        <w:t>. In August 2021, we disclosed our fourth oncology development candidate, NGM831, an antagonist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block the interaction of Immunoglobulin-like transcript 3, or ILT3 (also known as LILRB4), with fibronectin, as well as with other ligands. ILT3-fibronectin interactions within the tumor microenvironment may form a stromal checkpoint that actively suppresses myeloid cell function and inhibits antitumor immunity. By inhibiting ILT3's interaction with fibronectin and its other ligands, NGM831 has the potential to mobilize a patient's own immune system to fight tumors by shifting myeloid cells from a suppressive state to a stimulatory state and promoting antitumor activity.</w:t>
      </w:r>
    </w:p>
    <w:p>
      <w:pPr>
        <w:spacing w:after="0" w:line="65" w:lineRule="exact"/>
        <w:rPr>
          <w:sz w:val="20"/>
          <w:szCs w:val="20"/>
          <w:color w:val="auto"/>
        </w:rPr>
      </w:pPr>
    </w:p>
    <w:p>
      <w:pPr>
        <w:ind w:left="1628" w:right="140" w:hanging="332"/>
        <w:spacing w:after="0" w:line="236" w:lineRule="auto"/>
        <w:tabs>
          <w:tab w:leader="none" w:pos="1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disclosure of NGM831 coincided with a publication in </w:t>
      </w:r>
      <w:r>
        <w:rPr>
          <w:rFonts w:ascii="Arial" w:cs="Arial" w:eastAsia="Arial" w:hAnsi="Arial"/>
          <w:sz w:val="18"/>
          <w:szCs w:val="18"/>
          <w:i w:val="1"/>
          <w:iCs w:val="1"/>
          <w:color w:val="auto"/>
        </w:rPr>
        <w:t>Cancer Immunology Research</w:t>
      </w:r>
      <w:r>
        <w:rPr>
          <w:rFonts w:ascii="Arial" w:cs="Arial" w:eastAsia="Arial" w:hAnsi="Arial"/>
          <w:sz w:val="18"/>
          <w:szCs w:val="18"/>
          <w:color w:val="auto"/>
        </w:rPr>
        <w:t>, a journal of the American Association for Cancer Research, describing our discovery of one of ILT3's functional ligands, fibronectin, a key component of the tumor stroma.</w:t>
      </w:r>
    </w:p>
    <w:p>
      <w:pPr>
        <w:spacing w:after="0" w:line="200" w:lineRule="exact"/>
        <w:rPr>
          <w:sz w:val="20"/>
          <w:szCs w:val="20"/>
          <w:color w:val="auto"/>
        </w:rPr>
      </w:pPr>
    </w:p>
    <w:p>
      <w:pPr>
        <w:spacing w:after="0" w:line="3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16" w:right="339" w:bottom="1440" w:gutter="0" w:footer="0" w:header="0"/>
        </w:sectPr>
      </w:pPr>
    </w:p>
    <w:bookmarkStart w:id="30" w:name="page31"/>
    <w:bookmarkEnd w:id="30"/>
    <w:p>
      <w:pPr>
        <w:ind w:left="1960" w:hanging="332"/>
        <w:spacing w:after="0" w:line="287" w:lineRule="auto"/>
        <w:tabs>
          <w:tab w:leader="none" w:pos="1956" w:val="left"/>
        </w:tabs>
        <w:numPr>
          <w:ilvl w:val="2"/>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commence first-in-human testing of NGM831 in patients with advanced solid tumors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half of 2022.</w:t>
      </w:r>
    </w:p>
    <w:p>
      <w:pPr>
        <w:spacing w:after="0" w:line="44"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 antibody that is designed to inhibit leukocyte-associated immunoglobulin-like receptor 1,</w:t>
      </w:r>
      <w:r>
        <w:rPr>
          <w:rFonts w:ascii="Arial" w:cs="Arial" w:eastAsia="Arial" w:hAnsi="Arial"/>
          <w:sz w:val="18"/>
          <w:szCs w:val="18"/>
          <w:b w:val="1"/>
          <w:bCs w:val="1"/>
          <w:color w:val="auto"/>
        </w:rPr>
        <w:t xml:space="preserve"> </w:t>
      </w:r>
      <w:r>
        <w:rPr>
          <w:rFonts w:ascii="Arial" w:cs="Arial" w:eastAsia="Arial" w:hAnsi="Arial"/>
          <w:sz w:val="18"/>
          <w:szCs w:val="18"/>
          <w:color w:val="auto"/>
        </w:rPr>
        <w:t>or LAIR1. LAIR1, through interactions with tumor-associated collagens, may form a stromal checkpoint that imposes signaling-based immune suppression and impedes antitumor immunity. Designed to inhibit this stromal checkpoint, NGM438 has the potential to treat cancer by promoting the remodeling of the tumor architecture that restricts T cell infiltration of the tumor cell mass and reversing immune suppression in the tumor microenvironment.</w:t>
      </w:r>
    </w:p>
    <w:p>
      <w:pPr>
        <w:spacing w:after="0" w:line="93" w:lineRule="exact"/>
        <w:rPr>
          <w:rFonts w:ascii="Arial" w:cs="Arial" w:eastAsia="Arial" w:hAnsi="Arial"/>
          <w:sz w:val="18"/>
          <w:szCs w:val="18"/>
          <w:color w:val="auto"/>
        </w:rPr>
      </w:pPr>
    </w:p>
    <w:p>
      <w:pPr>
        <w:ind w:left="1960" w:hanging="332"/>
        <w:spacing w:after="0" w:line="261" w:lineRule="auto"/>
        <w:tabs>
          <w:tab w:leader="none" w:pos="1956"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date in 2021, we have advanced the preparation of an investigational new drug application, or IND, for a planned submission in the first half of 2022.</w:t>
      </w:r>
    </w:p>
    <w:p>
      <w:pPr>
        <w:spacing w:after="0" w:line="67" w:lineRule="exact"/>
        <w:rPr>
          <w:rFonts w:ascii="Arial" w:cs="Arial" w:eastAsia="Arial" w:hAnsi="Arial"/>
          <w:sz w:val="18"/>
          <w:szCs w:val="18"/>
          <w:color w:val="auto"/>
        </w:rPr>
      </w:pPr>
    </w:p>
    <w:p>
      <w:pPr>
        <w:ind w:left="1960" w:hanging="332"/>
        <w:spacing w:after="0" w:line="287" w:lineRule="auto"/>
        <w:tabs>
          <w:tab w:leader="none" w:pos="1956" w:val="left"/>
        </w:tabs>
        <w:numPr>
          <w:ilvl w:val="2"/>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commence first-in-human testing of NGM438 in patients with advanced solid tumors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half of 2022.</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117" w:lineRule="exact"/>
        <w:rPr>
          <w:sz w:val="20"/>
          <w:szCs w:val="20"/>
          <w:color w:val="auto"/>
        </w:rPr>
      </w:pPr>
    </w:p>
    <w:p>
      <w:pPr>
        <w:jc w:val="both"/>
        <w:ind w:left="1300" w:hanging="320"/>
        <w:spacing w:after="0" w:line="256" w:lineRule="auto"/>
        <w:tabs>
          <w:tab w:leader="none" w:pos="135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wholly-owned by us. In May 2021, we announced that the ALPINE 2/3 Phase 2b trial of aldafermin in patients with non-alcoholic steatohepatitis, or NASH, and liver fibrosis stage 2 or 3, or F2 or F3, did not meet its primary endpoint evaluating a dose response at week 24 on liver fibrosis improvement by &gt;1 stage with no worsening of NASH. We decided to shift resources that had previously been reserved for a Phase 3 F2/F3 NASH development program toward advancing our other programs. Aldafermin remains in Phase 2b development for the treatment of patients with compensated NASH cirrhosis (liver fibrosis stage 4, or F4).</w:t>
      </w:r>
    </w:p>
    <w:p>
      <w:pPr>
        <w:spacing w:after="0" w:line="137" w:lineRule="exact"/>
        <w:rPr>
          <w:rFonts w:ascii="Arial" w:cs="Arial" w:eastAsia="Arial" w:hAnsi="Arial"/>
          <w:sz w:val="18"/>
          <w:szCs w:val="18"/>
          <w:color w:val="auto"/>
        </w:rPr>
      </w:pPr>
    </w:p>
    <w:p>
      <w:pPr>
        <w:ind w:left="1960" w:hanging="332"/>
        <w:spacing w:after="0" w:line="225" w:lineRule="auto"/>
        <w:tabs>
          <w:tab w:leader="none" w:pos="1956" w:val="left"/>
        </w:tabs>
        <w:numPr>
          <w:ilvl w:val="1"/>
          <w:numId w:val="9"/>
        </w:numPr>
        <w:rPr>
          <w:rFonts w:ascii="Arial" w:cs="Arial" w:eastAsia="Arial" w:hAnsi="Arial"/>
          <w:sz w:val="22"/>
          <w:szCs w:val="22"/>
          <w:color w:val="auto"/>
        </w:rPr>
      </w:pPr>
      <w:r>
        <w:rPr>
          <w:rFonts w:ascii="Arial" w:cs="Arial" w:eastAsia="Arial" w:hAnsi="Arial"/>
          <w:sz w:val="18"/>
          <w:szCs w:val="18"/>
          <w:color w:val="auto"/>
        </w:rPr>
        <w:t>To date in 2021, in addition to completing treatment of patients in, and announcing topline results from, our ALPINE 2/3 trial, we have continued enrollment in our Phase 2b ALPINE 4 clinical trial of aldafermin.</w:t>
      </w:r>
    </w:p>
    <w:p>
      <w:pPr>
        <w:spacing w:after="0" w:line="86" w:lineRule="exact"/>
        <w:rPr>
          <w:rFonts w:ascii="Arial" w:cs="Arial" w:eastAsia="Arial" w:hAnsi="Arial"/>
          <w:sz w:val="22"/>
          <w:szCs w:val="22"/>
          <w:color w:val="auto"/>
        </w:rPr>
      </w:pPr>
    </w:p>
    <w:p>
      <w:pPr>
        <w:jc w:val="both"/>
        <w:ind w:left="1960" w:hanging="332"/>
        <w:spacing w:after="0" w:line="268" w:lineRule="auto"/>
        <w:tabs>
          <w:tab w:leader="none" w:pos="1997"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Enrollment in our ALPINE 4 trial has been slower than expected, and we are considering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enrolling fewer patients than originally anticipated and potentially changing the study's primary endpoint in order to be able to complete enrollment in the trial in the first quarter of 2022.</w:t>
      </w:r>
    </w:p>
    <w:p>
      <w:pPr>
        <w:spacing w:after="0" w:line="62" w:lineRule="exact"/>
        <w:rPr>
          <w:rFonts w:ascii="Arial" w:cs="Arial" w:eastAsia="Arial" w:hAnsi="Arial"/>
          <w:sz w:val="18"/>
          <w:szCs w:val="18"/>
          <w:color w:val="auto"/>
        </w:rPr>
      </w:pPr>
    </w:p>
    <w:p>
      <w:pPr>
        <w:jc w:val="both"/>
        <w:ind w:left="1300" w:hanging="320"/>
        <w:spacing w:after="0" w:line="257" w:lineRule="auto"/>
        <w:tabs>
          <w:tab w:leader="none" w:pos="1296" w:val="left"/>
        </w:tabs>
        <w:numPr>
          <w:ilvl w:val="0"/>
          <w:numId w:val="9"/>
        </w:numPr>
        <w:rPr>
          <w:rFonts w:ascii="Arial" w:cs="Arial" w:eastAsia="Arial" w:hAnsi="Arial"/>
          <w:sz w:val="18"/>
          <w:szCs w:val="18"/>
          <w:color w:val="0E32E1"/>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in Phase 2b development for the treatment of NASH, was optioned by Merck under the Original Agreement. In 2021, Merck is continuing enrollment in the worldwide 52-week randomized, double-blind Phase 2b trial of MK-3655 in patients with NASH and F2 or F3 liver fibrosis that it initiated in the fourth quarter of 2020.</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additional undisclosed programs that are in various stages of development ranging from functional validation to preclinical development.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the sufficiency of our cash resources, regulatory matters, third-party payor matters and commercial viability. We do not have any products approved for sale and do not anticipate generating revenue from product sales for the foreseeable future, if ever.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Partnering has been and is expected to continue to be a component of our strategy as we plan to develop a broad portfolio of product candidates and, if approved, to commercialize the resulting products. Our collaboration with Merck has provided us with substantial financial support; however, under the narrower scope of the Amended Collaboration Agreement, as described in more detail below, after March 2022 the level of research funding from Merck will be substantially lower on an annual and overall basis than the research funding provided by Merck prior to that 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1" w:name="page32"/>
    <w:bookmarkEnd w:id="31"/>
    <w:p>
      <w:pPr>
        <w:jc w:val="both"/>
        <w:ind w:firstLine="648"/>
        <w:spacing w:after="0" w:line="251" w:lineRule="auto"/>
        <w:rPr>
          <w:sz w:val="20"/>
          <w:szCs w:val="20"/>
          <w:color w:val="auto"/>
        </w:rPr>
      </w:pPr>
      <w:r>
        <w:rPr>
          <w:rFonts w:ascii="Arial" w:cs="Arial" w:eastAsia="Arial" w:hAnsi="Arial"/>
          <w:sz w:val="18"/>
          <w:szCs w:val="18"/>
          <w:color w:val="auto"/>
        </w:rPr>
        <w:t>All of our manufacturing activities are outsourced to third-party contract development and manufacturing organizations or third-party contract manufacturing organizations, which we refer to collectively as CMOs, which are generally single 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resources are focused, and will continue to be focused, on the manufacture and testing of clinical trial materials. If our CROs and CMOs fail to satisfy their contractual duties to us or meet expected deadlines or if our CMOs experience difficulties in scaling production or procuring raw materials or components, higher than anticipated costs or lower than anticipated yields, product loss due to contamination, equipment failure, improper installation or operation of equipment, vendor or operator error, turnover of qualified staff or improper storage conditions, or difficulties with quality control, product stability or quality assurance testing, our ongoing and planned trials and possible acceleration or expansion of those trials may be delayed, perhaps substantially, or abandoned, which could materially and adversely affect our business. For example, while we continue to expect to commence first-in-human testing of NGM438 and NGM831 in the first half of 2022, our planned IND submissions for NGM438 and NGM831 have been delayed due to challenges at our CMO, primarily related to analytical method qualification and release testing for those product candidates. It is possible that we could experience further supply-related delays that would adversely affect our ability to commence first-in-human testing of NGM438 and NGM831 on the anticipated timing.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reasons, in order to concentrate our resources on what we consider our most promising product candidates. However, given the narrower scope of the Amended Collaboration Agreement and our associated increased funding requirements with respect to our development programs, particularly after March 2022, as described in more detail below, we may need to delay or suspend development activities on product candidates that we consider promising unless and until we are able to raise sufficient additional capital in order to proceed with such development through to regulatory approval.</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Amended Collaboration Agreement with Merck</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June 30, 2021, we and Merck entered into the Amended Collaboration Agreement that amends and restates the research collaboration, product development and license agreement that we originally entered into with Merck in February 2015, which, together with amendments made prior to entering into the Amended Collaboration Agreement, we refer to as the Original Agreement. The Original Agreement contemplated an initial five-year research term and, in March 2019, Merck exercised its option to extend the research phase of the collaboration through March 16, 2022. As part of that extension, Merck agreed to continue to fund up to $75.0 million of our research and development efforts each year consistent with the initial five-year research term and, in lieu of a $20.0 million extension fee payable to us, Merck agreed to make additional payments totaling up to $20.0 million in support of our research and development activities during 2021</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the first quarter of 2022. Under the terms of the Amended Collaboration Agreement, we and Merck agreed to extend the research phase of the collaboration with a narrower scope than contemplated in the Original Agreement. The research phase will now continue generally through March 31, 2024, with possible extensions for each of the various programs to allow us or Merck to complete ongoing development.</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Original Agreement, all of our research and development programs, both those existing at the time we entered into the Original Agreement and those we worked on during the research phase of the collaboration, other than aldafermin, were included within the scope of the collaboration. Under the Amended Collaboration Agreement, the scope of the collaboration and the resulting programs for which Merck has a license option was narrowed. The collaboration as now being conducted under the Amended Collaboration Agreement, or the continuing collaboration, focuses primarily on the identification, research and development of collaboration compounds directed to targets of interest to Merck in the fields of ophthalmology and cardiovascular or metabolic, or CVM, disease, including heart failure, as well as certain laboratory testing and other activities on molecules that are directed to one of up to two undisclosed targets outside of the fields of ophthalmology and CVM disease, referred to as the lab programs. The ophthalmology compounds in the continuing collaboration include NGM621 and its related molecules and compounds directed against two other undisclosed ophthalmology targets and their related molecules. Collaboration compounds that remain within the scope of the continuing collaboration under the Amended Collaboration Agreement are referred to as continuing collaboration compounds. Our and Merck's rights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jc w:val="both"/>
        <w:spacing w:after="0" w:line="251" w:lineRule="auto"/>
        <w:rPr>
          <w:sz w:val="20"/>
          <w:szCs w:val="20"/>
          <w:color w:val="auto"/>
        </w:rPr>
      </w:pPr>
      <w:r>
        <w:rPr>
          <w:rFonts w:ascii="Arial" w:cs="Arial" w:eastAsia="Arial" w:hAnsi="Arial"/>
          <w:sz w:val="18"/>
          <w:szCs w:val="18"/>
          <w:color w:val="auto"/>
        </w:rPr>
        <w:t>and obligations with respect to MK-3655 and related FGFR1c/KLB agonists for which Merck exercised its license option in November 2018 under the Original Agreement did not change under the Amended Collaboration Agreement as compared to the Original Agreement. Merck retains the one-time option to obtain an exclusive, worldwide license, on specified terms, to continuing collaboration compounds, as well as to other molecules that are directed against the same target and that result in the same effect on such target, or the related molecules, upon completion of a human proof-of-concept trial for a particular collaboration compound, regardless of the results of such trial, or at earlier points as specified in the Amended Collaboration Agreement, including the option to license NGM621 upon completion of a human proof-of-concept trial in humans, as well as the additional one-time option at that time to license NGM621 together with all of the ophthalmology continuing collaboration compounds included within the scope of the Amended Collaboration Agreement. All such options to license are referred to as Merck license options.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we have the right, in our sole discretion, to independently research, develop and commercialize our oncology product candidates NGM120, NGM707, NGM831 and NGM438 and their related molecules and all other preclinical and research assets that we researched or developed under the Original Agreement but that are not included within the research and development scope of the continuing collaboration, which we refer to as the released NGM compounds, subject to Merck’s right to receive royalties at low single digit rates on any released NGM compounds that receive regulatory approval and, if we decide during a certain time period to engage in a formal partnering process or negotiations regarding a license or asset sale for a released NGM compound, to a requirement to notify Merck, provide Merck with certain information and engage in good faith, non-exclusive negotiations with respect to such released NGM compound with Merck at Merck’s request. We are generally responsible for funding released NGM compounds going forward, although we may use Merck funding for research and development activities that we perform on these compounds prior to April 1, 2022. We also have full rights to all future programs we pursue that fall outside of the scope of the Amended Collaboration Agreement. Aldafermin remains wholly-owned and funded by us.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Amended Collaboration Agreement, Merck will provide an aggregate of approximately $ 125.0 million in research and development funding through March 31, 2024, including $86.0 million for the period from April 1, 2021 through March 31, 2022 (although we are obligated to use commercially reasonable efforts to expend $35.0 million of such funding during such time frame on programs within the scope of the continuing collaboration other than the released NGM compounds), plus additional potential option payments if Merck exercises any Merck license option. We are committed to advancing an undisclosed ophthalmology program to a potential IND submission, utilizing our own funding after March 2022. After Merck has exercised the Merck license option for a continuing collaboration program and paid the applicable option fee, the economics for such program are unchanged from the Original Agreement. Following exercise of a Merck license option, Merck is responsible, at its own cost, for any further development and any commercialization activities for compounds within the applicable program that it licensed, or the licensed compounds, subject to our option on a licensed compound-by-licensed compound basis, prior to Merck initiating any Phase 3 clinical trial of such licensed compound, to enter into a worldwide cost and profit share with Merck. If we do not elect to exercise our cost and profit share option for a particular licensed compound, we are eligible to receive milestone and royalty payments.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 to the Original Agreement, during the research phase and any applicable tail period of the continuing collaboration, we may not directly or indirectly research, develop, manufacture or commercialize, outside of the continuing collaboration, any product with specified activity against any target that is being researched or developed under the continuing collaboration and, if Merck exercises its Merck license option for a program, we may not directly or indirectly research, develop, manufacture or commercialize any product with specified activity against the target that is the subject of that program for so long as Merck’s license to it remains in effect. In addition, under the Amended Collaboration Agreement, we are prohibited from directly or indirectly researching, developing or commercializing any product for the treatment of heart failure with preserved ejection fraction (HFpEF) during the research phase for the CVM-related programs.</w:t>
      </w:r>
    </w:p>
    <w:p>
      <w:pPr>
        <w:spacing w:after="0" w:line="9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more information on the terms of the Amended Collaboration Agreement, see Note 5, “Research Collaboration and License Agreements,” of the notes to unaudited condensed consolidated financial statements included in Part 1, Item 1 of this Quarterly Report on Form 10-Q.</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Because, under the Amended Collaboration Agreement, we expect that the level of research funding from Merck will be substantially lower on an annual and overall basis after March 2022 than the research funding provided by Merck prior to that date, our funding requirements for the development of our current and potential future product candidates will increase substantially after that date, particularly with respect to our wholly-owned programs, and, to a lesser extent, with respect to our programs that are within the scope of the continuing collaboration under the Amended Collaboration Agreement that we are required to fund. In addition, our funding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18"/>
          <w:szCs w:val="18"/>
          <w:color w:val="auto"/>
        </w:rPr>
        <w:t>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the development through to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For any programs wholly-owned by us and not within the scope of the continuing collaboration, we may decide to pursue a strategic partner to progress, in whole or in part, the program or commercialize any resulting approved product.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received from collaboration partners, which since inception through September 30, 2021 includes reimbursement of research and development expenses of $471.8 million and upfront cash licensing fees of $123.0 million, primarily from Merck, and a payment of $20.0 million from Merck to license MK-3655 and related compounds;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25" w:lineRule="exact"/>
        <w:rPr>
          <w:rFonts w:ascii="Arial" w:cs="Arial" w:eastAsia="Arial" w:hAnsi="Arial"/>
          <w:sz w:val="18"/>
          <w:szCs w:val="18"/>
          <w:color w:val="auto"/>
        </w:rPr>
      </w:pPr>
    </w:p>
    <w:p>
      <w:pPr>
        <w:jc w:val="both"/>
        <w:ind w:left="660" w:hanging="328"/>
        <w:spacing w:after="0" w:line="23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proceeds of $22.1 million from sales of 817,100 shares of our common stock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 (809,700 shares sold at an average price of $27.94 per share in December 2020 and 7,400 shares sold at an average price of $27.22 per share in September 2021); and</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w:t>
      </w:r>
    </w:p>
    <w:p>
      <w:pPr>
        <w:spacing w:after="0" w:line="9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 September 30, 2021, we had $383.4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September 30, 2021, we had an accumulated deficit of $ 391.7 million. Substantially all of our net losses have resulted from costs incurred in connection with our research and development, or R&amp;D, programs and general and administrative costs associated with our operations. Our net losses may fluctuate significantly from quarter-to-quarter and year-to -year, depending on the timing of our clinical trials and our expenses on other R&amp;D activities, and the amount of R&amp;D funding we receive from Merck or other collaboration partners, particularly after March 2022. For further discussion of our financial position and future sources of funding, see “Liquidity and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closely monitor the impact of the global COVID-19 pandemic on our business and have taken and continue to take proactive efforts designed to protect the health and safety of our patients, study investigators, clinical research staff and employees, while maintaining business continuity. Following guidance from federal, state and local authorities, we operated with a primarily remote work model from March 2020 through October 2021, under which employees working on site were mostly individuals conducting essential in-person laboratory work and other business functions considered essential under COVID-19 regulations and guidance, while others worked remotely. In October 2021, we allowed additional employees to return to on-site work. While there were relatively minor impacts on overall productivity while we operated with a primarily remote work model, in 2020 and to date in 2021 we have experienced employee attrition at rates higher than we have experienced historically and an increased rate of hiring new employees. We cannot predict whether these trends will continue or be exacerbated, the impact on future productivity or whether or when we may be required to return to a more restrictive work model as the pandemic evolves.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patients enrolled in our clinical trials, we continue to work closely with clinical trial investigators and site staff with the goal of continuing treatment in a manner designed to uphold trial integrity, while allowing some flexibility in the manner and timing of patient visits, and to observe government and institutional guidelines designed to safeguard the health and safety of patients, clinical trial investigators and site staff. During the COVID-19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pandemic, we have experienced, from time to time, a slower pace of clinical trial site initiation and clinical trial enrollment than originally anticipated in certain of our clinical trials, including the ALPINE 4, CATALINA and NGM120 trials, and we experienced a higher dropout rate in our ALPINE 2/3 trial than we had anticipated based on our previous trials in patients with NASH. We believe this may be due to factors such as the vulnerability of our studied patient populations, clinical trial site suspensions, reallocation of medical resources and the challenges of working remotely due to shelter-in-place and similar government orders.</w:t>
      </w:r>
    </w:p>
    <w:p>
      <w:pPr>
        <w:spacing w:after="0" w:line="97"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We have been proactively working to mitigate these and other effects of the COVID-19 pandemic by monitoring site initiations, patient enrollment and patient study adherence to provide support to patients and trial staff, often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and/or patient-by-patient basis. For example, we have implemented additional study policies and procedures designed to help protect trial participants from exposure to COVID-19 as a result of their trial participation, which include the use of telemedicine visits, remote monitoring of patients and clinical trial sites and other measures, as appropriate, designed to ensure that data from clinical trials that may be disrupted as result of the COVID-19 pandemic are collected pursuant to the study protocol and consistent with current Good Clinical Practices, or cGCPs, with any material protocol deviation reviewed and approved by the clinical trial site institutional review board, or IRB. Most of our clinical trial sites, both within and outside of the United States, continue to screen patients in our clinical trials, and new patients are being enrolled when appropriate. While the COVID-19 pandemic has not yet resulted in a significant impact to our disclosed clinical development timelines, as the COVID-19 pandemic continues, there may be additional negative impacts on our ability to initiate new clinical trial sites, maintain enrollment of existing patients and enroll new patients, which may result in increased clinical trial costs and negatively impact our timelines and our ability to obtain regulatory approvals of our product candidates in a timely fashion, if at all. In particular, enrollment in our ALPINE 4 trial has been slower than expected, and we are considering enrolling fewer patients than originally anticipated and potentially changing the study's primary endpoint in order to be able to complete enrollment in the trial in the first quarter of 2022.</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22222"/>
        </w:rPr>
        <w:t>addition, while we have not experienced significant disruption to drug or related component supply for our ongoing clinical trials</w:t>
      </w:r>
      <w:r>
        <w:rPr>
          <w:rFonts w:ascii="Arial" w:cs="Arial" w:eastAsia="Arial" w:hAnsi="Arial"/>
          <w:sz w:val="18"/>
          <w:szCs w:val="18"/>
          <w:color w:val="auto"/>
        </w:rPr>
        <w:t xml:space="preserve"> </w:t>
      </w:r>
      <w:r>
        <w:rPr>
          <w:rFonts w:ascii="Arial" w:cs="Arial" w:eastAsia="Arial" w:hAnsi="Arial"/>
          <w:sz w:val="18"/>
          <w:szCs w:val="18"/>
          <w:color w:val="222222"/>
        </w:rPr>
        <w:t>due to the COVID-19 pandemic, we could experience disruptions to our supply chain and operations due to the evolving effects of the continuing COVID-19 pandemic, including if our CMOs' manufacturing facilities and operations are adversely affected by labor and raw material shortages, turnover of qualified staff or financial difficulties of their owners or operators. Any associated delays in the manufacturing and supply of drug substance and drug product for our clinical trials could adversely affect our ability to conduct ongoing and future clinical trials of our product candidates. Our aldafermin drug product CMO has advised us that it could be required under orders of the U.S. government to allocate manufactu</w:t>
      </w:r>
      <w:r>
        <w:rPr>
          <w:rFonts w:ascii="Arial" w:cs="Arial" w:eastAsia="Arial" w:hAnsi="Arial"/>
          <w:sz w:val="18"/>
          <w:szCs w:val="18"/>
          <w:color w:val="000000"/>
        </w:rPr>
        <w:t>ring capacity to the manufacture or distribution of COVID-19 vaccines. If any of our CMOs become subject</w:t>
      </w:r>
      <w:r>
        <w:rPr>
          <w:rFonts w:ascii="Arial" w:cs="Arial" w:eastAsia="Arial" w:hAnsi="Arial"/>
          <w:sz w:val="18"/>
          <w:szCs w:val="18"/>
          <w:color w:val="222222"/>
        </w:rPr>
        <w:t xml:space="preserve"> </w:t>
      </w:r>
      <w:r>
        <w:rPr>
          <w:rFonts w:ascii="Arial" w:cs="Arial" w:eastAsia="Arial" w:hAnsi="Arial"/>
          <w:sz w:val="18"/>
          <w:szCs w:val="18"/>
          <w:color w:val="000000"/>
        </w:rPr>
        <w:t>to acts or orders of U.S. or foreign government entities to allocate manufacturing capacity to the manufacture or distribution of COVID-19 vaccines or medical supplies needed to treat COVID-19 patients, this could also delay our clinical trials, perhaps substantially, which could materially and adversely affect our business.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Finally, we cannot predict how the evolving effects of the COVID-19 pandemic may influence the future decisions of Merck to license any programs available to it under the Amended Collaboration Agreement. For additional information about risks and uncertainties related to the COVID-19 pandemic that may impact our business, financial condition and results of operations, see the section titled “Risk Factors” in Part II, Item 1A of this Quarterly Report on Form 10-Q.</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with Merck. Merck is also a significant stockholder and, as such, collaboration revenue from Merck is referred to as related party revenue.</w:t>
      </w:r>
    </w:p>
    <w:p>
      <w:pPr>
        <w:spacing w:after="0" w:line="8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Since the Company's inception through September 30, 2021, Merck paid us $566.7 million pursuant to the terms of our collaboration. Due to the nature of our collaboration with Merck and the timing of related revenue recognition, our revenue has fluctuated from period to period in the past and we expect that it will continue to fluctuate in future periods, particularly after March 2022 given the substantial decrease in the level of funding from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jc w:val="both"/>
        <w:spacing w:after="0" w:line="235" w:lineRule="auto"/>
        <w:rPr>
          <w:sz w:val="20"/>
          <w:szCs w:val="20"/>
          <w:color w:val="auto"/>
        </w:rPr>
      </w:pPr>
      <w:r>
        <w:rPr>
          <w:rFonts w:ascii="Arial" w:cs="Arial" w:eastAsia="Arial" w:hAnsi="Arial"/>
          <w:sz w:val="18"/>
          <w:szCs w:val="18"/>
          <w:color w:val="auto"/>
        </w:rPr>
        <w:t>Merck in accordance with the Amended Collaboration Agreement entered into on June 30, 2021. As a result, we believe that period-to-period comparisons of our revenue may not be meaningful and should not be relied upon as being indicative of future performance.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related party revenue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2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R&amp;D expenses related to the development of aldafermin, MK-3655, NGM621, NGM120, NGM707, NGM831 and NGM438 (and prior to suspending these programs, NGM386, NGM395 and NGM217) consist primarily of:</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clinical development efforts are spread across multiple programs, only some of which remain within the scope of our collaboration with Merck. For the foreseeable future, we anticipate the majority of our financial resources, other than those received from Merck and dedicated to continuing collaboration activities under the Amended Collaboration Agreement, will be directed to activities required to advance our Phase 2b ALPINE 4 clinical trial of aldafermin and our trials of NGM120 and NGM707, to initiate clinical trials of NGM831 and NGM438 and to prepare for the manufacture of NGM621 in anticipation of a potential Phase 3 trial.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R&amp;D efforts are extensive and costly. While Merck has committed under the Amended Collaboration Agreement to provide up to $86.0 million in research funding for the four calendar quarters ending March 31, 2022 (with up to $51.0 million of such amount that may be used by us to advance certain of our wholly-owned programs), after March 2022 and through the remaining two years of the research phase of the collaboration, Merck is committed to provide only up to $20.0 million in research funding for the ophthalmology- and CVM-related programs (other than NGM621) and to fund certain R&amp;D costs related to NGM621, expected to be approximately $20.0 million, during the earlier of the remaining two years of the research phase after March 2022 or until Merck exercises, or decides not to exercise, its Merck license option with respect to NGM621. As a result, after March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spacing w:after="0" w:line="251" w:lineRule="auto"/>
        <w:rPr>
          <w:sz w:val="20"/>
          <w:szCs w:val="20"/>
          <w:color w:val="auto"/>
        </w:rPr>
      </w:pPr>
      <w:r>
        <w:rPr>
          <w:rFonts w:ascii="Arial" w:cs="Arial" w:eastAsia="Arial" w:hAnsi="Arial"/>
          <w:sz w:val="18"/>
          <w:szCs w:val="18"/>
          <w:color w:val="auto"/>
        </w:rPr>
        <w:t>2022, we will need to devote a substantial amount of our own financial resources to our development programs, particularly with respect to our wholly-owned programs and, to a lesser extent, with respect to our programs that are within the scope of the Amended Collaboration Agreement that we are required to fund.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the development through to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In addition,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within the scope of the continuing collaboration and the timing of such election or termination;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March 2022, the extent to which we exceed the funding caps provided in the Amended Collaboration Agreement;</w:t>
      </w:r>
    </w:p>
    <w:p>
      <w:pPr>
        <w:spacing w:after="0" w:line="63" w:lineRule="exact"/>
        <w:rPr>
          <w:rFonts w:ascii="Arial" w:cs="Arial" w:eastAsia="Arial" w:hAnsi="Arial"/>
          <w:sz w:val="18"/>
          <w:szCs w:val="18"/>
          <w:color w:val="auto"/>
        </w:rPr>
      </w:pPr>
    </w:p>
    <w:p>
      <w:pPr>
        <w:ind w:left="660" w:right="20" w:hanging="328"/>
        <w:spacing w:after="0" w:line="29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after March 2022, the amount of our financial resources that we will need to devote to our development programs and our obligations under the Amended Collaboration Agreement, and our ability to raise adequate additional capital to meet our requirements;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FDA or another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Merck and Other Third Parties” and “—Risks Related to Regulatory Approvals” in Part II, Item 1A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R&amp;D activities. These increases will likely include increased costs related to the hiring of additional personnel, as well as fees paid to outside consultants, lawyers and accountants, among other expenses.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18"/>
          <w:szCs w:val="18"/>
          <w:color w:val="auto"/>
        </w:rPr>
        <w:t>Additionally, we anticipate continued increased costs associated with being a public company, including expenses related to services associated with maintaining compliance with Nasdaq listing rules and related Securities and Exchange Commission, or SEC, requirements and costs related to insurance, investor relations and compliance with Section 404 of the Sarbanes-Oxley Act of 2002, or the Sarbanes-Oxley Act.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3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w:t>
            </w:r>
          </w:p>
        </w:tc>
      </w:tr>
      <w:tr>
        <w:trPr>
          <w:trHeight w:val="223"/>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(93,471)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(17,311)</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(93,101)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 from Merck</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Revenue decreased $4.9 million and $10.7 million in the three and nine months ended September 30, 2021 compared to the same periods in 2020, respectively. Revenue decreased in the three months ended September 30, 2021 compared to the same period in 2020 primarily due to a decrease in research and development revenue. Revenue decreased in the nine months ended September 30, 2021 compared to the same period in 2020 in part due to a reduction in revenue of $4.6 million for an amount we had recorded under the prior two-year extension of the research phase that was no longer billable to Merck under the Amended Collaboration Agreement as of June 30, 2021. For the nine months ended September 30, 2020, collaboration and license revenue under the Original Agreement included $4.9 million related to the upfront license fee under the initial five-year term that ended in March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6,519</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25,591</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40,649</w:t>
            </w:r>
          </w:p>
        </w:tc>
      </w:tr>
      <w:tr>
        <w:trPr>
          <w:trHeight w:val="22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NGM621 (C3 inhibitor)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NGM120 (GFRAL antagonist)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4,040</w:t>
            </w:r>
          </w:p>
        </w:tc>
      </w:tr>
      <w:tr>
        <w:trPr>
          <w:trHeight w:val="23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NGM707 (Anti-ILT2/ILT4 dual antagonist)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NGM438 (LAIR1 antagonist)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NGM831 (ILT3 antagonist)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r>
      <w:tr>
        <w:trPr>
          <w:trHeight w:val="229"/>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external R&amp;D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R&amp;D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Personnel-related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32,348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and unallocated R&amp;D expenses(1)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R&amp;D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123,912</w:t>
            </w:r>
          </w:p>
        </w:tc>
      </w:tr>
      <w:tr>
        <w:trPr>
          <w:trHeight w:val="21"/>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57"/>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9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_____________</w:t>
      </w:r>
    </w:p>
    <w:p>
      <w:pPr>
        <w:spacing w:after="0" w:line="55" w:lineRule="exact"/>
        <w:rPr>
          <w:sz w:val="20"/>
          <w:szCs w:val="20"/>
          <w:color w:val="auto"/>
        </w:rPr>
      </w:pPr>
    </w:p>
    <w:p>
      <w:pPr>
        <w:ind w:left="500" w:right="20" w:hanging="492"/>
        <w:spacing w:after="0" w:line="258" w:lineRule="auto"/>
        <w:tabs>
          <w:tab w:leader="none" w:pos="4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Internal and unallocated research and development expenses consist primarily of research supplies and consulting fees, which we deploy across multiple research and development programs.</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R&amp;D expenses decreased $8.3 million and $0.9 million in the three and nine months ended September 30, 2021 compared to the same periods in 2020, respectively, primarily due to a decrease in expenses for our manufacturing activities and our clinical trials of aldafermin, partially offset by increases in personnel-related expenses and external expenses driven by our ongoing clinical trials of NGM621 and NGM120. The decrease in R&amp;D expenses in the nine months ended September 30, 2021 compared to the same period in 2020 was also partially offset by an increase in external expenses for our preclinical studies of NGM438.</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full year 2021, we expect R&amp;D expenses will be consistent with our 2020 expenses as we continue to advance our clinical development of NGM621 and our oncology programs. Resources previously intended for an aldafermin Phase 3 F2/F3 NASH development program have been shifted toward advancing our other programs. Aldafermin remains in Phase 2b development for the treatment of patients with compensated NASH cirrhosis (F4 liver fibrosis).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expenses increased $2.4 million and $7.6 million in the three and nine months ended September 30, 2021 compared to the same periods in 2020, respectively, primarily due to an increase in personnel-related expenses due to increased headcount and an increase in stock-based compensation expense primarily due to an increase in the average grant date fair value of stock options granted.</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anticipate general and administrative expenses for the remainder of 2021 to increase compared to 2020 due to an increase in compensation-related expenses driven by higher headcount and other expenses related to the expansion and support of our business including expenses related to compliance with Section 404 of the Sarbanes-Oxley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Interest income decreased in the three and nine months ended September 30, 2021 compared to the same periods in 2020 primarily due to the decrease in market interest rates.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incurred net losses every year since inception. We have spent, and expect to continue to spend, significant resources to fund R&amp;D of, and seek regulatory approvals for, our product candidates. These activities require us to incur substantial costs related to research, development, manufacturing, preclinical studies, clinical trial and related activities, as well as to cover other expenses related to our ongoing operations. Our collaboration with Merck under the Original Agreement has provided us with substantial financial support; however, under the narrower scope of the Amended Collaboration Agreement, after March 2022 the level of research funding from Merck will be substantially lower on an annual and overall basis than the research funding provided by Merck prior to that date, as described below. In this regard, after March 2022, we will need to devote a substantial amount of our own financial resources to our development programs, particularly with respect to our wholly-owned programs and, to a lesser extent, with respect to our programs that are within the scope of the continuing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the development through to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In addition,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 See “Overview of Our Business – Merck Collaboration Update” above. As a result, we expect to incur significant and increasing operating losses. We have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8"/>
          <w:szCs w:val="18"/>
          <w:color w:val="auto"/>
        </w:rPr>
        <w:t>no products approved for commercial sale, have not generated any revenue from product sales to date and we are not and may never be profitable. We have incurred losses in each year since commencing operations. As of September 30, 2021, we had an accumulated deficit of $391.7 million and we expect our accumulated deficit will increase significantly over time. The size of our future net losses will depend, in part, on the rate of future growth of our expenses, the amount of revenue generated from Merck under the Amended Collaboration Agreement and our ability to generate revenue outside of the Merck collaboration, particularly after March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revenue we receive under the Amended Collaboration Agreement with Merck is our only source of revenue. As described in greater detail above, including under “Overview of Our Business – Merck Collaboration,” under the Amended Collaboration Agreement, Merck has committed to provide us with up to $86.0 million in research funding for the four calendar quarters ending March 31, 2022 (with up to $51.0 million of such amount that may be used by us to advance certain of our wholly-owned programs). However, after March 2022 and through the remaining two years of the research phase of the collaboration, Merck is committed to provide only up to $20.0 million in research funding for the ophthalmology- and CVM-related programs and to fund the R&amp;D costs related to NGM621, including our CATALINA clinical trial, subject to certain limitations.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Sources of Liquidity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June 2020, we entered into the Sales Agreement with Jefferies relating to the sale of shares of our common stock. In accordance with the terms of the Sales Agreement, we may offer and sell shares of our common stock having an aggregate offering price of up to $150.0 million from time to time through Jefferies, acting as our sales agent. During the nine months ended September 30, 2021, 7,400 shares of the Company's common stock were sold pursuant to the Sales Agreement. As of September 30, 2021, $127.2 million of our common stock remained available to be sold under the Sales Agreement, subject to conditions specified in the Sales Agreement.</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we sold 5,324,074 shares of common stock (inclusive of shares sold pursuant to the full exercise of the option to purchase additional shares granted to the underwriters in connection with the offering) through an underwritten public offering at a price to the public of $27.00 per share for aggregate net proceeds to the Company of $134.6 million, or the follow-on offering.</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September 30, 2021, we had cash and cash equivalents of $145.8 million, short-term marketable securities of $237.6 million, working capital of $338.2 million and an accumulated deficit of $391.7 million.</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from the date our interim condensed financial statements are filed.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are unable to raise adequate additional capital, we may be prevented from pursuing development and commercialization efforts, which will have a material adverse effect on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Cash Flow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for the periods indicated (in thousands):</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Nine Months Ended</w:t>
      </w:r>
    </w:p>
    <w:p>
      <w:pPr>
        <w:jc w:val="center"/>
        <w:ind w:left="816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(63,456)</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63,533</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2021 net cash used in operating activities was $54.9 million, which consisted of a net loss of $93.1 million, adjusted for non-cash charges of $31.4 million and a change in operating assets and liabilities of $6.8 million. The non-cash charges consisted primarily of stock-based compensation expense of $19.7 million, a decrease in related party contract assets due to the Amended Collaboration Agreement with Merck of $4.6 million, depreciation expense of $4.6 million and amortization of a premium on marketable securities of $2.5 million. The change in operating assets and liabilities was mainly driven by increases in contract liabilities of $12.3 million, accrued liabilities of $4.9 million, prepaid expenses and other current assets of $3.6 million and the related party receivable of $4.1 million, partially offset by decreases in deferred rent of $2.2 million, accounts payable of $2.0 million and related party contract assets of $1.5 million.</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nine months ended September 30, 2020 net cash used in operating activities was $ 63.5 million, which consisted of a net loss of $74.5 million, adjusted for non-cash charges of $ 16.5 million and cash used through changes in operating assets and liabilities of $5.5 million. The non-cash charges consisted primarily of stock-based compensation expense of $11.5 million and depreciation expense of $5.0 million. The change in operating assets and liabilities was mainly driven by increases in accrued liabilities of $9.8 million, prepaid expenses and other assets of $3.7 million and the related party receivable from our Merck collaboration of $2.0 million, partially offset by decreases in accounts payable of $7.1 million and deferred rent of $2.1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nine months ended September 30, 2021 net cash used in investing activities was $93.6 million, which consisted of purchases of marketable securities of $194.5 million primarily from the net proceeds of the follow-on offering, partially offset by $102.5 million in net proceeds on maturity of marketable securities. In the nine months ended September 30, 2020 net cash provided by investing activities was $63.5 million, which consisted of $ 94.5 million in net proceeds on maturity of marketable securities, partially offset by purchases of marketable securities of $29.4 million and purchases of property and equipment of $1.6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nine months ended September 30, 2021 net cash provided by financing activities was $147.3 million, which consisted of net proceeds from the follow-on offering of $134.6 million and proceeds from employee equity incentive and purchase plans of $12.5 million. In the nine months ended September 30, 2020 net cash provided by financing activities was $7.9 million, which primarily consisted of proceeds from employee equity incentive and purchase plans.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During the nine months ended September 30, 2021, there were no material changes to our contractual obligations as set forth in Part II, Item 7 “Management’s Discussion and Analysis of Financial Condition and Results of Operations” in our Annual Report on Form 10-K for the year ended December 31, 2020 filed with the SEC on March 15,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Annual Report on Form 10-K for the year ended December 31, 2020 filed with the SEC on March 15,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Except as described in Note 2 to the condensed consolidated financial statements under the headings “Recently Adopted Accounting Pronouncements” and “Recent Accounting Pronouncements Not Yet Adopted,” there have been no new accounting pronouncements or changes to accounting pronouncements during the nine months ended September 30, 2021, as compared to the recent accounting pronouncements described in our audited consolidated financial statements and notes for the year ended December 31, 2020, included in the Company’s Annual Report on Form 10-K for the year ended December 31, 2020 filed with the SEC on March 15, 2021, that are of significance or potential significance to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nine months ended September 30, 2021, there were no material changes to our market risk disclosures as set forth in Part II, Item 7A “Quantitative and Qualitative Disclosures About Market Risk” in our Annual Report on Form 10-K for the year ended December 31, 2020 filed with the SEC on March 15,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September 30, 2021,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2021, the design and operation of our disclosure controls and procedures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During the quarter ended September 30, 2021,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as well as our other filings with the U.S. Securities and Exchange Commission, or SEC.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below as part of your evaluation of an investment in our common stock:</w:t>
      </w:r>
    </w:p>
    <w:p>
      <w:pPr>
        <w:spacing w:after="0" w:line="124" w:lineRule="exact"/>
        <w:rPr>
          <w:sz w:val="20"/>
          <w:szCs w:val="20"/>
          <w:color w:val="auto"/>
        </w:rPr>
      </w:pPr>
    </w:p>
    <w:p>
      <w:pPr>
        <w:jc w:val="both"/>
        <w:ind w:left="660" w:hanging="328"/>
        <w:spacing w:after="0" w:line="217"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most advanced product candidates, including NGM621, a humanized Immunoglobulin 1 monoclonal antibody inhibiting complement C3 administered via intravitreal, or IVT, injection in patients with geographic atrophy, or GA, NGM120, our antagonist antibody that binds glial cell-derived neurotrophic factor receptor alpha-like, or GFRAL, and inhibits growth differentiation factor 15, or GDF15, signaling, for the potential treatment of cancer and cancer-related cachexia and aldafermin, our engineered analog of human hormone fibroblast growth factor 19, or FGF19, that is administered through a once-daily subcutaneous injection in patients with compensated non-alcoholic steatohepatitis, or NASH, cirrhosis (liver fibrosis stage 4, or F4), are still only in Phase 2 development, may fail to demonstrate safety and efficacy in ongoing and future clinical trials, may never achieve regulatory approval and may not be able to be successfully commercialized due to competition or other factors;</w:t>
      </w:r>
    </w:p>
    <w:p>
      <w:pPr>
        <w:spacing w:after="0" w:line="27" w:lineRule="exact"/>
        <w:rPr>
          <w:rFonts w:ascii="Arial" w:cs="Arial" w:eastAsia="Arial" w:hAnsi="Arial"/>
          <w:sz w:val="22"/>
          <w:szCs w:val="22"/>
          <w:color w:val="auto"/>
        </w:rPr>
      </w:pPr>
    </w:p>
    <w:p>
      <w:pPr>
        <w:jc w:val="both"/>
        <w:ind w:left="660" w:hanging="328"/>
        <w:spacing w:after="0" w:line="22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including the ongoing trial of NGM707, our dual antagonist antibody that is designed to inhibit Immunoglobulin-like transcript 2, or ILT2, and Immunoglobulin-like transcript 4, or ILT4, for the potential treatment of patients with advanced solid tumors, may fail to produce positive results or to demonstrate safety and efficacy to the satisfaction of health authorities;</w:t>
      </w:r>
    </w:p>
    <w:p>
      <w:pPr>
        <w:spacing w:after="0" w:line="67" w:lineRule="exact"/>
        <w:rPr>
          <w:rFonts w:ascii="Arial" w:cs="Arial" w:eastAsia="Arial" w:hAnsi="Arial"/>
          <w:sz w:val="18"/>
          <w:szCs w:val="18"/>
          <w:color w:val="auto"/>
        </w:rPr>
      </w:pPr>
    </w:p>
    <w:p>
      <w:pPr>
        <w:jc w:val="both"/>
        <w:ind w:left="660" w:hanging="328"/>
        <w:spacing w:after="0" w:line="216"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aldafermin and MK-3655, an agonistic antibody discovered by us that selectively activates fibroblast growth factor receptor 1c-beta-klotho, or FGFR1c/KLB, which regulates insulin sensitivity, blood glucose and liver fat and is administered every four weeks through a subcutaneous injection, are being developed for the treatment of NASH, an indication for which there are no approved products, which makes it difficult to predict the timing, cost and potential success of their clinical development and regulatory approval for the treatment of NASH;</w:t>
      </w:r>
    </w:p>
    <w:p>
      <w:pPr>
        <w:spacing w:after="0" w:line="66"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68" w:lineRule="exact"/>
        <w:rPr>
          <w:rFonts w:ascii="Arial" w:cs="Arial" w:eastAsia="Arial" w:hAnsi="Arial"/>
          <w:sz w:val="22"/>
          <w:szCs w:val="22"/>
          <w:color w:val="auto"/>
        </w:rPr>
      </w:pPr>
    </w:p>
    <w:p>
      <w:pPr>
        <w:jc w:val="both"/>
        <w:ind w:left="660" w:hanging="328"/>
        <w:spacing w:after="0" w:line="215"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currently depend on our collaboration with Merck Sharp &amp; Dohme Corp., or Merck, for revenue and that collaboration, the terms of which were recently modified, involves numerous risks, any of which could materially and adversely affect our business and financial condition, and in the future we may depend both on our collaboration with Merck and collaborations with additional third parties for the development and commercialization of our product candidates;</w:t>
      </w:r>
    </w:p>
    <w:p>
      <w:pPr>
        <w:spacing w:after="0" w:line="27" w:lineRule="exact"/>
        <w:rPr>
          <w:rFonts w:ascii="Arial" w:cs="Arial" w:eastAsia="Arial" w:hAnsi="Arial"/>
          <w:sz w:val="22"/>
          <w:szCs w:val="22"/>
          <w:color w:val="auto"/>
        </w:rPr>
      </w:pPr>
    </w:p>
    <w:p>
      <w:pPr>
        <w:ind w:left="660" w:right="52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March 2022, we will need to devote a substantial amount of our own financial resources to our research and development programs and in order to complete the development and commercialization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4" w:name="page45"/>
    <w:bookmarkEnd w:id="44"/>
    <w:p>
      <w:pPr>
        <w:ind w:left="660" w:right="120"/>
        <w:spacing w:after="0" w:line="229" w:lineRule="auto"/>
        <w:rPr>
          <w:sz w:val="20"/>
          <w:szCs w:val="20"/>
          <w:color w:val="auto"/>
        </w:rPr>
      </w:pPr>
      <w:r>
        <w:rPr>
          <w:rFonts w:ascii="Arial" w:cs="Arial" w:eastAsia="Arial" w:hAnsi="Arial"/>
          <w:sz w:val="18"/>
          <w:szCs w:val="18"/>
          <w:color w:val="auto"/>
        </w:rPr>
        <w:t>our current and potential future product candidates, we will require substantial additional capital which may not be available to us on acceptable terms, or at all, and as a result, we may be required to delay, scale back or discontinue development of such product candidates;</w:t>
      </w:r>
    </w:p>
    <w:p>
      <w:pPr>
        <w:spacing w:after="0" w:line="69" w:lineRule="exact"/>
        <w:rPr>
          <w:sz w:val="20"/>
          <w:szCs w:val="20"/>
          <w:color w:val="auto"/>
        </w:rPr>
      </w:pPr>
    </w:p>
    <w:p>
      <w:pPr>
        <w:ind w:left="660" w:right="2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will need to successfully complete rigorous preclinical and clinical testing of our product candidates before we can seek regulatory approval, which could delay or prevent commercialization of our product candidates;</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not successfully identify new product candidates to expand our development pipeline;</w:t>
      </w:r>
    </w:p>
    <w:p>
      <w:pPr>
        <w:spacing w:after="0" w:line="66" w:lineRule="exact"/>
        <w:rPr>
          <w:rFonts w:ascii="Arial" w:cs="Arial" w:eastAsia="Arial" w:hAnsi="Arial"/>
          <w:sz w:val="22"/>
          <w:szCs w:val="22"/>
          <w:color w:val="auto"/>
        </w:rPr>
      </w:pPr>
    </w:p>
    <w:p>
      <w:pPr>
        <w:jc w:val="both"/>
        <w:ind w:left="660" w:hanging="328"/>
        <w:spacing w:after="0" w:line="216"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process of manufacturing and testing our biologic product candidates is complex, highly regulated and subject to many manufacturing risks, including our current reliance on single source manufacturers and suppliers, difficulties in supply chain, including procuring raw materials and components and the availability of manufacturing slots, and difficulties in production, including scaling up and validating initial production, contamination, equipment failure, improper installation or operation of equipment, vendor or operator error, turnover of qualified staff or improper storage conditions, or difficulties with quality control, product stability or quality assurance testing, any of which could substantially increase our costs and limit supply of our product candidates and any future products needed for clinical trials and commercialization;</w:t>
      </w:r>
    </w:p>
    <w:p>
      <w:pPr>
        <w:spacing w:after="0" w:line="72" w:lineRule="exact"/>
        <w:rPr>
          <w:rFonts w:ascii="Arial" w:cs="Arial" w:eastAsia="Arial" w:hAnsi="Arial"/>
          <w:sz w:val="22"/>
          <w:szCs w:val="22"/>
          <w:color w:val="auto"/>
        </w:rPr>
      </w:pPr>
    </w:p>
    <w:p>
      <w:pPr>
        <w:ind w:left="660" w:right="2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regulatory approval processes of the U.S. Food and Drug Administration, or FDA, and comparable foreign health authorities are lengthy, time-consuming and inherently unpredictable;</w:t>
      </w:r>
    </w:p>
    <w:p>
      <w:pPr>
        <w:spacing w:after="0" w:line="68" w:lineRule="exact"/>
        <w:rPr>
          <w:rFonts w:ascii="Arial" w:cs="Arial" w:eastAsia="Arial" w:hAnsi="Arial"/>
          <w:sz w:val="22"/>
          <w:szCs w:val="22"/>
          <w:color w:val="auto"/>
        </w:rPr>
      </w:pPr>
    </w:p>
    <w:p>
      <w:pPr>
        <w:jc w:val="both"/>
        <w:ind w:left="660" w:hanging="328"/>
        <w:spacing w:after="0" w:line="214"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clinical research organizations or other third parties with whom we conduct business;</w:t>
      </w:r>
    </w:p>
    <w:p>
      <w:pPr>
        <w:spacing w:after="0" w:line="66" w:lineRule="exact"/>
        <w:rPr>
          <w:rFonts w:ascii="Arial" w:cs="Arial" w:eastAsia="Arial" w:hAnsi="Arial"/>
          <w:sz w:val="22"/>
          <w:szCs w:val="22"/>
          <w:color w:val="auto"/>
        </w:rPr>
      </w:pPr>
    </w:p>
    <w:p>
      <w:pPr>
        <w:jc w:val="both"/>
        <w:ind w:left="660" w:hanging="328"/>
        <w:spacing w:after="0" w:line="215"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our Chief Scientific Officer, Dr. Jin-Long Chen, and during the ongoing COVID-19 pandemic we have experienced employee attrition at rates higher than we have experienced historically, which may continue and could have a negative impact on our productivity;</w:t>
      </w:r>
    </w:p>
    <w:p>
      <w:pPr>
        <w:spacing w:after="0" w:line="67"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not be able to obtain and maintain the relationships with third parties that are necessary to develop, manufacture and commercialize some or all of our product candidates;</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or third parties we rely on could experience a cybersecurity incident that could harm our business; and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and we expect to continue to incur significant research and development, or R&amp;D, and other expenses related to our ongoing operations. As a result, we are not profitable and have incurred losses in each year since commencing operations. Our net losses were $102.5 million, $42.8 million and $0.5 million for the years ended December 31, 2020, 2019 and 2018, respectively. As of September 30, 2021, we had an accumulated deficit of $391.7 million.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spent, and expect to continue to spend, significant resources to fund R&amp;D of, and seek regulatory approvals for, our product candidates. We expect to incur substantial and increasing operating losses over the next several years as our research, development, manufacturing, preclinical studies, clinical trial and related activities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50" w:lineRule="auto"/>
        <w:rPr>
          <w:sz w:val="20"/>
          <w:szCs w:val="20"/>
          <w:color w:val="auto"/>
        </w:rPr>
      </w:pPr>
      <w:r>
        <w:rPr>
          <w:rFonts w:ascii="Arial" w:cs="Arial" w:eastAsia="Arial" w:hAnsi="Arial"/>
          <w:sz w:val="18"/>
          <w:szCs w:val="18"/>
          <w:color w:val="auto"/>
        </w:rPr>
        <w:t>increase. Our collaboration with Merck has to date provided us with substantial financial support; however, after March 2022, the funding we receive from Merck under our continuing collaboration will be substantially lower on an annual and overall basis than the research funding provided by Merck prior to that date due to the narrower scope of our amended and restated research collaboration, product development and license agreement we entered into with Merck on June 30, 2021, or the Amended Collaboration Agreement, which amends and restates the research collaboration, product development and license agreement that we originally entered into with Merck in February 2015, which, together with amendments made prior to entering in the Amended Collaboration Agreement, we refer to as the Original Agreement. In this regard, after March 2022, and through the remaining two years of the research phase of the continuing collaboration, Merck is committed to provide only up to $20.0 million in research funding for the ophthalmology- and cardiovascular or metabolic, or CVM,-related programs subject to the continuing collaboration (other than NGM621) and to fund the R&amp;D costs related to NGM621 during the earlier of the remaining two years of the research phase after March 2022 or until Merck exercises, or decides not to exercise, its license option with respect to NGM621, subject to certain limitations. As a result, after March 2022, we will need to devote a substantial amount of our own financial resources to our R&amp;D programs, particularly with respect to our wholly-owned programs and, to a lesser extent, with respect to our programs that are within the scope of the continuing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Moreover,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 As a result of the foregoing, our expenses and accumulated deficit will also increase significantly in future periods.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the amount of revenue generated from Merck under the Amended Collaboration Agreement and our ability to generate revenue outside of the Merck collaboration, particularly after March 2022. Our prior losses and expected future losses have had and will continue to have an adverse effect on our stockholders’ equity and working capital.</w:t>
      </w:r>
    </w:p>
    <w:p>
      <w:pPr>
        <w:spacing w:after="0" w:line="1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 For example, in May 2021, we announced topline results from our Phase 2b ALPINE 2/3 trial evaluating aldafermin in patients with NASH and liver fibrosis stage 2 or 3, or F2 or F3. The study did not meet its primary endpoint, and we decided to shift resources that had previously been intended for a Phase 3 F2/F3 NASH development program toward advancing our other programs. Our ability to generate future product revenue from our current or future product candidates also depends on a number of additional factors, including our or our current collaborator’s and potential future collaborators’ ability to:</w:t>
      </w:r>
    </w:p>
    <w:p>
      <w:pPr>
        <w:spacing w:after="0" w:line="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p>
      <w:pPr>
        <w:jc w:val="both"/>
        <w:spacing w:after="0" w:line="254" w:lineRule="auto"/>
        <w:rPr>
          <w:sz w:val="20"/>
          <w:szCs w:val="20"/>
          <w:color w:val="auto"/>
        </w:rPr>
      </w:pPr>
      <w:r>
        <w:rPr>
          <w:rFonts w:ascii="Arial" w:cs="Arial" w:eastAsia="Arial" w:hAnsi="Arial"/>
          <w:sz w:val="18"/>
          <w:szCs w:val="18"/>
          <w:color w:val="auto"/>
        </w:rPr>
        <w:t>we are unable to predict if or when we will generate product revenue or achieve or maintain profitability. Even if we successfully complete development and regulatory processes,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recent years, all of our revenue has been from our collaboration partner, Merck. Other than our Amended Collaboration Agreement with Merck, we currently have no agreements that could provide us with material, ongoing future revenue and we may never enter into any such agreements. As described under “Overview of Our Business –Merck Collaboration” in Part I, Item 2 of this Quarterly Report on Form 10-Q and elsewhere in this “Risk Factors” section, after March 2022, the funding we receive from Merck under the Amended Collaboration Agreement will be substantially lower on an annual and overall basis than the research funding provided by Merck prior to that date. As a result, after March 2022, we will need to devote a substantial amount of our own financial resources to our R&amp;D programs, particularly with respect to our wholly-owned programs, and, to a lesser extent, with respect to our programs that are within the scope of the continuing collaboration under the Amended Collaboration Agreement and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development through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In addition,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 For more information, see “Risks Related to Our Dependence on Merck and Other Third Parties” below.</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After March 2022, we will need to devote a substantial amount of our own financial resources to our R&amp;D programs and, in order to complete the development and commercialization of our current and potential future product candidates, we will require substantial additional capital which may not be available to us on acceptable terms, or at all, and as a result, we may be required to delay, scale back or discontinue development of such product candidates.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an R&amp;D company, our operations have consumed substantial amounts of cash since inception and we will require substantial additional capital to finance our operations and pursue our strategy. In this regard, we do not have any committed external source of funds, other than pursuant to the current terms of our collaboration with Merck, which is limited in scope and duration, and may be unilaterally terminated by Merck under certain circumstances. In addition, as described in more detail under “Risks Related to Our Dependence on Merck and Other Third Parties” below, under the terms of the Amended Collaboration Agreement, the funding we receive from Merck under our continuing collaboration after March 2022 will be substantially lower on an annual and overall basis than the research funding provided by Merck prior to that date. As a result, after March 2022, we will need to devote a substantial amount of our own financial resources to our R&amp;D programs, particularly with respect to our wholly-owned programs and, to a lesser extent, with respect to our programs that are within the scope of the continuing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Moreover, we may be required to develop and implement additional clinical study policies and procedures to mitigate the evolving effects of the COVID-19 pandemic, which could significantly increase our R&amp;D expenses.</w:t>
      </w:r>
    </w:p>
    <w:p>
      <w:pPr>
        <w:spacing w:after="0" w:line="1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from the date our interim condensed financial statements are filed. We have based this estimate on assumptions that may prove to be wrong, and we could utilize our available capital resources sooner than we currently expect. In addition, our forecast of the period of time through which our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color w:val="auto"/>
        </w:rPr>
        <w:t>financial resources will be adequate to support our operations is a forward-looking statement that involves risks and uncertainties, and actual results could vary materially as a result of a number of factors, including the factors discussed elsewhere in this “Risk Factors” section. Our future funding requirements, both short- and long-term, will depend on many factors, including:</w:t>
      </w:r>
    </w:p>
    <w:p>
      <w:pPr>
        <w:spacing w:after="0" w:line="94" w:lineRule="exact"/>
        <w:rPr>
          <w:sz w:val="20"/>
          <w:szCs w:val="20"/>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22" w:lineRule="exact"/>
        <w:rPr>
          <w:rFonts w:ascii="Arial" w:cs="Arial" w:eastAsia="Arial" w:hAnsi="Arial"/>
          <w:sz w:val="18"/>
          <w:szCs w:val="18"/>
          <w:color w:val="auto"/>
        </w:rPr>
      </w:pPr>
    </w:p>
    <w:p>
      <w:pPr>
        <w:ind w:left="660" w:right="40" w:hanging="328"/>
        <w:spacing w:after="0" w:line="23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completion of human proof-of-concept studies or at the earlier license option point as specified in the Amended Collaboration Agreement for each such candidate;</w:t>
      </w:r>
    </w:p>
    <w:p>
      <w:pPr>
        <w:spacing w:after="0" w:line="4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Amended Collaboration Agreement or terminates a program that it has licensed (such as Merck’s termination of its license for our growth differentiation factor 15, GDF15, agonist program, including the NGM395 and NGM386 product candidates);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March 2022, the extent to which we exceed the funding caps provided in the Amended Collaboration Agreement;</w:t>
      </w:r>
    </w:p>
    <w:p>
      <w:pPr>
        <w:spacing w:after="0" w:line="103" w:lineRule="exact"/>
        <w:rPr>
          <w:rFonts w:ascii="Arial" w:cs="Arial" w:eastAsia="Arial" w:hAnsi="Arial"/>
          <w:sz w:val="18"/>
          <w:szCs w:val="18"/>
          <w:color w:val="auto"/>
        </w:rPr>
      </w:pPr>
    </w:p>
    <w:p>
      <w:pPr>
        <w:ind w:left="660" w:hanging="328"/>
        <w:spacing w:after="0" w:line="225"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after March 2022, the amount of our financial resources that we will need to devote to our R&amp;D programs and our obligations under the Amended Collaboration Agreement, and our ability to raise adequate additional capital to meet our requirements;</w:t>
      </w:r>
    </w:p>
    <w:p>
      <w:pPr>
        <w:spacing w:after="0" w:line="54"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are unable to raise adequate additional capital, we may be prevented from pursuing research, development and commercialization efforts, which will have a material adverse effect on our business, operating results and prospects.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raise additional funds by issuing equity securities, as we have in 2021, our stockholders may experience dilution. Debt financing, if available, may involve restrictive covenants. Any debt financing or additional equity that we raise may contain terms that are not favorable to us or our stockholders. Furthermore, any securities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8"/>
          <w:szCs w:val="18"/>
          <w:color w:val="auto"/>
        </w:rPr>
        <w:t>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adequate funds are not available when we need them, we may need to:</w:t>
      </w:r>
    </w:p>
    <w:p>
      <w:pPr>
        <w:spacing w:after="0" w:line="96"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all operations;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strategic alliances for R&amp;D programs when we otherwise would not, at an earlier stage than we would otherwise desire or on terms less favorable than might otherwise be available; or</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develop or seek to commercialize ourselves, and we may not be able to enter into such agreements on acceptable terms, if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ended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or IPO,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has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described in more detail under “Overview of Our Business – Merck Collaboration” in Part I, Item 2 of this Quarterly Report on Form 10-Q and elsewhere in this “Risk Factors” section, our continuing Merck collaboration involves a complex allocation of rights, provides for certain R&amp;D funding and, for products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Under the Amended Collaboration Agreement, the research phase of the collaboration continues generally through March 2024, with possible extensions for each of the various programs to allow us or Merck to complete ongoing development. In addition, the level of research funding we expect to receive from Merck after March 2022 will be substantially lower on an annual and overall basis than the research funding provided by Merck prior to that date. In addition, we do not know whether Merck will exercise its option to license additional product candidates 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color w:val="auto"/>
        </w:rPr>
        <w:t>whether Merck will terminate its license to a licensed program under the terms of the Amended Collaboration Agreement or otherwise. See also the risk factor titled “Our collaboration with Merck involves numerous risks, any of which could materially and adversely affect our business and financial condition” below.</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continuing collaboration with Merck.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each of our collaborators’ abilities to successfully perform the functions assigned to them in such arrangement.</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63" w:lineRule="exact"/>
        <w:rPr>
          <w:sz w:val="20"/>
          <w:szCs w:val="20"/>
          <w:color w:val="auto"/>
        </w:rPr>
      </w:pPr>
    </w:p>
    <w:p>
      <w:pPr>
        <w:jc w:val="both"/>
        <w:ind w:left="660" w:hanging="328"/>
        <w:spacing w:after="0" w:line="25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terms of the continuing collaboration with Merck, if Merck exercises its option to acquire an exclusive license for a product candidate that is within the scope of the continuing collaboration, our ability to influence the resources Merck devotes to such product candidate are substantially reduced until such time, if any, that we exercise our right to participate in a cost and profit-sharing arrangement. Even after we exercise that right to participate in a cost and profit-sharing arrangement, our ability to influence Merck will be limited.</w:t>
      </w:r>
    </w:p>
    <w:p>
      <w:pPr>
        <w:spacing w:after="0" w:line="45"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in June 2021, we and Merck entered into the Amended Collaboration Agreement that covers a narrower scope than contemplated in the Original Agreement, which scope is focused primarily on ophthalmology- and CVM-related therapeutic areas. In addition, under the terms of the Amended Collaboration Agreement, it is possible for Merck to unilaterally terminate the MK-3655 program and any other program (whether or not we have exercised our cost and profit-sharing option) upon prior written notice, such as it did for NGM386 and NGM395, without triggering a termination of the remainder of the Amended Collaboration Agreement. Moreover, Merck might also opt not to designate any collaboration product candidates for further development during the tail period following the end of the research phase or exercise any of its options to acquire a license to a product candidate.</w:t>
      </w:r>
    </w:p>
    <w:p>
      <w:pPr>
        <w:spacing w:after="0" w:line="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35"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p>
      <w:pPr>
        <w:jc w:val="both"/>
        <w:spacing w:after="0" w:line="287" w:lineRule="auto"/>
        <w:rPr>
          <w:sz w:val="20"/>
          <w:szCs w:val="20"/>
          <w:color w:val="auto"/>
        </w:rPr>
      </w:pPr>
      <w:r>
        <w:rPr>
          <w:rFonts w:ascii="Arial" w:cs="Arial" w:eastAsia="Arial" w:hAnsi="Arial"/>
          <w:sz w:val="18"/>
          <w:szCs w:val="18"/>
          <w:b w:val="1"/>
          <w:bCs w:val="1"/>
          <w:i w:val="1"/>
          <w:iCs w:val="1"/>
          <w:color w:val="auto"/>
        </w:rPr>
        <w:t>Our collaboration with Merck involves numerous risks, any of which could materially and adversely affect our business and financial condition.</w:t>
      </w:r>
    </w:p>
    <w:p>
      <w:pPr>
        <w:spacing w:after="0" w:line="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to those risks related to our continuing collaboration with Merck under the Amended Collaboration Agreement described elsewhere in this ‘‘Risk Factors’’ section, in the event that Merck decides to take over any designated product candidates for development during any tail period, we could be subject to disputes with Merck with respect to their obligation to use commercially reasonable efforts with respect to such development, which could delay or preclude the further development of the affected product candidate, and we could otherwise be subject to disputes with Merck over the scope of the parties’ respective rights under the Amended Collaboration Agreement.</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under the Amended Collaboration Agreement, Merck has the unilateral right to terminate all or part of the agreement at certain times and under certain circumstances. Merck also may unilaterally terminate its research funding for programs within the scope of the continuing collaboration if we are acquired by a third party or in the event of an uncured material breach by us.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Subject to certain limitations, Merck may partially terminate the Amended Collaboration Agreement for convenience as it relates to MK-3655 or any future licensed program. For example, under the Original Agreement, Merck terminated its license to our GDF15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If Merck terminates funding or terminates the Amended Collaboration Agreement, it could delay or preclude our ability to complete certain of our research and development programs, which would materially and adversely affect our business and our stock price would likely decline.</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contract research organizations, or CROs, clinical data management organizations, clinical investigators, contract manufacturing organizations/contract development and manufacturing organizations, or CMOs, and other third parties to support our discovery efforts, to formulate product candidates, to conduct our clinical trials and certain aspects of our research and preclinical studies,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 For more information, see the risk factor entitled “</w:t>
      </w:r>
      <w:r>
        <w:rPr>
          <w:rFonts w:ascii="Arial" w:cs="Arial" w:eastAsia="Arial" w:hAnsi="Arial"/>
          <w:sz w:val="18"/>
          <w:szCs w:val="18"/>
          <w:i w:val="1"/>
          <w:iCs w:val="1"/>
          <w:color w:val="auto"/>
        </w:rPr>
        <w:t>We are subject to many manufacturing risks, any of which could substantially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increase our costs and limit supply of our product candidates and any future products" </w:t>
      </w:r>
      <w:r>
        <w:rPr>
          <w:rFonts w:ascii="Arial" w:cs="Arial" w:eastAsia="Arial" w:hAnsi="Arial"/>
          <w:sz w:val="18"/>
          <w:szCs w:val="18"/>
          <w:color w:val="auto"/>
        </w:rPr>
        <w:t>below.</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cannot guarantee that we or, as applicable, any of our collaborators will be able to successfully negotiate agreements for, or maintain relationships with, our respective collaborators, partners, licensees, CROs, clinical data management organizations, clinical investigators, CMOs and other third parties on favorable terms, if at all. If we or any of our collaborators are unable to obtain or maintain these agreements, we may not be able to clinically develop, formulate, manufacture, obtain regulatory approvals for or commercialize our product candidates, which will, in turn, adversely affect our business. If we or any of our collaborators need to enter into alternative arrangements, it would delay our product development activities and such alternative arrangements may not be available on terms acceptable to us.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R&amp;D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However, we cannot control the amount or timing of resources our collaborators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in accordance with regulatory requirements or our stated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18"/>
          <w:szCs w:val="18"/>
          <w:color w:val="auto"/>
        </w:rPr>
        <w:t>protocols, we will not be able to obtain, or may be delayed in obtaining, marketing approvals for our product candidates and will not be able to, or may be delayed in our efforts to, successfully commercialize our medicines.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agreements we have or may enter into with these third parties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research, development and commercialization plans.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outside of the scope of the continuing collaboration with Merck, we may decide to collaborate with other pharmaceutical and biotechnology companies for their development and potential commercialization.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including the potential market for the subject product candidate.</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may be restricted under existing collaboration agreements from entering into future agreements on certain terms with potential collaborators. For example, under the current terms of our Amended Collaboration Agreement with Merck, we may not directly or indirectly research, develop, manufacture or commercialize, except pursuant to the Amended Collaboration Agreement, any medicine or product candidate that modulates a target then subject to the collaboration with specified activity, including, if Merck exercises its option to license a program, we may not directly or indirectly research, develop, manufacture or commercialize any product with specified activity</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against the target that is the subject of that program for so long as Merck’s license to that program remains in effect. The FGF19 program, including aldafermin, is excluded from this provision, notwithstanding that both aldafermin and MK-3655 signal, in part, through the FGFR1c pathway. In addition, under the Amended Collaboration Agreement, we are prohibited from, directly or indirectly, researching, developing or commercializing any product for the treatment of heart failure with preserved ejection fraction (HFpEF) during the research phase for the CVM-related programs.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not be able to negotiate potential future collaborations on a timely basis, on acceptable terms or at all. If we are unable to do so, we may have to delay, scale back or discontinue our research, the development of any product candidate for which we are seeking a collaboration or one or more of our other development programs, delay a product candidate's potential commercialization or reduce the scope of any sales or marketing activities or increase our expenditures and undertake development or commercialization activities at our own expense.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product candidates will be subject to rigorous and extensive clinical trials before we can seek regulatory approval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FDA and comparable foreign health authorities. Clinical trials may be delayed, suspended or terminated at any time for reasons including: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2" w:name="page53"/>
    <w:bookmarkEnd w:id="52"/>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IRBs, or other governing entities at clinical trial sites selected for participation in our clinical trials;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including as a result of the evolving effects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particular, we or our partners may be unable to enroll the patients we need to complete clinical trials on a timely basis, or at all. For example, there is significant competition for recruiting patients with NASH in clinical trials. In addition, clinical trial enrollment generally continues to be negatively affected by the effects of the COVID-19 pandemic as a result of delays in additional clinical trial site initiation, suspension of enrollment at clinical trial sites or patient reluctance to participate in a clinical trial during quarantines or shelter-in-place orders or otherwise, particularly in medically vulnerable patient populations. This has impacted site initiation and enrollment in our ongoing Phase 2b ALPINE 4 clinical trial of aldafermin in patients with compensated NASH cirrhosis (F4 liver fibrosis), which has been slower than expected, and in our trial of NGM120, including the Phase 2 portion of our ongoing Phase 1/2 PINNACLES clinical trial of NGM120, which is studying NGM120 in combination with gemcitabine and Nab-paclitaxel as first-line treatment in patients with metastatic pancreatic cancer to assess NGM120’s effect on both cancer and cancer-related cachexia. In particular, due to the fact that enrollment in our ALPINE 4 trial has been slower than expected, we are considering enrolling fewer patients than originally anticipated and potentially changing the study's primary endpoint in order to be able to complete enrollment in the trial in the first quarter of 2022. If the evolving effects of the COVID-19 pandemic persist or become more severe, we could experience significant disruptions to our clinical development timelines, which would adversely affect our business, financial condition, results of operations and growth prospects.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recently, the manufacturer of Abraxane® (paclitaxel protein bound), or Abraxane, reported a shortage of Abraxane to the FDA due to manufacturing delays. Abraxane, also referred to as Nab-paclitaxel, is required for treatment of patients in our NGM120 PINNACLES trial, and it is possible that if our clinical trial sites are unable to obtain Nab-paclitaxel in a timely fashion, or at all, that enrollment in the PINNACLES trial could substantially be delayed or precluded altogether.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3" w:name="page54"/>
    <w:bookmarkEnd w:id="53"/>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also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health authorities, we may incur additional costs or experience delays in completing, or ultimately be unable to complete, the development and commercialization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are in various stages of development and our most advanced product candidates are still only in Phase 2 development. Before obtaining marketing approval from health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In addition, there is a high failure rate for drugs and biologic products proceeding through clinical trials and failure can occur at any stage of testing. For example, in May 2021, we announced that our Phase 2b ALPINE 2/3 trial evaluating aldafermin in patients with NASH and F2 or F3 liver fibrosis did not meet its primary endpoint and that we decided to shift resources that had previously been reserved for a Phase 3 F2/F3 NASH development program toward advancing our other programs. While we are continuing enrollment in the Phase 2b ALPINE 4 clinical trial of aldafermin in patients with compensated NASH cirrhosis (F4 liver fibrosis), we are considering enrolling fewer patients than originally anticipated and potentially changing the study's primary endpoint in order to be able to complete enrollment in the trial in the first quarter of 2022, and we may determine to discontinue any further development of aldafermin, in which case, we will not receive any return on our investment in aldafermin. 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Owing in part to the complexity of biological pathways, our product candidates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Aldafermin, which is wholly-owned by us, as well as MK-3655, which is being developed by our collaborator, Merck, are being developed for the treatment of NASH, an indication for which there are no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8"/>
          <w:szCs w:val="18"/>
          <w:b w:val="1"/>
          <w:bCs w:val="1"/>
          <w:i w:val="1"/>
          <w:iCs w:val="1"/>
          <w:color w:val="auto"/>
        </w:rPr>
        <w:t>approved products. This makes it difficult to predict the timing, cost and potential success of their clinical development and regulatory approval for the treatment of NASH.</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Merck is developing MK-3655, for the treatment of NASH, an indication for which there are no approved products. Implementation of new, or changes to, guidance or interpretations from the FDA or comparable foreign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three of our oncology product candidates, NGM707, NGM831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in spite of the results we had obtained in our Phase 1 trials of aldafermin and in our completed Phase 2 trial, including the data from the fourth and final 24-week expansion cohort of that trial in patients with NASH with fibrosis stage F2 or F3, in May 2021, we announced that our Phase 2b ALPINE 2/3 trial evaluating aldafermin in patients with NASH and F2 or F3 liver fibrosis did not meet its primary endpoint. In addition, some of our clinical trials involve small patient populations, sometimes at single sites, and the results of these clinical trials may be subject to substantial variability and may not be indicative of either future interim results or final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and our research methodology may not successfully identify medically-relevant protein or antibody therapeutics or new product candidates. In addition, our drug discovery efforts tend to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new product candidates to advance into clinical trials could have a material adverse effect on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process development capabilities and only have access to external CMOs to provide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 to date:</w:t>
      </w:r>
    </w:p>
    <w:p>
      <w:pPr>
        <w:spacing w:after="0" w:line="40"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loss or other negative consequences due to contamination, equipment failure, improper installation or operation of equipment, vendor or operator error, shortages of qualified personnel or improper storage conditions;</w:t>
      </w:r>
    </w:p>
    <w:p>
      <w:pPr>
        <w:spacing w:after="0" w:line="35"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negative consequences of failure to comply with strictly enforced federal, state and foreign regulations;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 minor deviations from normal manufacturing processes have in the past and may in the future result in reduced production yields, product defects and other supply disruptions;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presence of microbial, viral or other contaminants discovered in our product candidates or in the manufacturing facilities in which they are made, may necessitate closure of facilities for an extended period of time to investigate and eliminate the contamination;</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negative consequences of our CMOs' failure to qualify upon an audit by regulatory authorities, by us or, in the case of product candidates subject to our collaboration with Merck, by Merck; and</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CMOs' manufacturing facilities being adversely affected by labor and raw material shortages, turnover of qualified staff or financial difficulties of their owners or operators, including as a result of the evolving effects of the COVID-19 pandemic, or by natural disasters, power failures, local political unrest or other factors.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ensure that issues relating to the manufacture or testing of our product candidates, such as those described above, will not occur, or continue to occur, in the future.</w:t>
      </w:r>
    </w:p>
    <w:p>
      <w:pPr>
        <w:spacing w:after="0" w:line="2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In addition, for MK-3655 and any other product candidates licensed by Merck, we will rely on Merck’s internal manufacturing capacity or a third-party manufacturer engaged by Merck.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transfer of our small-scale manufacturing processes to CMOs for scale up and validation, such as our ongoing activities with a CMO to transfer the process for the manufacture of NGM621 in anticipation of a potential Phase 3 trial, and any later scale up and validation of the manufacturing process in the CMOs' facilities to manufacture larger quantities, involve difficult and complex processes. We may not be successful in transferring our production system to a CMO, either because they are unable to implement the process successfully in their facilities or for other reasons. Later scale-up activities are also difficult and costly and entail risks such as process reproducibility, stability, consistency and other technical challenges. If we are unable to adequately validate or scale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8"/>
          <w:szCs w:val="18"/>
          <w:color w:val="auto"/>
        </w:rPr>
        <w:t>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2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Similarly, at various points in development we or our CMOs may make changes to our product candidates' manufacturing processes for many reasons, including scaling up, facility fit, raw material or component availability, decreasing costs or timing of production, improving processing robustness and reliability, decreasing processing times or other reasons.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 in later trials or later stages of an ongoing trial. These efforts are expensive and there is no assurance that they will be successful, which could impact our ability to continue or initiate clinical trials in a timely manner, or at all.</w:t>
      </w:r>
    </w:p>
    <w:p>
      <w:pPr>
        <w:spacing w:after="0" w:line="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product candidates or drug substances that fail to meet specifications or cannot be used before their expiration dates. In addition, for out of specification materials, we may need to undertake costly remediation efforts or manufacture new batches at considerable cost and time delays or, in the longer run, seek more expensive manufacturing alternatives.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Single sourcing also imposes a risk of interruption or delays in supply in the event of manufacturing, quality or compliance difficulties and/or other difficulties in timely supplying us with materials. For example, while we continue to expect to commence first-in-human testing of NGM438 and NGM831 in the first half of 2022, our planned IND submissions for NGM438 and NGM831 have been delayed due to challenges at our CMO, primarily related to analytical method qualification and release testing for those product candidates. It is possible that we could experience further supply-related delays that would adversely affect our ability to commence first-in-human testing of NGM438 and NGM831 on the anticipated timing. Moreover, we do not currently have arrangements in place for redundant supply for bulk drug substances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candidates use certain raw materials for their manufacture, such as reagents that support cell growth, purification materials and testing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Any significant delay in the acquisition or decrease in the availability of these materials, components or other items could considerably delay the manufacture of our product candidates or the conduct of our clinical trials, which could adversely impact the timing or completion of any ongoing and planned trials or the timing of regulatory approvals, if any, of our product candidates.</w:t>
      </w:r>
    </w:p>
    <w:p>
      <w:pPr>
        <w:spacing w:after="0" w:line="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In addition, the operations of our CMOs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or raw materials or components in a way that delays or interrupts our supply of clinical trial material. For example,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7" w:name="page58"/>
    <w:bookmarkEnd w:id="57"/>
    <w:p>
      <w:pPr>
        <w:jc w:val="both"/>
        <w:spacing w:after="0" w:line="229" w:lineRule="auto"/>
        <w:rPr>
          <w:sz w:val="20"/>
          <w:szCs w:val="20"/>
          <w:color w:val="auto"/>
        </w:rPr>
      </w:pPr>
      <w:r>
        <w:rPr>
          <w:rFonts w:ascii="Arial" w:cs="Arial" w:eastAsia="Arial" w:hAnsi="Arial"/>
          <w:sz w:val="18"/>
          <w:szCs w:val="18"/>
          <w:color w:val="auto"/>
        </w:rPr>
        <w:t>government entities to allocate or prioritize manufacturing capacity, raw materials or components for the manufacture or distribution of COVID-19 vaccines or medical supplies needed to treat COVID-19 patients, this could also delay our clinical trials, perhaps substantially, which could materially and adversely affect our business.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further delays or interruptions in the supply of clinical trial material could delay the completion or initiation of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spacing w:after="0" w:line="1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evaluate the safety profile of our product candidates. Patients in certain of our ongoing or planned clinical trials, particularly those with NASH with more advanced fibrosis and patients with cancer, also often commonly enter our trials with significant comorbidities or advanced life-threatening illness and/or are treated in the trial with our product candidate in combination with other medications, including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clinical trials of aldafermin to date, a number of serious adverse events, or SAEs, most of which have been classified as mild to moderate, have been reported in the treatment arms of our completed Phase 1 and Phase 2 clinical trials, including one patient in Cohort 1 of our Phase 2 clinical trial who experienced an SAE, acute pancreatitis, that was assessed as possibly related to aldafermin. Patients have also experienced, and we have reported, SAEs in our completed trials of MK-3655, NGM621 and NGM120. Ocular SAEs reported in our ongoing Phase 2 CATALINA trial of NGM621, which remains masked to treatment assignment, include retinal detachment in the non-study eye, development of choroidal neovascularization in the study and non-study eye, visual worsening due to arterial occlusive disease in the study eye and worsening of vision due to GA worsening in the study and non-study eye.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If patients in any of our clinical trials experience a high or unacceptable severity and prevalence of side effects, including particularly SAEs, it could affect patient recruitment or the ability of enrolled patients to complete their treatment in a clinical trial or result in failure to obtain regulatory approval for our product candidates or product liability claims.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including aldafermin, which is an engineered variant of the FGF19 protein,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have developed an assay to measure the presence of ADAs against aldafermin for our ongoing NASH program, which we are using to test patient samples and which will need to be evaluated by regulatory agencies. The presence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jc w:val="both"/>
        <w:spacing w:after="0" w:line="252" w:lineRule="auto"/>
        <w:rPr>
          <w:sz w:val="20"/>
          <w:szCs w:val="20"/>
          <w:color w:val="auto"/>
        </w:rPr>
      </w:pPr>
      <w:r>
        <w:rPr>
          <w:rFonts w:ascii="Arial" w:cs="Arial" w:eastAsia="Arial" w:hAnsi="Arial"/>
          <w:sz w:val="18"/>
          <w:szCs w:val="18"/>
          <w:color w:val="auto"/>
        </w:rPr>
        <w:t>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IVT injections, including investigators in the Phase 2 CATALINA trial, has issued a notice that such single-use syringes should not be used for ocular medications due to an increased potential for adverse eye conditions. We have not experienced any safety concerns in our ongoing or completed NGM621 clinical trials relating to syringe use; however, we have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 is a modified version of a human hormone that has been associated with liver cancer in rodent testing.</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investigational new drug, or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Aldafermin is a modified version of FGF19 that we believe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safe and superior to alternative treatments. Concerns about the association between FGF19 and liver cancer could have an adverse effect on our ability to develop and commercialize aldafermin.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or make arrangements with third parties to perform these services for us. If we exercise our co-detailing rights in the United States with respect to the Merck collaboration, we will be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9" w:name="page60"/>
    <w:bookmarkEnd w:id="59"/>
    <w:p>
      <w:pPr>
        <w:jc w:val="both"/>
        <w:spacing w:after="0" w:line="252" w:lineRule="auto"/>
        <w:rPr>
          <w:sz w:val="20"/>
          <w:szCs w:val="20"/>
          <w:color w:val="auto"/>
        </w:rPr>
      </w:pPr>
      <w:r>
        <w:rPr>
          <w:rFonts w:ascii="Arial" w:cs="Arial" w:eastAsia="Arial" w:hAnsi="Arial"/>
          <w:sz w:val="18"/>
          <w:szCs w:val="18"/>
          <w:color w:val="auto"/>
        </w:rPr>
        <w:t>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to concentrate our resources elsewhere, also may be incorrect and could cause us to miss valuable opportunities.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profit-sharing program that proves commercially successful.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our Chief Scientific Officer, Dr. Jin-Long Chen, or continue to attract and retain qualified scientific, technical and business personnel, our business will suffer.</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R&amp;D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During the ongoing COVID-19 pandemic, we have experienced employee attrition at rates higher than we have experienced historically, which may continue and could have a negative impact on our productivity. If we are unable to continue to attract and retain high-quality personnel, the rate and success with which we can discover and develop product candidates and our business will be limited.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Over the past few years,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also may not be able to expand or identify sufficiently-sized facilities to accommodate our growth, particularly given our location in South San Francisco, California and the current high demand for, and restricted supply of, R&amp;D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target the same diseases that are targeted by our most advanced product candidates, particularly in the oncology field.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Part I, Item 1 of our Annual Report on Form 10-K for the year ended December 31, 2020 filed with the SEC on March 15,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1" w:name="page62"/>
    <w:bookmarkEnd w:id="61"/>
    <w:p>
      <w:pPr>
        <w:jc w:val="both"/>
        <w:ind w:firstLine="648"/>
        <w:spacing w:after="0" w:line="252" w:lineRule="auto"/>
        <w:rPr>
          <w:sz w:val="20"/>
          <w:szCs w:val="20"/>
          <w:color w:val="auto"/>
        </w:rPr>
      </w:pPr>
      <w:r>
        <w:rPr>
          <w:rFonts w:ascii="Arial" w:cs="Arial" w:eastAsia="Arial" w:hAnsi="Arial"/>
          <w:sz w:val="18"/>
          <w:szCs w:val="18"/>
          <w:color w:val="auto"/>
        </w:rPr>
        <w:t>In addition, Apellis Pharmaceuticals, Inc., or Apellis, recently presented top-line results from two Phase 3 clinical trials of its product candidate, pegcetacoplan, in patients with geographic atrophy secondary to age-related macular degeneration. One trial met the primary endpoint of significantly reducing geographic atrophy progression at a one-year time point in the pegcetacoplan arm versus the sham arm, while the other trial did not meet its primary endpoint. Apellis reported that it plans to submit a new drug application for pegcetacoplan for geographic atrophy to the FDA in the first half of 2022. If Apellis obtains regulatory approval of pegcetacoplan, even if we obtain regulatory approval of NGM621, we may not be able to compete effectively against pegcetacoplan which may adversely affect our future revenues and business prospects.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4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49" w:lineRule="exact"/>
        <w:rPr>
          <w:rFonts w:ascii="Arial" w:cs="Arial" w:eastAsia="Arial" w:hAnsi="Arial"/>
          <w:sz w:val="18"/>
          <w:szCs w:val="18"/>
          <w:color w:val="auto"/>
        </w:rPr>
      </w:pPr>
    </w:p>
    <w:p>
      <w:pPr>
        <w:ind w:left="660" w:right="300" w:hanging="328"/>
        <w:spacing w:after="0" w:line="23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pricing and the availability of coverage and adequate reimbursement by third parties and government authorities as described below;</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if any. In addition, see the risk factor titled “Our product candidates may cause undesirable side effects or adverse events or have other properties or safety risks, which could delay or prevent continued clinical development or their regulatory approval or limit the commercial profile of any approved label” above. If 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in the United States and abroad, which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62" w:name="page63"/>
    <w:bookmarkEnd w:id="62"/>
    <w:p>
      <w:pPr>
        <w:jc w:val="both"/>
        <w:spacing w:after="0" w:line="256" w:lineRule="auto"/>
        <w:rPr>
          <w:sz w:val="20"/>
          <w:szCs w:val="20"/>
          <w:color w:val="auto"/>
        </w:rPr>
      </w:pPr>
      <w:r>
        <w:rPr>
          <w:rFonts w:ascii="Arial" w:cs="Arial" w:eastAsia="Arial" w:hAnsi="Arial"/>
          <w:sz w:val="18"/>
          <w:szCs w:val="18"/>
          <w:color w:val="auto"/>
        </w:rPr>
        <w:t>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Congress has not passed comprehensive legislation repealing the ACA, it has introduced legislation to modify certain provisions and will likely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On June 17, 2021, the U.S. Supreme Court dismissed a challenge on procedural grounds that argued the ACA is unconstitutional in its entirety because the “individual mandate” was repealed by Congress. Thus, the ACA remains in effect in its current form, although it may be subject to judicial or Congressional challenges in the future. It is unclear how any such challenges and the healthcare reform measures of the administration of President Biden will impact the ACA or our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jc w:val="both"/>
        <w:ind w:firstLine="648"/>
        <w:spacing w:after="0" w:line="221" w:lineRule="auto"/>
        <w:rPr>
          <w:sz w:val="20"/>
          <w:szCs w:val="20"/>
          <w:color w:val="auto"/>
        </w:rPr>
      </w:pPr>
      <w:r>
        <w:rPr>
          <w:rFonts w:ascii="Arial" w:cs="Arial" w:eastAsia="Arial" w:hAnsi="Arial"/>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the United States Department of Health and Human Services, or HHS, released a Comprehensive Plan for Addressing High Drug Prices that outlines principles for drug pricing reform and sets out a variety of potential legislative policies that Congress could pursue to lower drug prices.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43" w:lineRule="exact"/>
        <w:rPr>
          <w:sz w:val="20"/>
          <w:szCs w:val="20"/>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 and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100" w:lineRule="exact"/>
        <w:rPr>
          <w:sz w:val="20"/>
          <w:szCs w:val="20"/>
          <w:color w:val="auto"/>
        </w:rPr>
      </w:pPr>
    </w:p>
    <w:p>
      <w:pPr>
        <w:jc w:val="both"/>
        <w:ind w:left="66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5" w:name="page66"/>
    <w:bookmarkEnd w:id="65"/>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4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4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43"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payments and transfers of value to physician assistants, nurse practitioners, anesthesiologist assistants, clinical nurse specialists, certified registered nurse anesthetists and certified nurse midwives during the previous year; and</w:t>
      </w:r>
    </w:p>
    <w:p>
      <w:pPr>
        <w:spacing w:after="0" w:line="49"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8"/>
          <w:szCs w:val="18"/>
          <w:color w:val="auto"/>
        </w:rPr>
        <w:t>sole supplier of clinical drug substance for NGM120, NGM621, NGM707, NGM831 and NGM438 is located in a region that has experienced political unrest. If our operations or the operations of third parties providing services to us experiences are disrupted by any such occurrences, our business and future prospects may be negatively affected.</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Following guidance from federal, state and local authorities, we operated with a primarily remote work model from March 2020 through October 2021, under which employees working on site were mostly individuals conducting essential in-person laboratory work and other business functions considered</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essential under COVID-19 regulations and guidance, while others worked remotely. In October 2021, we allowed additional employees to return to on-site work. Although we have re-opened our facilities under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we first transitioned to a primarily remote work model in March 2020 and to date in 2021, we have experienced employee attrition at rates higher than we have experienced historically and an increased rate of hiring new employees. We cannot predict whether these trends will continue or be exacerbated, the impact on future productivity or whether or when we may be required to return to a more restrictive work model as the COVID-19 pandemic evolves. Future similar, and perhaps more severe, disruptions in our operations could materially and adversely impact our business, financial condition, results of operations and growth prospects.</w:t>
      </w:r>
    </w:p>
    <w:p>
      <w:pPr>
        <w:spacing w:after="0" w:line="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the COVID-19 pandemic continues to evolve, there may be additional negative impacts on our ability to initiate new clinical trial sites, maintain enrollment of existing patients and enroll new patients, which may affect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time to time, a slower pace of clinical site initiation and clinical trial enrollment than originally anticipated in certain of our clinical trials, including the ALPINE 4, CATALINA and NGM120 trials, and we experienced a higher dropout rate in our</w:t>
      </w:r>
    </w:p>
    <w:p>
      <w:pPr>
        <w:spacing w:after="0" w:line="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ALPINE 2/3 trial than we had anticipated based on our previous trials in patients with NASH. In particular, enrollment in our ALPINE 4 trial has been slower than expected, and we are considering enrolling fewer patients than originally anticipated and potentially changing the study's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7" w:name="page68"/>
    <w:bookmarkEnd w:id="67"/>
    <w:p>
      <w:pPr>
        <w:jc w:val="both"/>
        <w:spacing w:after="0" w:line="256" w:lineRule="auto"/>
        <w:rPr>
          <w:sz w:val="20"/>
          <w:szCs w:val="20"/>
          <w:color w:val="auto"/>
        </w:rPr>
      </w:pPr>
      <w:r>
        <w:rPr>
          <w:rFonts w:ascii="Arial" w:cs="Arial" w:eastAsia="Arial" w:hAnsi="Arial"/>
          <w:sz w:val="18"/>
          <w:szCs w:val="18"/>
          <w:color w:val="auto"/>
        </w:rPr>
        <w:t>primary endpoint in order to be able to complete enrollment in the trial in the first quarter of 2022. We believe the slower enrollment may be due to factors such as the vulnerability of our studied patient populations, clinical trial site suspensions, reallocation of medical resources and the challenges of working remotely due to shelter-in-place and similar government orders and guidelines, among other factors.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trial participants from exposure to COVID-19 as a result of their trial participation, which include the use of telemedicine visits, remote monitoring of patients and clinical trial sites and other measures, as appropriate,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Quarantines, shelter-in-place and similar government orders and guidelines could impact personnel at third-party manufacturing facilities in the United States and other countries, or the availability or cost of materials, which would disrupt our supply chain and delay our clinical development efforts. Likewise, the operations of our third-party manufacturers may be requisitioned, diverted or allocated by U.S. or foreign government orders such as under emergency, disaster and civil defense declarations in connection with the COVID-19 pandemic or otherwise. Refer the risk factor titled “We are subject to many manufacturing risks, any of which could substantially increase our costs and limit supply of our product candidates and any future products.” 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economic impact caused by, and the duration of, the COVID-19 pandemic may be difficult to assess or predict, the COVID-19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Amended Collaboration Agreement.</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continued spread of the Delta variant in the United States and other countries and the potential emergence of other SARS-CoV-2 variants that may prove especially contagious or virulent, the ultimate duration and severity of the COVID -19 pandemic, government actions, such as travel restrictions, quarantines and social distancing requirements in the United States and in other countries, business closures or business disruptions, and the effectiveness of vaccination programs and other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our CROs, our CMOs and other third parties we rely on could experience a cybersecurity incident that could harm our business.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The information and data processed and stored in our technology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8"/>
          <w:szCs w:val="18"/>
          <w:color w:val="auto"/>
        </w:rPr>
        <w:t>systems, and those of our research collaborators, CROs, CMOs, contractors, consultants and other third parties on which we depend to operate our business, may be vulnerable to security breaches, loss, damage, corruption, unauthorized access, use or disclosure or misappropriation. Such incidents also may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ongoing COVID-19 pandemic, certain functional areas of our workforce remain on a full- or part-time basis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In June 2019, a vendor that conducted bioanalytical services for some of our aldafermin clinical trials experienced a ransomware attack that resulted in a significant disruption to its IT systems but did not affect the integrity of our clinical sample data for aldafermin, as verified by independent vendors. More recently, in December 2020, we detected that an attacker had gained access to a single system on our network and unsuccessfully attempted to use that access to stage a broader attack against us.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data protection and information security. The restrictions imposed by these requirements or our failure to comply with them could harm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collect, use or transfer personal information from clinical trials participants and other individuals located in the EU. Additionally, if any of our product candidates are approved, we may seek to commercialize those products in the EU. The collection and use of personal information, including health data, in the EU and EEA are governed by the General Data Protection Regulation ((EU) 2016/679), or GDPR.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9" w:name="page70"/>
    <w:bookmarkEnd w:id="69"/>
    <w:p>
      <w:pPr>
        <w:jc w:val="both"/>
        <w:spacing w:after="0" w:line="221" w:lineRule="auto"/>
        <w:rPr>
          <w:sz w:val="20"/>
          <w:szCs w:val="20"/>
          <w:color w:val="auto"/>
        </w:rPr>
      </w:pPr>
      <w:r>
        <w:rPr>
          <w:rFonts w:ascii="Arial" w:cs="Arial" w:eastAsia="Arial" w:hAnsi="Arial"/>
          <w:sz w:val="18"/>
          <w:szCs w:val="18"/>
          <w:color w:val="auto"/>
        </w:rPr>
        <w:t>most other countries unless the receiving country offers comparable data protection laws. Decisions by the Court of Justice of the European Union, or CJEU, indicate that the United States does not offer adequate data protection that is comparable to the GDPR; however, one of the primary safeguards allowing United States companies to continue to import personal information from the EU has been the European Commission’s Standard Contractual Clauses, or SCCs. SCCs are standard contractual obligations that may be entered between a party exporting personal information from the EU and a party receiving the personal information in a third country. The CJEU adopted a decision in July 2020 validating that the SCCs can lawfully be used for personal information transfers from the EU to the United States, provided that the party exporting personal information from the EU conduct an analysis of the level of data protection available and take additional steps to guarantee adequate data protection, if needed. If adequate data protection cannot be guaranteed, EU citizens may complain to the data protection authorities, which may require data transfer under the contract to be suspended. On June 4, 2021, the European Commission adopted new SCCs, which impose on companies additional obligations relating to data transfers, including the obligation to conduct a transfer impact assessment and, depending on a party’s role in the transfer, to implement additional security measures and to update internal privacy practices. If we elect to rely on the new SCCs for data transfers, we may be required to incur significant time and resources to update our contractual arrangements and to comply with new obligations. The new SCCs may increase the legal risks and liabilities under European privacy, data protection and information security laws.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European data protection laws; however, uncertainty remains regarding any future regulations, interpretations or guidance that may be issued by the European authorities. At present, we primarily rely on individuals’ explicit consent to transfer their personal information from Europe to the United States and other countries, but in certain cases we have relied or may rely on the SCCs.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the export and processing of personal information from Europe. Our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UK has incorporated an amended version of the GDPR into UK law, which is independent from but aligned with the EU’s GDPR. Non-compliance with the UK data protection law may result in monetary penalties of up to £17.5 million or 4% of worldwide revenue, whichever is higher.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8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Privacy and data security laws in the United States are increasingly complex and changing rapidly. Just over a month after the GDPR took effect, the California legislature passed the California Consumer Privacy Act of 2018, or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The CCPA provides for civil penalties for violations. Since the enactment of the CCPA, new privacy and data security laws have been proposed in more than half of the states and in United States Congress, reflecting a trend toward more stringent privacy legislation in the United States. A patchwork of differing state privacy and data security laws would increase the cost and complexity of operating our business and increase our exposure to liability. The CCPA itself will expand substantially as a result of California voters approving a November 2020 ballot measure that adopted the California Privacy Rights Act of 2020,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and similar laws, which may increase our compliance costs, exposure to regulatory enforcement action and other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both"/>
        <w:spacing w:after="0" w:line="261" w:lineRule="auto"/>
        <w:rPr>
          <w:sz w:val="20"/>
          <w:szCs w:val="20"/>
          <w:color w:val="auto"/>
        </w:rPr>
      </w:pPr>
      <w:r>
        <w:rPr>
          <w:rFonts w:ascii="Arial" w:cs="Arial" w:eastAsia="Arial" w:hAnsi="Arial"/>
          <w:sz w:val="18"/>
          <w:szCs w:val="18"/>
          <w:color w:val="auto"/>
        </w:rPr>
        <w:t>insurance and we may not be able to maintain insurance on acceptable terms, if at all. We currently carry no insurance specifically covering environmental claims.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time-consuming and inherently unpredictable. Our inability to obtain regulatory approval for our product candidates would substantially harm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9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quality review or audit findings;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aldafermin has received Fast Track designation from the FDA for NASH, we may not necessarily experience faster development timelines or achieve faster review or approval compared to conventional FDA procedures.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1" w:name="page72"/>
    <w:bookmarkEnd w:id="71"/>
    <w:p>
      <w:pPr>
        <w:jc w:val="both"/>
        <w:ind w:right="20"/>
        <w:spacing w:after="0" w:line="261" w:lineRule="auto"/>
        <w:rPr>
          <w:sz w:val="20"/>
          <w:szCs w:val="20"/>
          <w:color w:val="auto"/>
        </w:rPr>
      </w:pPr>
      <w:r>
        <w:rPr>
          <w:rFonts w:ascii="Arial" w:cs="Arial" w:eastAsia="Arial" w:hAnsi="Arial"/>
          <w:sz w:val="18"/>
          <w:szCs w:val="18"/>
          <w:color w:val="auto"/>
        </w:rPr>
        <w:t>analysis efficacy and safety data from its ongoing Phase 3 study in support of potential accelerated approval and that the long-term outcomes phase of the study should continue.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other health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9" w:lineRule="exact"/>
        <w:rPr>
          <w:sz w:val="20"/>
          <w:szCs w:val="20"/>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will heavily scrutinize advertising and promotion of any product candidate that obtains approval outside of the United States.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7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our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3" w:name="page74"/>
    <w:bookmarkEnd w:id="73"/>
    <w:p>
      <w:pPr>
        <w:jc w:val="both"/>
        <w:spacing w:after="0" w:line="254" w:lineRule="auto"/>
        <w:rPr>
          <w:sz w:val="20"/>
          <w:szCs w:val="20"/>
          <w:color w:val="auto"/>
        </w:rPr>
      </w:pPr>
      <w:r>
        <w:rPr>
          <w:rFonts w:ascii="Arial" w:cs="Arial" w:eastAsia="Arial" w:hAnsi="Arial"/>
          <w:sz w:val="18"/>
          <w:szCs w:val="18"/>
          <w:color w:val="auto"/>
        </w:rPr>
        <w:t>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one issued United States patent that covers our NGM621 product candidate and the product is disclosed and claimed in other pending U.S. non-provisional and/or national stage applications in particular foreign countries. We do not currently own or have a license to any issued patents that cover our NGM707, NGM831 and NGM438 product candidates, although these product candidates are disclosed and claimed in our pending U.S. non -provisional and international applications. The patent landscape surrounding all of our product candidates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aldafermin, NGM621, NGM120, NGM707, NGM831 and NGM438 or any of our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fields of retinal diseases, cancer,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5" w:name="page76"/>
    <w:bookmarkEnd w:id="75"/>
    <w:p>
      <w:pPr>
        <w:jc w:val="both"/>
        <w:spacing w:after="0" w:line="252" w:lineRule="auto"/>
        <w:rPr>
          <w:sz w:val="20"/>
          <w:szCs w:val="20"/>
          <w:color w:val="auto"/>
        </w:rPr>
      </w:pPr>
      <w:r>
        <w:rPr>
          <w:rFonts w:ascii="Arial" w:cs="Arial" w:eastAsia="Arial" w:hAnsi="Arial"/>
          <w:sz w:val="18"/>
          <w:szCs w:val="18"/>
          <w:color w:val="auto"/>
        </w:rPr>
        <w:t>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Third-party pre-issuance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lengthy and time-consuming, and many of our adversaries may have the ability to dedicate substantially greater resources to prosecuting these legal actions than us.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6" w:name="page77"/>
    <w:bookmarkEnd w:id="76"/>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or any termination of the collaboration;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8"/>
          <w:szCs w:val="18"/>
          <w:color w:val="auto"/>
        </w:rPr>
        <w:t>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 “Sales of a substantial number of shares of our common stock in the public market could cause our stock price to fall.”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7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are currently an “emerging growth company” as defined in the JOBS Act and are currently able to avail ourselves of reduced disclosure requirements applicable to emerging growth companies, which could make our common stock less attractive to investors and adversely affect the market price of our common stock.</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an “emerging growth company” as defined in the Jumpstart Our Business Startups Act of 2012, as amended, the</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JOBS Act, though we will no longer be an emerging growth company as of December 31, 2021. While we remain an emerging growth company, we have taken and may continue to take advantage of certain exemptions from various requirements applicable to public companies that are not “emerging growth companies” including:</w:t>
      </w:r>
    </w:p>
    <w:p>
      <w:pPr>
        <w:spacing w:after="0" w:line="94"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requiring that our independent registered public accounting firm provide an attestation report on the effectiveness of our internal control over financial reporting;</w:t>
      </w:r>
    </w:p>
    <w:p>
      <w:pPr>
        <w:spacing w:after="0" w:line="3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p>
      <w:pPr>
        <w:jc w:val="both"/>
        <w:ind w:firstLine="648"/>
        <w:spacing w:after="0" w:line="252" w:lineRule="auto"/>
        <w:rPr>
          <w:sz w:val="20"/>
          <w:szCs w:val="20"/>
          <w:color w:val="auto"/>
        </w:rPr>
      </w:pPr>
      <w:r>
        <w:rPr>
          <w:rFonts w:ascii="Arial" w:cs="Arial" w:eastAsia="Arial" w:hAnsi="Arial"/>
          <w:sz w:val="18"/>
          <w:szCs w:val="18"/>
          <w:color w:val="auto"/>
        </w:rPr>
        <w:t>Because our independent registered public accounting firm has not been required to provide an attestation report on the effectiveness of our internal control over financial reporting, the risk that material weaknesses or significant deficiencies in our internal control over financial reporting may go or have gone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have made it or may make it more difficult for investors and securities analysts to evaluate our company.</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With respect to the JOBS Act, we also took advantage of some, but not all, of the reduced regulatory and reporting requirements that were available to us as an emerging growth company. For example, we are not currently subject to the same new or revised accounting standards as other public companies that are 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have relied and may continue to rely on these exemptions and reduced requirements during the pendency of our emerging growth company status. If some investors find our common stock less attractive as a result, there may be a less active trading market for our common stock and our stock price may be more volatile and may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During the three months ended September 30, 2021, the average daily trading volume for our common stock on The Nasdaq Global Select Market was only 357,598 shares and, during the three months ended December 31, 2020, was 175,778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9" w:name="page80"/>
    <w:bookmarkEnd w:id="79"/>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will further increase in connection with our expected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 of the Sarbanes-Oxley Act, and to allow our independent registered public accounting firm to issue an attestation report on the effectiveness of our internal control over financial reporting beginning with our annual report on Form 10-K for the fiscal year ending December 31, 2021. Our compliance with Section 404 of the Sarbanes-Oxley Act requires that we incur substantial accounting expense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1" w:name="page82"/>
    <w:bookmarkEnd w:id="81"/>
    <w:p>
      <w:pPr>
        <w:jc w:val="both"/>
        <w:spacing w:after="0" w:line="252" w:lineRule="auto"/>
        <w:rPr>
          <w:sz w:val="20"/>
          <w:szCs w:val="20"/>
          <w:color w:val="auto"/>
        </w:rPr>
      </w:pPr>
      <w:r>
        <w:rPr>
          <w:rFonts w:ascii="Arial" w:cs="Arial" w:eastAsia="Arial" w:hAnsi="Arial"/>
          <w:sz w:val="18"/>
          <w:szCs w:val="18"/>
          <w:color w:val="auto"/>
        </w:rPr>
        <w:t>expend significant management efforts. We currently do not have an internal audit staff, and we have hired and will need to hire additional accounting and financial staff with appropriate public company experience and technical accounting knowledge.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Our ability to successfully implement our business plan and comply with Section 404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including those related to the fact that we will no longer be an emerging growth company as of December 31, 2021, may cause our operations to suffer and we may be unable to conclude that our internal control over financial reporting is effective and to obtain an attestation report from our independent registered public accounting firm as required under Section 404 of the Sarbanes-Oxley Act. This, in turn, could have an adverse impact on the price for our common stock, and could adversely affect our ability to access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9"/>
        </w:trPr>
        <w:tc>
          <w:tcPr>
            <w:tcW w:w="6260" w:type="dxa"/>
            <w:vAlign w:val="bottom"/>
            <w:gridSpan w:val="12"/>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20"/>
              <w:spacing w:after="0" w:line="169" w:lineRule="exact"/>
              <w:rPr>
                <w:sz w:val="20"/>
                <w:szCs w:val="20"/>
                <w:color w:val="auto"/>
              </w:rPr>
            </w:pPr>
            <w:r>
              <w:rPr>
                <w:rFonts w:ascii="Arial" w:cs="Arial" w:eastAsia="Arial" w:hAnsi="Arial"/>
                <w:sz w:val="18"/>
                <w:szCs w:val="18"/>
                <w:b w:val="1"/>
                <w:bCs w:val="1"/>
                <w:color w:val="auto"/>
              </w:rPr>
              <w:t>Exhibit</w:t>
            </w:r>
          </w:p>
        </w:tc>
        <w:tc>
          <w:tcPr>
            <w:tcW w:w="1420" w:type="dxa"/>
            <w:vAlign w:val="bottom"/>
          </w:tcPr>
          <w:p>
            <w:pPr>
              <w:spacing w:after="0"/>
              <w:rPr>
                <w:sz w:val="14"/>
                <w:szCs w:val="14"/>
                <w:color w:val="auto"/>
              </w:rPr>
            </w:pPr>
          </w:p>
        </w:tc>
        <w:tc>
          <w:tcPr>
            <w:tcW w:w="3660" w:type="dxa"/>
            <w:vAlign w:val="bottom"/>
            <w:gridSpan w:val="10"/>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Schedule</w:t>
            </w: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30"/>
        </w:trPr>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20" w:type="dxa"/>
            <w:vAlign w:val="bottom"/>
          </w:tcPr>
          <w:p>
            <w:pPr>
              <w:spacing w:after="0"/>
              <w:rPr>
                <w:sz w:val="19"/>
                <w:szCs w:val="19"/>
                <w:color w:val="auto"/>
              </w:rPr>
            </w:pPr>
          </w:p>
        </w:tc>
        <w:tc>
          <w:tcPr>
            <w:tcW w:w="3660" w:type="dxa"/>
            <w:vAlign w:val="bottom"/>
            <w:gridSpan w:val="10"/>
            <w:vMerge w:val="continue"/>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2"/>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5080" w:type="dxa"/>
            <w:vAlign w:val="bottom"/>
            <w:gridSpan w:val="11"/>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Amended and Restated Certificate of Incorporation</w:t>
              </w:r>
            </w:hyperlink>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FF"/>
            </w:tcBorders>
            <w:gridSpan w:val="3"/>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Amended and Restated Bylaws</w:t>
              </w:r>
            </w:hyperlink>
          </w:p>
        </w:tc>
        <w:tc>
          <w:tcPr>
            <w:tcW w:w="1040" w:type="dxa"/>
            <w:vAlign w:val="bottom"/>
            <w:gridSpan w:val="8"/>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9/28/18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5080" w:type="dxa"/>
            <w:vAlign w:val="bottom"/>
            <w:gridSpan w:val="11"/>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Certification of Chief Executive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w:anchor="page85">
              <w:r>
                <w:rPr>
                  <w:rFonts w:ascii="Arial" w:cs="Arial" w:eastAsia="Arial" w:hAnsi="Arial"/>
                  <w:sz w:val="17"/>
                  <w:szCs w:val="17"/>
                  <w:color w:val="0000FF"/>
                </w:rPr>
                <w:t>14(a) and 15d-14(a) under the Securities Exchange Act of</w:t>
              </w:r>
            </w:hyperlink>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5"/>
          </w:tcPr>
          <w:p>
            <w:pPr>
              <w:spacing w:after="0" w:line="157" w:lineRule="exact"/>
              <w:rPr>
                <w:rFonts w:ascii="Arial" w:cs="Arial" w:eastAsia="Arial" w:hAnsi="Arial"/>
                <w:sz w:val="18"/>
                <w:szCs w:val="18"/>
                <w:color w:val="0000FF"/>
                <w:w w:val="97"/>
              </w:rPr>
            </w:pPr>
            <w:hyperlink w:anchor="page85">
              <w:r>
                <w:rPr>
                  <w:rFonts w:ascii="Arial" w:cs="Arial" w:eastAsia="Arial" w:hAnsi="Arial"/>
                  <w:sz w:val="18"/>
                  <w:szCs w:val="18"/>
                  <w:color w:val="0000FF"/>
                  <w:w w:val="97"/>
                </w:rPr>
                <w:t>1934, as Adopted Pursuant to Section 302 of the Sarbanes</w:t>
              </w:r>
            </w:hyperlink>
          </w:p>
        </w:tc>
        <w:tc>
          <w:tcPr>
            <w:tcW w:w="260" w:type="dxa"/>
            <w:vAlign w:val="bottom"/>
            <w:gridSpan w:val="4"/>
          </w:tcPr>
          <w:p>
            <w:pPr>
              <w:jc w:val="right"/>
              <w:ind w:right="100"/>
              <w:spacing w:after="0" w:line="157" w:lineRule="exact"/>
              <w:rPr>
                <w:rFonts w:ascii="Arial" w:cs="Arial" w:eastAsia="Arial" w:hAnsi="Arial"/>
                <w:sz w:val="18"/>
                <w:szCs w:val="18"/>
                <w:color w:val="0000FF"/>
              </w:rPr>
            </w:pPr>
            <w:hyperlink w:anchor="page85">
              <w:r>
                <w:rPr>
                  <w:rFonts w:ascii="Arial" w:cs="Arial" w:eastAsia="Arial" w:hAnsi="Arial"/>
                  <w:sz w:val="18"/>
                  <w:szCs w:val="18"/>
                  <w:color w:val="0000FF"/>
                </w:rPr>
                <w:t>-</w:t>
              </w:r>
            </w:hyperlink>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85">
              <w:r>
                <w:rPr>
                  <w:rFonts w:ascii="Arial" w:cs="Arial" w:eastAsia="Arial" w:hAnsi="Arial"/>
                  <w:sz w:val="18"/>
                  <w:szCs w:val="18"/>
                  <w:color w:val="0000FF"/>
                  <w:w w:val="98"/>
                </w:rPr>
                <w:t>Oxley Act of 2002</w:t>
              </w:r>
            </w:hyperlink>
          </w:p>
        </w:tc>
        <w:tc>
          <w:tcPr>
            <w:tcW w:w="334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5080" w:type="dxa"/>
            <w:vAlign w:val="bottom"/>
            <w:gridSpan w:val="11"/>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Chief Financial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86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w:anchor="page86">
              <w:r>
                <w:rPr>
                  <w:rFonts w:ascii="Arial" w:cs="Arial" w:eastAsia="Arial" w:hAnsi="Arial"/>
                  <w:sz w:val="17"/>
                  <w:szCs w:val="17"/>
                  <w:color w:val="0000FF"/>
                </w:rPr>
                <w:t>14(a) and 15d-14(a) under the Securities Exchange Act of</w:t>
              </w:r>
            </w:hyperlink>
          </w:p>
        </w:tc>
        <w:tc>
          <w:tcPr>
            <w:tcW w:w="2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5"/>
          </w:tcPr>
          <w:p>
            <w:pPr>
              <w:spacing w:after="0" w:line="157" w:lineRule="exact"/>
              <w:rPr>
                <w:rFonts w:ascii="Arial" w:cs="Arial" w:eastAsia="Arial" w:hAnsi="Arial"/>
                <w:sz w:val="18"/>
                <w:szCs w:val="18"/>
                <w:color w:val="0000FF"/>
                <w:w w:val="97"/>
              </w:rPr>
            </w:pPr>
            <w:hyperlink w:anchor="page86">
              <w:r>
                <w:rPr>
                  <w:rFonts w:ascii="Arial" w:cs="Arial" w:eastAsia="Arial" w:hAnsi="Arial"/>
                  <w:sz w:val="18"/>
                  <w:szCs w:val="18"/>
                  <w:color w:val="0000FF"/>
                  <w:w w:val="97"/>
                </w:rPr>
                <w:t>1934, as Adopted Pursuant to Section 302 of the Sarbanes</w:t>
              </w:r>
            </w:hyperlink>
          </w:p>
        </w:tc>
        <w:tc>
          <w:tcPr>
            <w:tcW w:w="480" w:type="dxa"/>
            <w:vAlign w:val="bottom"/>
            <w:gridSpan w:val="6"/>
          </w:tcPr>
          <w:p>
            <w:pPr>
              <w:jc w:val="right"/>
              <w:ind w:right="320"/>
              <w:spacing w:after="0" w:line="157" w:lineRule="exact"/>
              <w:rPr>
                <w:rFonts w:ascii="Arial" w:cs="Arial" w:eastAsia="Arial" w:hAnsi="Arial"/>
                <w:sz w:val="18"/>
                <w:szCs w:val="18"/>
                <w:color w:val="0000FF"/>
              </w:rPr>
            </w:pPr>
            <w:hyperlink w:anchor="page86">
              <w:r>
                <w:rPr>
                  <w:rFonts w:ascii="Arial" w:cs="Arial" w:eastAsia="Arial" w:hAnsi="Arial"/>
                  <w:sz w:val="18"/>
                  <w:szCs w:val="18"/>
                  <w:color w:val="0000FF"/>
                </w:rPr>
                <w:t>-</w:t>
              </w:r>
            </w:hyperlink>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86">
              <w:r>
                <w:rPr>
                  <w:rFonts w:ascii="Arial" w:cs="Arial" w:eastAsia="Arial" w:hAnsi="Arial"/>
                  <w:sz w:val="18"/>
                  <w:szCs w:val="18"/>
                  <w:color w:val="0000FF"/>
                  <w:w w:val="98"/>
                </w:rPr>
                <w:t>Oxley Act of 2002</w:t>
              </w:r>
            </w:hyperlink>
          </w:p>
        </w:tc>
        <w:tc>
          <w:tcPr>
            <w:tcW w:w="3340" w:type="dxa"/>
            <w:vAlign w:val="bottom"/>
            <w:tcBorders>
              <w:top w:val="single" w:sz="8" w:color="0000FF"/>
            </w:tcBorders>
            <w:gridSpan w:val="7"/>
          </w:tcPr>
          <w:p>
            <w:pPr>
              <w:spacing w:after="0"/>
              <w:rPr>
                <w:sz w:val="13"/>
                <w:szCs w:val="13"/>
                <w:color w:val="auto"/>
              </w:rPr>
            </w:pPr>
          </w:p>
        </w:tc>
        <w:tc>
          <w:tcPr>
            <w:tcW w:w="3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5080" w:type="dxa"/>
            <w:vAlign w:val="bottom"/>
            <w:gridSpan w:val="11"/>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of Chief Executive Officer and Chief Financial</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87">
              <w:r>
                <w:rPr>
                  <w:rFonts w:ascii="Arial" w:cs="Arial" w:eastAsia="Arial" w:hAnsi="Arial"/>
                  <w:sz w:val="18"/>
                  <w:szCs w:val="18"/>
                  <w:color w:val="0000FF"/>
                  <w:w w:val="99"/>
                </w:rPr>
                <w:t>Officer Pursuant to 18 U.S.C. Section 1350, as Adopted</w:t>
              </w:r>
            </w:hyperlink>
          </w:p>
        </w:tc>
        <w:tc>
          <w:tcPr>
            <w:tcW w:w="1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2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w:anchor="page87">
              <w:r>
                <w:rPr>
                  <w:rFonts w:ascii="Arial" w:cs="Arial" w:eastAsia="Arial" w:hAnsi="Arial"/>
                  <w:sz w:val="18"/>
                  <w:szCs w:val="18"/>
                  <w:color w:val="0000FF"/>
                  <w:w w:val="99"/>
                </w:rPr>
                <w:t>Pursuant to Section 906 of the Sarbanes-Oxley Act of 2002</w:t>
              </w:r>
            </w:hyperlink>
          </w:p>
        </w:tc>
        <w:tc>
          <w:tcPr>
            <w:tcW w:w="36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508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508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508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5000" w:hanging="1154"/>
        <w:spacing w:after="0" w:line="227"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372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660" w:hanging="652"/>
        <w:spacing w:after="0" w:line="254"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and shall not be deemed “filed” by the registrant for purposes of Section 18 of the Securities Act. Such certification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3" w:name="page84"/>
    <w:bookmarkEnd w:id="83"/>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NGM Biopharmaceuticals, Inc.</w:t>
      </w:r>
    </w:p>
    <w:p>
      <w:pPr>
        <w:spacing w:after="0" w:line="31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30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820"/>
          </w:cols>
          <w:pgMar w:left="320" w:top="1102" w:right="75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 David J. Woodhouse, certify that:</w:t>
      </w:r>
    </w:p>
    <w:p>
      <w:pPr>
        <w:spacing w:after="0" w:line="22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NGM Biopharmaceuticals, Inc.;</w:t>
      </w:r>
    </w:p>
    <w:p>
      <w:pPr>
        <w:spacing w:after="0" w:line="221"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820" w:hanging="407"/>
        <w:spacing w:after="0" w:line="253"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jc w:val="both"/>
        <w:ind w:left="820" w:hanging="407"/>
        <w:spacing w:after="0" w:line="253"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820" w:hanging="407"/>
        <w:spacing w:after="0" w:line="260"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820" w:hanging="407"/>
        <w:spacing w:after="0" w:line="253"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820" w:right="20" w:hanging="407"/>
        <w:spacing w:after="0" w:line="260"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820" w:hanging="407"/>
        <w:spacing w:after="0" w:line="260"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Date: November 4, 2021</w:t>
      </w:r>
    </w:p>
    <w:p>
      <w:pPr>
        <w:spacing w:after="0" w:line="302" w:lineRule="exact"/>
        <w:rPr>
          <w:sz w:val="20"/>
          <w:szCs w:val="20"/>
          <w:color w:val="auto"/>
        </w:rPr>
      </w:pPr>
    </w:p>
    <w:p>
      <w:pPr>
        <w:ind w:left="5220"/>
        <w:spacing w:after="0"/>
        <w:tabs>
          <w:tab w:leader="none" w:pos="7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10795</wp:posOffset>
            </wp:positionV>
            <wp:extent cx="3300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6"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David J. Woodhouse, Ph.D.</w:t>
      </w:r>
    </w:p>
    <w:p>
      <w:pPr>
        <w:spacing w:after="0" w:line="32"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2" w:lineRule="exact"/>
        <w:rPr>
          <w:sz w:val="20"/>
          <w:szCs w:val="20"/>
          <w:color w:val="auto"/>
        </w:rPr>
      </w:pPr>
    </w:p>
    <w:p>
      <w:pPr>
        <w:jc w:val="center"/>
        <w:ind w:left="5260"/>
        <w:spacing w:after="0"/>
        <w:rPr>
          <w:sz w:val="20"/>
          <w:szCs w:val="20"/>
          <w:color w:val="auto"/>
        </w:rPr>
      </w:pPr>
      <w:r>
        <w:rPr>
          <w:rFonts w:ascii="Arial" w:cs="Arial" w:eastAsia="Arial" w:hAnsi="Arial"/>
          <w:sz w:val="16"/>
          <w:szCs w:val="16"/>
          <w:b w:val="1"/>
          <w:bCs w:val="1"/>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 Siobhan Nolan Mangini, certify that:</w:t>
      </w:r>
    </w:p>
    <w:p>
      <w:pPr>
        <w:spacing w:after="0" w:line="22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NGM Biopharmaceuticals, Inc.;</w:t>
      </w:r>
    </w:p>
    <w:p>
      <w:pPr>
        <w:spacing w:after="0" w:line="221"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820" w:hanging="407"/>
        <w:spacing w:after="0" w:line="253"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jc w:val="both"/>
        <w:ind w:left="820" w:hanging="407"/>
        <w:spacing w:after="0" w:line="253"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820" w:hanging="407"/>
        <w:spacing w:after="0" w:line="260"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820" w:hanging="407"/>
        <w:spacing w:after="0" w:line="253"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820" w:right="20" w:hanging="407"/>
        <w:spacing w:after="0" w:line="260"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820" w:hanging="407"/>
        <w:spacing w:after="0" w:line="260"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Date: November 4, 2021</w:t>
      </w:r>
    </w:p>
    <w:p>
      <w:pPr>
        <w:spacing w:after="0" w:line="302" w:lineRule="exact"/>
        <w:rPr>
          <w:sz w:val="20"/>
          <w:szCs w:val="20"/>
          <w:color w:val="auto"/>
        </w:rPr>
      </w:pPr>
    </w:p>
    <w:p>
      <w:pPr>
        <w:ind w:left="5020"/>
        <w:spacing w:after="0"/>
        <w:tabs>
          <w:tab w:leader="none" w:pos="7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10795</wp:posOffset>
            </wp:positionV>
            <wp:extent cx="3437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6"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Siobhan Nolan Mangini</w:t>
      </w:r>
    </w:p>
    <w:p>
      <w:pPr>
        <w:spacing w:after="0" w:line="32"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i w:val="1"/>
          <w:iCs w:val="1"/>
          <w:color w:val="auto"/>
        </w:rPr>
        <w:t>(Principal Financial Officer)</w:t>
      </w:r>
    </w:p>
    <w:p>
      <w:pPr>
        <w:sectPr>
          <w:pgSz w:w="11900" w:h="16838" w:orient="portrait"/>
          <w:cols w:equalWidth="0" w:num="1">
            <w:col w:w="11240"/>
          </w:cols>
          <w:pgMar w:left="320" w:top="110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Chief Financial Officer of the Company, each hereby certifies that, to the best of his or her knowledge:</w:t>
      </w:r>
    </w:p>
    <w:p>
      <w:pPr>
        <w:spacing w:after="0" w:line="204" w:lineRule="exact"/>
        <w:rPr>
          <w:sz w:val="20"/>
          <w:szCs w:val="20"/>
          <w:color w:val="auto"/>
        </w:rPr>
      </w:pPr>
    </w:p>
    <w:p>
      <w:pPr>
        <w:ind w:left="500" w:hanging="492"/>
        <w:spacing w:after="0" w:line="261" w:lineRule="auto"/>
        <w:tabs>
          <w:tab w:leader="none" w:pos="4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4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have set their hands hereto as of the 4th day of November, 2021.</w:t>
      </w:r>
    </w:p>
    <w:p>
      <w:pPr>
        <w:spacing w:after="0" w:line="347"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090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jc w:val="center"/>
        <w:ind w:right="5080"/>
        <w:spacing w:after="0"/>
        <w:rPr>
          <w:sz w:val="20"/>
          <w:szCs w:val="20"/>
          <w:color w:val="auto"/>
        </w:rPr>
      </w:pPr>
      <w:r>
        <w:rPr>
          <w:rFonts w:ascii="Arial" w:cs="Arial" w:eastAsia="Arial" w:hAnsi="Arial"/>
          <w:sz w:val="16"/>
          <w:szCs w:val="16"/>
          <w:b w:val="1"/>
          <w:bCs w:val="1"/>
          <w:color w:val="auto"/>
        </w:rPr>
        <w:t>David J. Woodhouse, Ph.D.</w:t>
      </w:r>
    </w:p>
    <w:p>
      <w:pPr>
        <w:spacing w:after="0" w:line="32" w:lineRule="exact"/>
        <w:rPr>
          <w:sz w:val="20"/>
          <w:szCs w:val="20"/>
          <w:color w:val="auto"/>
        </w:rPr>
      </w:pPr>
    </w:p>
    <w:p>
      <w:pPr>
        <w:jc w:val="center"/>
        <w:ind w:right="508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2" w:lineRule="exact"/>
        <w:rPr>
          <w:sz w:val="20"/>
          <w:szCs w:val="20"/>
          <w:color w:val="auto"/>
        </w:rPr>
      </w:pPr>
    </w:p>
    <w:p>
      <w:pPr>
        <w:jc w:val="center"/>
        <w:ind w:right="50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387"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17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jc w:val="center"/>
        <w:ind w:right="5060"/>
        <w:spacing w:after="0"/>
        <w:rPr>
          <w:sz w:val="20"/>
          <w:szCs w:val="20"/>
          <w:color w:val="auto"/>
        </w:rPr>
      </w:pPr>
      <w:r>
        <w:rPr>
          <w:rFonts w:ascii="Arial" w:cs="Arial" w:eastAsia="Arial" w:hAnsi="Arial"/>
          <w:sz w:val="16"/>
          <w:szCs w:val="16"/>
          <w:b w:val="1"/>
          <w:bCs w:val="1"/>
          <w:color w:val="auto"/>
        </w:rPr>
        <w:t>Siobhan Nolan Mangini</w:t>
      </w:r>
    </w:p>
    <w:p>
      <w:pPr>
        <w:spacing w:after="0" w:line="32"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5"/>
    </w:lvl>
  </w:abstractNum>
  <w:abstractNum w:abstractNumId="3">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21DA317"/>
    <w:multiLevelType w:val="hybridMultilevel"/>
    <w:lvl w:ilvl="0">
      <w:lvlJc w:val="left"/>
      <w:lvlText w:val="◦"/>
      <w:numFmt w:val="bullet"/>
      <w:start w:val="1"/>
    </w:lvl>
    <w:lvl w:ilvl="1">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6763845E"/>
    <w:multiLevelType w:val="hybridMultilevel"/>
    <w:lvl w:ilvl="0">
      <w:lvlJc w:val="left"/>
      <w:lvlText w:val="◦"/>
      <w:numFmt w:val="bullet"/>
      <w:start w:val="1"/>
    </w:lvl>
    <w:lvl w:ilvl="1">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lvl w:ilvl="1">
      <w:lvlJc w:val="left"/>
      <w:lvlText w:val="%2"/>
      <w:numFmt w:val="decimal"/>
      <w:start w:val="104"/>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97" Type="http://schemas.openxmlformats.org/officeDocument/2006/relationships/hyperlink" Target="https://www.sec.gov/Archives/edgar/data/0001426332/000119312519100757/d731361dex31.htm" TargetMode="External"/><Relationship Id="rId98" Type="http://schemas.openxmlformats.org/officeDocument/2006/relationships/hyperlink" Target="https://www.sec.gov/Archives/edgar/data/000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2021-11-04T15:40:24Z</dcterms:created>
  <dcterms:modified xsi:type="dcterms:W3CDTF">2021-11-04T15:40:24Z</dcterms:modified>
</cp:coreProperties>
</file>