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LESCHLY MARK</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NGM BIOPHARMACEUTICALS INC </w:t>
              </w:r>
            </w:hyperlink>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300" w:type="dxa"/>
            <w:vAlign w:val="bottom"/>
            <w:tcBorders>
              <w:top w:val="single" w:sz="8" w:color="0000EE"/>
            </w:tcBorders>
            <w:vMerge w:val="restart"/>
          </w:tcPr>
          <w:p>
            <w:pPr>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0"/>
                <w:szCs w:val="20"/>
                <w:color w:val="000000"/>
              </w:rPr>
              <w:t>]</w:t>
            </w:r>
          </w:p>
        </w:tc>
        <w:tc>
          <w:tcPr>
            <w:tcW w:w="46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00" w:type="dxa"/>
            <w:vAlign w:val="bottom"/>
            <w:tcBorders>
              <w:top w:val="single" w:sz="8" w:color="0000EE"/>
            </w:tcBorders>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17"/>
                <w:szCs w:val="17"/>
                <w:color w:val="auto"/>
              </w:rPr>
            </w:pPr>
          </w:p>
        </w:tc>
        <w:tc>
          <w:tcPr>
            <w:tcW w:w="330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rPr>
              <w:t>152 WEST 57TH STREET</w:t>
            </w: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gridSpan w:val="4"/>
            <w:vMerge w:val="continue"/>
          </w:tcPr>
          <w:p>
            <w:pPr>
              <w:spacing w:after="0"/>
              <w:rPr>
                <w:sz w:val="18"/>
                <w:szCs w:val="18"/>
                <w:color w:val="auto"/>
              </w:rPr>
            </w:pPr>
          </w:p>
        </w:tc>
        <w:tc>
          <w:tcPr>
            <w:tcW w:w="4660" w:type="dxa"/>
            <w:vAlign w:val="bottom"/>
            <w:gridSpan w:val="4"/>
          </w:tcPr>
          <w:p>
            <w:pPr>
              <w:ind w:left="1360"/>
              <w:spacing w:after="0"/>
              <w:rPr>
                <w:sz w:val="20"/>
                <w:szCs w:val="20"/>
                <w:color w:val="auto"/>
              </w:rPr>
            </w:pPr>
            <w:r>
              <w:rPr>
                <w:rFonts w:ascii="Arial" w:cs="Arial" w:eastAsia="Arial" w:hAnsi="Arial"/>
                <w:sz w:val="17"/>
                <w:szCs w:val="17"/>
                <w:color w:val="0000FF"/>
              </w:rPr>
              <w:t>06/08/2021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23RD FLOOR</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5" w:lineRule="exact"/>
        <w:rPr>
          <w:sz w:val="20"/>
          <w:szCs w:val="20"/>
          <w:color w:val="auto"/>
        </w:rPr>
      </w:pPr>
    </w:p>
    <w:p>
      <w:pPr>
        <w:sectPr>
          <w:pgSz w:w="11900" w:h="16838" w:orient="portrait"/>
          <w:cols w:equalWidth="0" w:num="2">
            <w:col w:w="7680" w:space="6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gridSpan w:val="2"/>
          </w:tcPr>
          <w:p>
            <w:pPr>
              <w:ind w:left="300"/>
              <w:spacing w:after="0" w:line="141" w:lineRule="exact"/>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10019</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17.24</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06/08/2021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19,619</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06/07/2031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19,619</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19,619</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60" w:firstLine="2"/>
        <w:spacing w:after="0" w:line="310"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stock option shall vest in four (4) approximately equal quarterly installments, such that the option shall be fully vested on the earlier of (i) the one-year anniversary of the date of grant and (ii) the day prior to the Issuer's next annual stockholder meeting, subject to the Reporting Person's Continuous Service (as defined in the Amended and Restated 2018 Equity Incentive Plan) on each applicable vesting date.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Valerie Pierce,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06/10/2021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4" w:lineRule="exact"/>
        <w:rPr>
          <w:sz w:val="20"/>
          <w:szCs w:val="20"/>
          <w:color w:val="auto"/>
        </w:rPr>
      </w:pPr>
    </w:p>
    <w:p>
      <w:pPr>
        <w:ind w:right="2059" w:firstLine="805"/>
        <w:spacing w:after="0" w:line="23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William J. Rieflin, David J. Woodhouse, Siobhan Nolan Mangini and Valerie Pierce, or any of them signing singly, and with full power of substitution, the undersigned's true and lawful attorney in fact to:</w:t>
      </w:r>
    </w:p>
    <w:p>
      <w:pPr>
        <w:spacing w:after="0" w:line="7" w:lineRule="exact"/>
        <w:rPr>
          <w:sz w:val="20"/>
          <w:szCs w:val="20"/>
          <w:color w:val="auto"/>
        </w:rPr>
      </w:pPr>
    </w:p>
    <w:p>
      <w:pPr>
        <w:ind w:right="1639" w:firstLine="3"/>
        <w:spacing w:after="0" w:line="239" w:lineRule="auto"/>
        <w:tabs>
          <w:tab w:leader="none" w:pos="80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and/or more than 10% stockholder of NGM Biopharmaceuticals, Inc. (the "Company"), Forms 3, 4, and 5 in accordance with Section 16(a) of the Securities Exchange Act of 1934 and the rules thereunder;</w:t>
      </w:r>
    </w:p>
    <w:p>
      <w:pPr>
        <w:spacing w:after="0" w:line="6" w:lineRule="exact"/>
        <w:rPr>
          <w:rFonts w:ascii="Courier New" w:cs="Courier New" w:eastAsia="Courier New" w:hAnsi="Courier New"/>
          <w:sz w:val="17"/>
          <w:szCs w:val="17"/>
          <w:color w:val="auto"/>
        </w:rPr>
      </w:pPr>
    </w:p>
    <w:p>
      <w:pPr>
        <w:ind w:right="939" w:firstLine="3"/>
        <w:spacing w:after="0" w:line="239" w:lineRule="auto"/>
        <w:tabs>
          <w:tab w:leader="none" w:pos="16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w:t>
      </w:r>
    </w:p>
    <w:p>
      <w:pPr>
        <w:spacing w:after="0" w:line="2"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form with the SEC and any stock exchange or similar authority; and</w:t>
      </w:r>
    </w:p>
    <w:p>
      <w:pPr>
        <w:ind w:left="800" w:hanging="797"/>
        <w:spacing w:after="0"/>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w:t>
      </w:r>
    </w:p>
    <w:p>
      <w:pPr>
        <w:spacing w:after="0" w:line="4" w:lineRule="exact"/>
        <w:rPr>
          <w:sz w:val="20"/>
          <w:szCs w:val="20"/>
          <w:color w:val="auto"/>
        </w:rPr>
      </w:pPr>
    </w:p>
    <w:p>
      <w:pPr>
        <w:ind w:right="1959"/>
        <w:spacing w:after="0"/>
        <w:rPr>
          <w:sz w:val="20"/>
          <w:szCs w:val="20"/>
          <w:color w:val="auto"/>
        </w:rPr>
      </w:pPr>
      <w:r>
        <w:rPr>
          <w:rFonts w:ascii="Courier New" w:cs="Courier New" w:eastAsia="Courier New" w:hAnsi="Courier New"/>
          <w:sz w:val="17"/>
          <w:szCs w:val="17"/>
          <w:color w:val="auto"/>
        </w:rPr>
        <w:t>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5" w:lineRule="exact"/>
        <w:rPr>
          <w:sz w:val="20"/>
          <w:szCs w:val="20"/>
          <w:color w:val="auto"/>
        </w:rPr>
      </w:pPr>
    </w:p>
    <w:p>
      <w:pPr>
        <w:ind w:right="1739" w:firstLine="805"/>
        <w:spacing w:after="0" w:line="257" w:lineRule="auto"/>
        <w:rPr>
          <w:sz w:val="20"/>
          <w:szCs w:val="20"/>
          <w:color w:val="auto"/>
        </w:rPr>
      </w:pPr>
      <w:r>
        <w:rPr>
          <w:rFonts w:ascii="Courier New" w:cs="Courier New" w:eastAsia="Courier New" w:hAnsi="Courier New"/>
          <w:sz w:val="16"/>
          <w:szCs w:val="16"/>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Securities Exchange Act of 1934.</w:t>
      </w:r>
    </w:p>
    <w:p>
      <w:pPr>
        <w:spacing w:after="0" w:line="186" w:lineRule="exact"/>
        <w:rPr>
          <w:sz w:val="20"/>
          <w:szCs w:val="20"/>
          <w:color w:val="auto"/>
        </w:rPr>
      </w:pPr>
    </w:p>
    <w:p>
      <w:pPr>
        <w:jc w:val="both"/>
        <w:ind w:right="2059" w:firstLine="805"/>
        <w:spacing w:after="0"/>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 in fact.</w:t>
      </w:r>
    </w:p>
    <w:p>
      <w:pPr>
        <w:spacing w:after="0" w:line="4" w:lineRule="exact"/>
        <w:rPr>
          <w:sz w:val="20"/>
          <w:szCs w:val="20"/>
          <w:color w:val="auto"/>
        </w:rPr>
      </w:pPr>
    </w:p>
    <w:p>
      <w:pPr>
        <w:ind w:right="1639" w:firstLine="805"/>
        <w:spacing w:after="0" w:line="23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February 27, 2021.</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Mark Leschly</w:t>
      </w: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20545"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2021-06-10T16:43:49Z</dcterms:created>
  <dcterms:modified xsi:type="dcterms:W3CDTF">2021-06-10T16:43:49Z</dcterms:modified>
</cp:coreProperties>
</file>