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tcBorders>
              <w:top w:val="single" w:sz="8" w:color="2C2C2C"/>
              <w:bottom w:val="single" w:sz="8" w:color="2C2C2C"/>
            </w:tcBorders>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12"/>
            <w:vMerge w:val="continue"/>
          </w:tcPr>
          <w:p>
            <w:pPr>
              <w:spacing w:after="0" w:line="20" w:lineRule="exact"/>
              <w:rPr>
                <w:sz w:val="1"/>
                <w:szCs w:val="1"/>
                <w:color w:val="auto"/>
              </w:rPr>
            </w:pPr>
          </w:p>
        </w:tc>
        <w:tc>
          <w:tcPr>
            <w:tcW w:w="322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00" w:type="dxa"/>
            <w:vAlign w:val="bottom"/>
            <w:gridSpan w:val="12"/>
            <w:vMerge w:val="continue"/>
          </w:tcPr>
          <w:p>
            <w:pPr>
              <w:spacing w:after="0"/>
              <w:rPr>
                <w:sz w:val="12"/>
                <w:szCs w:val="12"/>
                <w:color w:val="auto"/>
              </w:rPr>
            </w:pPr>
          </w:p>
        </w:tc>
        <w:tc>
          <w:tcPr>
            <w:tcW w:w="322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76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12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 or</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 (Instr.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4)</w:t>
            </w:r>
          </w:p>
        </w:tc>
        <w:tc>
          <w:tcPr>
            <w:tcW w:w="8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08/21/2020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7,321</w:t>
            </w:r>
            <w:r>
              <w:rPr>
                <w:rFonts w:ascii="Arial" w:cs="Arial" w:eastAsia="Arial" w:hAnsi="Arial"/>
                <w:sz w:val="22"/>
                <w:szCs w:val="22"/>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17.97</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1,689,318</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08/24/2020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11,024</w:t>
            </w:r>
            <w:r>
              <w:rPr>
                <w:rFonts w:ascii="Arial" w:cs="Arial" w:eastAsia="Arial" w:hAnsi="Arial"/>
                <w:sz w:val="22"/>
                <w:szCs w:val="22"/>
                <w:color w:val="008000"/>
                <w:w w:val="85"/>
                <w:vertAlign w:val="superscript"/>
              </w:rPr>
              <w:t>(4)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17.96</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1,700,342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08/25/2020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2"/>
              </w:rPr>
              <w:t>100</w:t>
            </w:r>
            <w:r>
              <w:rPr>
                <w:rFonts w:ascii="Arial" w:cs="Arial" w:eastAsia="Arial" w:hAnsi="Arial"/>
                <w:sz w:val="22"/>
                <w:szCs w:val="22"/>
                <w:color w:val="008000"/>
                <w:w w:val="82"/>
                <w:vertAlign w:val="superscript"/>
              </w:rPr>
              <w:t>(5)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18</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1,700,442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9"/>
              </w:rPr>
              <w:t>16,166,907</w:t>
            </w:r>
            <w:r>
              <w:rPr>
                <w:rFonts w:ascii="Arial" w:cs="Arial" w:eastAsia="Arial" w:hAnsi="Arial"/>
                <w:sz w:val="22"/>
                <w:szCs w:val="22"/>
                <w:color w:val="008000"/>
                <w:w w:val="89"/>
                <w:vertAlign w:val="superscript"/>
              </w:rPr>
              <w:t>(6)</w:t>
            </w:r>
          </w:p>
        </w:tc>
        <w:tc>
          <w:tcPr>
            <w:tcW w:w="120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(7)(8)(9)(10)(11)(12)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15,000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44,000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0000FF"/>
                <w:w w:val="91"/>
              </w:rPr>
              <w:t>190,000</w:t>
            </w:r>
          </w:p>
        </w:tc>
        <w:tc>
          <w:tcPr>
            <w:tcW w:w="340" w:type="dxa"/>
            <w:vAlign w:val="bottom"/>
          </w:tcPr>
          <w:p>
            <w:pPr>
              <w:spacing w:after="0"/>
              <w:rPr>
                <w:sz w:val="22"/>
                <w:szCs w:val="22"/>
                <w:color w:val="auto"/>
              </w:rPr>
            </w:pPr>
          </w:p>
        </w:tc>
        <w:tc>
          <w:tcPr>
            <w:tcW w:w="860" w:type="dxa"/>
            <w:vAlign w:val="bottom"/>
            <w:vMerge w:val="restart"/>
          </w:tcPr>
          <w:p>
            <w:pPr>
              <w:jc w:val="center"/>
              <w:ind w:right="400"/>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4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GP,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-6946265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II,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Column Group II GP,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w w:val="93"/>
              </w:rPr>
            </w:pPr>
            <w:hyperlink r:id="rId21">
              <w:r>
                <w:rPr>
                  <w:rFonts w:ascii="Arial" w:cs="Arial" w:eastAsia="Arial" w:hAnsi="Arial"/>
                  <w:sz w:val="21"/>
                  <w:szCs w:val="21"/>
                  <w:u w:val="single" w:color="auto"/>
                  <w:color w:val="0000EE"/>
                  <w:w w:val="93"/>
                </w:rPr>
                <w:t>Column Group Management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PONOI CAPITAL,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Ponoi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-9806305</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-9814560</wp:posOffset>
            </wp:positionV>
            <wp:extent cx="8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-9544050</wp:posOffset>
            </wp:positionV>
            <wp:extent cx="2766695" cy="9612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766695" cy="961263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8255" cy="1695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8255" cy="1695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2758440</wp:posOffset>
            </wp:positionH>
            <wp:positionV relativeFrom="paragraph">
              <wp:posOffset>-189865</wp:posOffset>
            </wp:positionV>
            <wp:extent cx="8255" cy="160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8255" cy="160655"/>
                    </a:xfrm>
                    <a:prstGeom prst="rect">
                      <a:avLst/>
                    </a:prstGeom>
                    <a:noFill/>
                  </pic:spPr>
                </pic:pic>
              </a:graphicData>
            </a:graphic>
          </wp:anchor>
        </w:drawing>
      </w:r>
    </w:p>
    <w:p>
      <w:pPr>
        <w:sectPr>
          <w:pgSz w:w="11900" w:h="16963" w:orient="portrait"/>
          <w:cols w:equalWidth="0" w:num="1">
            <w:col w:w="9979"/>
          </w:cols>
          <w:pgMar w:left="480" w:top="140" w:right="1440" w:bottom="0" w:gutter="0" w:footer="0" w:header="0"/>
        </w:sectPr>
      </w:pPr>
    </w:p>
    <w:bookmarkStart w:id="2" w:name="page3"/>
    <w:bookmarkEnd w:id="2"/>
    <w:p>
      <w:pPr>
        <w:ind w:left="100"/>
        <w:spacing w:after="0"/>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5601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783840" cy="5601335"/>
                    </a:xfrm>
                    <a:prstGeom prst="rect">
                      <a:avLst/>
                    </a:prstGeom>
                    <a:noFill/>
                  </pic:spPr>
                </pic:pic>
              </a:graphicData>
            </a:graphic>
          </wp:anchor>
        </w:drawing>
      </w:r>
      <w:hyperlink r:id="rId30">
        <w:r>
          <w:rPr>
            <w:rFonts w:ascii="Arial" w:cs="Arial" w:eastAsia="Arial" w:hAnsi="Arial"/>
            <w:sz w:val="21"/>
            <w:szCs w:val="21"/>
            <w:u w:val="single" w:color="auto"/>
            <w:color w:val="0000EE"/>
          </w:rPr>
          <w:t>Ponoi Capital II, LP</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31">
              <w:r>
                <w:rPr>
                  <w:rFonts w:ascii="Arial" w:cs="Arial" w:eastAsia="Arial" w:hAnsi="Arial"/>
                  <w:sz w:val="21"/>
                  <w:szCs w:val="21"/>
                  <w:u w:val="single" w:color="auto"/>
                  <w:color w:val="0000EE"/>
                </w:rPr>
                <w:t>Ponoi II Management, LLC</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1260" w:type="dxa"/>
            <w:vAlign w:val="bottom"/>
          </w:tcPr>
          <w:p>
            <w:pPr>
              <w:spacing w:after="0"/>
              <w:rPr>
                <w:rFonts w:ascii="Arial" w:cs="Arial" w:eastAsia="Arial" w:hAnsi="Arial"/>
                <w:sz w:val="21"/>
                <w:szCs w:val="21"/>
                <w:u w:val="single" w:color="auto"/>
                <w:color w:val="0000EE"/>
              </w:rPr>
            </w:pPr>
            <w:hyperlink r:id="rId32">
              <w:r>
                <w:rPr>
                  <w:rFonts w:ascii="Arial" w:cs="Arial" w:eastAsia="Arial" w:hAnsi="Arial"/>
                  <w:sz w:val="21"/>
                  <w:szCs w:val="21"/>
                  <w:u w:val="single" w:color="auto"/>
                  <w:color w:val="0000EE"/>
                </w:rPr>
                <w:t>Kutzkey Tim</w:t>
              </w:r>
            </w:hyperlink>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0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3,438 shares of Common Stock held directly by The Column Group III, LP ("TCG III LP") and 3,883 shares of Common Stock held directly by The Column Group III-A, LP ("TCG III-A LP").</w:t>
      </w:r>
    </w:p>
    <w:p>
      <w:pPr>
        <w:spacing w:after="0" w:line="1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5,177 shares of Common Stock held directly by TCG III LP and 5,847 shares of Common Stock held directly by TCG III-A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47 shares of Common Stock held directly by TCG III LP and 53 shares of Common Stock held directly by TCG III-A LP.</w:t>
      </w:r>
    </w:p>
    <w:p>
      <w:pPr>
        <w:spacing w:after="0" w:line="50" w:lineRule="exact"/>
        <w:rPr>
          <w:rFonts w:ascii="Arial" w:cs="Arial" w:eastAsia="Arial" w:hAnsi="Arial"/>
          <w:sz w:val="13"/>
          <w:szCs w:val="13"/>
          <w:color w:val="008000"/>
        </w:rPr>
      </w:pPr>
    </w:p>
    <w:p>
      <w:pPr>
        <w:ind w:left="20" w:right="16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4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60" w:firstLine="7"/>
        <w:spacing w:after="0" w:line="301" w:lineRule="auto"/>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left="20" w:right="4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08/25/2020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0880"/>
          </w:cols>
          <w:pgMar w:left="480" w:top="145" w:right="539" w:bottom="0" w:gutter="0" w:footer="0" w:header="0"/>
        </w:sectPr>
      </w:pPr>
    </w:p>
    <w:bookmarkStart w:id="3" w:name="page4"/>
    <w:bookmarkEnd w:id="3"/>
    <w:p>
      <w:pPr>
        <w:jc w:val="both"/>
        <w:ind w:right="2480" w:firstLine="7"/>
        <w:spacing w:after="0" w:line="318"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9" Type="http://schemas.openxmlformats.org/officeDocument/2006/relationships/hyperlink" Target="http://www.sec.gov/cgi-bin/browse-edgar?action=getcompany&amp;CIK=0001600420" TargetMode="External"/><Relationship Id="rId20" Type="http://schemas.openxmlformats.org/officeDocument/2006/relationships/hyperlink" Target="http://www.sec.gov/cgi-bin/browse-edgar?action=getcompany&amp;CIK=0001645333" TargetMode="External"/><Relationship Id="rId21" Type="http://schemas.openxmlformats.org/officeDocument/2006/relationships/hyperlink" Target="http://www.sec.gov/cgi-bin/browse-edgar?action=getcompany&amp;CIK=0001645340" TargetMode="External"/><Relationship Id="rId22" Type="http://schemas.openxmlformats.org/officeDocument/2006/relationships/hyperlink" Target="http://www.sec.gov/cgi-bin/browse-edgar?action=getcompany&amp;CIK=0001707230" TargetMode="External"/><Relationship Id="rId23" Type="http://schemas.openxmlformats.org/officeDocument/2006/relationships/hyperlink" Target="http://www.sec.gov/cgi-bin/browse-edgar?action=getcompany&amp;CIK=0001720702" TargetMode="External"/><Relationship Id="rId30" Type="http://schemas.openxmlformats.org/officeDocument/2006/relationships/hyperlink" Target="http://www.sec.gov/cgi-bin/browse-edgar?action=getcompany&amp;CIK=0001732601" TargetMode="External"/><Relationship Id="rId31" Type="http://schemas.openxmlformats.org/officeDocument/2006/relationships/hyperlink" Target="http://www.sec.gov/cgi-bin/browse-edgar?action=getcompany&amp;CIK=0001746488" TargetMode="External"/><Relationship Id="rId32"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2020-08-25T17:52:04Z</dcterms:created>
  <dcterms:modified xsi:type="dcterms:W3CDTF">2020-08-25T17:52:04Z</dcterms:modified>
</cp:coreProperties>
</file>