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22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(Amendment No. 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40"/>
          <w:szCs w:val="40"/>
          <w:b w:val="1"/>
          <w:bCs w:val="1"/>
          <w:color w:val="auto"/>
        </w:rPr>
        <w:t>NGM BIOPHARMACEUTICALS, INC.</w:t>
      </w:r>
    </w:p>
    <w:p>
      <w:pPr>
        <w:spacing w:after="0" w:line="4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Common Stock, $0.001 par value</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62921N 105</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James Evangelista</w:t>
      </w:r>
    </w:p>
    <w:p>
      <w:pPr>
        <w:spacing w:after="0" w:line="3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The Column Group, LP</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1 Letterman Drive,</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Building D, Suite DM-900</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San Francisco, CA 94129</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(415) 865-2050</w:t>
      </w:r>
    </w:p>
    <w:p>
      <w:pPr>
        <w:spacing w:after="0" w:line="2"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June 1, 2022</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304800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ind w:left="4" w:right="120"/>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9" w:lineRule="exact"/>
        <w:rPr>
          <w:sz w:val="24"/>
          <w:szCs w:val="24"/>
          <w:color w:val="auto"/>
        </w:rPr>
      </w:pPr>
    </w:p>
    <w:p>
      <w:pPr>
        <w:ind w:left="4" w:right="2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Schedules filed in paper format shall include a signed original and five copies of the schedule, including all exhibits. See §240.13d-7 for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35560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4" w:lineRule="exact"/>
        <w:rPr>
          <w:sz w:val="24"/>
          <w:szCs w:val="24"/>
          <w:color w:val="auto"/>
        </w:rPr>
      </w:pPr>
    </w:p>
    <w:p>
      <w:pPr>
        <w:ind w:left="424"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as amended (“</w:t>
      </w:r>
      <w:r>
        <w:rPr>
          <w:rFonts w:ascii="Times New Roman" w:cs="Times New Roman" w:eastAsia="Times New Roman" w:hAnsi="Times New Roman"/>
          <w:sz w:val="18"/>
          <w:szCs w:val="18"/>
          <w:u w:val="single" w:color="auto"/>
          <w:color w:val="auto"/>
        </w:rPr>
        <w:t>Securities Exchange Act</w:t>
      </w:r>
      <w:r>
        <w:rPr>
          <w:rFonts w:ascii="Times New Roman" w:cs="Times New Roman" w:eastAsia="Times New Roman" w:hAnsi="Times New Roman"/>
          <w:sz w:val="18"/>
          <w:szCs w:val="18"/>
          <w:color w:val="auto"/>
        </w:rPr>
        <w:t>”) or otherwise subject to the liabilities of that section of the Securities Exchange Act but shall be subject to all other provisions of the Securities Exchange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174625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4"/>
          </w:cols>
          <w:pgMar w:left="436" w:top="376" w:right="51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62921N 105</w:t>
      </w:r>
    </w:p>
    <w:p>
      <w:pPr>
        <w:spacing w:after="0" w:line="266" w:lineRule="exact"/>
        <w:rPr>
          <w:sz w:val="20"/>
          <w:szCs w:val="20"/>
          <w:color w:val="auto"/>
        </w:rPr>
      </w:pPr>
    </w:p>
    <w:p>
      <w:pPr>
        <w:ind w:left="644" w:right="8420" w:hanging="397"/>
        <w:spacing w:after="0" w:line="406" w:lineRule="auto"/>
        <w:tabs>
          <w:tab w:leader="none" w:pos="64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 The Column Group, LP</w:t>
      </w:r>
    </w:p>
    <w:p>
      <w:pPr>
        <w:spacing w:after="0" w:line="1"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-573405</wp:posOffset>
            </wp:positionV>
            <wp:extent cx="6926580" cy="6111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 w:lineRule="exact"/>
        <w:rPr>
          <w:sz w:val="20"/>
          <w:szCs w:val="20"/>
          <w:color w:val="auto"/>
        </w:rPr>
      </w:pPr>
    </w:p>
    <w:p>
      <w:pPr>
        <w:ind w:left="664"/>
        <w:spacing w:after="0" w:line="207" w:lineRule="exact"/>
        <w:tabs>
          <w:tab w:leader="none" w:pos="144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4" w:hanging="417"/>
        <w:spacing w:after="0"/>
        <w:tabs>
          <w:tab w:leader="none" w:pos="6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WC</w:t>
      </w:r>
    </w:p>
    <w:p>
      <w:pPr>
        <w:spacing w:after="0" w:line="36"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3"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4" w:right="7680" w:hanging="417"/>
        <w:spacing w:after="0" w:line="400" w:lineRule="auto"/>
        <w:tabs>
          <w:tab w:leader="none" w:pos="6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ind w:left="1844" w:hanging="422"/>
        <w:spacing w:after="0"/>
        <w:tabs>
          <w:tab w:leader="none" w:pos="184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52" w:lineRule="exact"/>
        <w:rPr>
          <w:sz w:val="20"/>
          <w:szCs w:val="20"/>
          <w:color w:val="auto"/>
        </w:rPr>
      </w:pPr>
    </w:p>
    <w:tbl>
      <w:tblPr>
        <w:tblLayout w:type="fixed"/>
        <w:tblInd w:w="244" w:type="dxa"/>
        <w:tblCellMar>
          <w:top w:w="0" w:type="dxa"/>
          <w:left w:w="0" w:type="dxa"/>
          <w:bottom w:w="0" w:type="dxa"/>
          <w:right w:w="0" w:type="dxa"/>
        </w:tblCellMar>
      </w:tblPr>
      <w:tr>
        <w:trPr>
          <w:trHeight w:val="248"/>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80" w:type="dxa"/>
            <w:vAlign w:val="bottom"/>
            <w:tcBorders>
              <w:bottom w:val="single" w:sz="8" w:color="auto"/>
            </w:tcBorders>
          </w:tcPr>
          <w:p>
            <w:pPr>
              <w:spacing w:after="0"/>
              <w:rPr>
                <w:sz w:val="21"/>
                <w:szCs w:val="21"/>
                <w:color w:val="auto"/>
              </w:rPr>
            </w:pPr>
          </w:p>
        </w:tc>
        <w:tc>
          <w:tcPr>
            <w:tcW w:w="92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11,103,333(1)</w:t>
            </w:r>
          </w:p>
        </w:tc>
        <w:tc>
          <w:tcPr>
            <w:tcW w:w="0" w:type="dxa"/>
            <w:vAlign w:val="bottom"/>
          </w:tcPr>
          <w:p>
            <w:pPr>
              <w:spacing w:after="0"/>
              <w:rPr>
                <w:sz w:val="1"/>
                <w:szCs w:val="1"/>
                <w:color w:val="auto"/>
              </w:rPr>
            </w:pPr>
          </w:p>
        </w:tc>
      </w:tr>
      <w:tr>
        <w:trPr>
          <w:trHeight w:val="232"/>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Shares</w:t>
            </w:r>
          </w:p>
        </w:tc>
        <w:tc>
          <w:tcPr>
            <w:tcW w:w="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9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Beneficially</w:t>
            </w:r>
          </w:p>
        </w:tc>
        <w:tc>
          <w:tcPr>
            <w:tcW w:w="480" w:type="dxa"/>
            <w:vAlign w:val="bottom"/>
          </w:tcPr>
          <w:p>
            <w:pPr>
              <w:spacing w:after="0"/>
              <w:rPr>
                <w:sz w:val="18"/>
                <w:szCs w:val="18"/>
                <w:color w:val="auto"/>
              </w:rPr>
            </w:pPr>
          </w:p>
        </w:tc>
        <w:tc>
          <w:tcPr>
            <w:tcW w:w="92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Owned by</w:t>
            </w:r>
          </w:p>
        </w:tc>
        <w:tc>
          <w:tcPr>
            <w:tcW w:w="480" w:type="dxa"/>
            <w:vAlign w:val="bottom"/>
            <w:tcBorders>
              <w:bottom w:val="single" w:sz="8" w:color="auto"/>
            </w:tcBorders>
          </w:tcPr>
          <w:p>
            <w:pPr>
              <w:spacing w:after="0"/>
              <w:rPr>
                <w:sz w:val="20"/>
                <w:szCs w:val="20"/>
                <w:color w:val="auto"/>
              </w:rPr>
            </w:pPr>
          </w:p>
        </w:tc>
        <w:tc>
          <w:tcPr>
            <w:tcW w:w="92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80" w:type="dxa"/>
            <w:vAlign w:val="bottom"/>
          </w:tcPr>
          <w:p>
            <w:pPr>
              <w:jc w:val="center"/>
              <w:ind w:right="10"/>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48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9.</w:t>
            </w:r>
          </w:p>
        </w:tc>
        <w:tc>
          <w:tcPr>
            <w:tcW w:w="920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Reporting</w:t>
            </w:r>
          </w:p>
        </w:tc>
        <w:tc>
          <w:tcPr>
            <w:tcW w:w="48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Person</w:t>
            </w:r>
          </w:p>
        </w:tc>
        <w:tc>
          <w:tcPr>
            <w:tcW w:w="480" w:type="dxa"/>
            <w:vAlign w:val="bottom"/>
          </w:tcPr>
          <w:p>
            <w:pPr>
              <w:spacing w:after="0"/>
              <w:rPr>
                <w:sz w:val="19"/>
                <w:szCs w:val="19"/>
                <w:color w:val="auto"/>
              </w:rPr>
            </w:pPr>
          </w:p>
        </w:tc>
        <w:tc>
          <w:tcPr>
            <w:tcW w:w="9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11,103,333(1)</w:t>
            </w:r>
          </w:p>
        </w:tc>
        <w:tc>
          <w:tcPr>
            <w:tcW w:w="0" w:type="dxa"/>
            <w:vAlign w:val="bottom"/>
          </w:tcPr>
          <w:p>
            <w:pPr>
              <w:spacing w:after="0"/>
              <w:rPr>
                <w:sz w:val="1"/>
                <w:szCs w:val="1"/>
                <w:color w:val="auto"/>
              </w:rPr>
            </w:pPr>
          </w:p>
        </w:tc>
      </w:tr>
      <w:tr>
        <w:trPr>
          <w:trHeight w:val="68"/>
        </w:trPr>
        <w:tc>
          <w:tcPr>
            <w:tcW w:w="98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With</w:t>
            </w:r>
          </w:p>
        </w:tc>
        <w:tc>
          <w:tcPr>
            <w:tcW w:w="480" w:type="dxa"/>
            <w:vAlign w:val="bottom"/>
            <w:tcBorders>
              <w:bottom w:val="single" w:sz="8" w:color="auto"/>
            </w:tcBorders>
          </w:tcPr>
          <w:p>
            <w:pPr>
              <w:spacing w:after="0"/>
              <w:rPr>
                <w:sz w:val="5"/>
                <w:szCs w:val="5"/>
                <w:color w:val="auto"/>
              </w:rPr>
            </w:pPr>
          </w:p>
        </w:tc>
        <w:tc>
          <w:tcPr>
            <w:tcW w:w="9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980" w:type="dxa"/>
            <w:vAlign w:val="bottom"/>
            <w:vMerge w:val="continue"/>
          </w:tcPr>
          <w:p>
            <w:pPr>
              <w:spacing w:after="0"/>
              <w:rPr>
                <w:sz w:val="12"/>
                <w:szCs w:val="12"/>
                <w:color w:val="auto"/>
              </w:rPr>
            </w:pPr>
          </w:p>
        </w:tc>
        <w:tc>
          <w:tcPr>
            <w:tcW w:w="4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92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98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9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844"/>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664" w:right="5500" w:hanging="507"/>
        <w:spacing w:after="0" w:line="406" w:lineRule="auto"/>
        <w:tabs>
          <w:tab w:leader="none" w:pos="65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11,103,333(1)</w:t>
      </w:r>
    </w:p>
    <w:p>
      <w:pPr>
        <w:spacing w:after="0" w:line="1"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40"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14.0%(2)</w:t>
      </w:r>
    </w:p>
    <w:p>
      <w:pPr>
        <w:spacing w:after="0" w:line="36" w:lineRule="exact"/>
        <w:rPr>
          <w:rFonts w:ascii="Times New Roman" w:cs="Times New Roman" w:eastAsia="Times New Roman" w:hAnsi="Times New Roman"/>
          <w:sz w:val="18"/>
          <w:szCs w:val="18"/>
          <w:color w:val="auto"/>
        </w:rPr>
      </w:pPr>
    </w:p>
    <w:p>
      <w:pPr>
        <w:ind w:left="644" w:hanging="487"/>
        <w:spacing w:after="0"/>
        <w:tabs>
          <w:tab w:leader="none" w:pos="64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ind w:left="424" w:right="140" w:hanging="424"/>
        <w:spacing w:after="0" w:line="255"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are held of record by TCG LP (as defined in Item 2(a) below). TCG GP (as defined in Item 2(a) below) is the general partner of TCG LP and may be deemed to have voting, investment and dispositive power with respect to these securities. Peter Svennilson and David Goeddel, a member of the Issuer’s board of directors, are the managing partners of TCG GP and may each be deemed to share voting, investment and dispositive power with respect to these securities.</w:t>
      </w:r>
    </w:p>
    <w:p>
      <w:pPr>
        <w:spacing w:after="0" w:line="2" w:lineRule="exact"/>
        <w:rPr>
          <w:rFonts w:ascii="Times New Roman" w:cs="Times New Roman" w:eastAsia="Times New Roman" w:hAnsi="Times New Roman"/>
          <w:sz w:val="18"/>
          <w:szCs w:val="18"/>
          <w:color w:val="auto"/>
        </w:rPr>
      </w:pPr>
    </w:p>
    <w:p>
      <w:pPr>
        <w:ind w:left="424" w:hanging="424"/>
        <w:spacing w:after="0" w:line="260"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79,257,148 shares of Common Stock outstanding as of May 2, 2022, as reported in the Issuer’s Quarterly Report on Form 10-Q and filed with the Securities and Exchange Commission on May 5, 2022 (the “Form 10-Q”).</w:t>
      </w:r>
    </w:p>
    <w:p>
      <w:pPr>
        <w:sectPr>
          <w:pgSz w:w="11900" w:h="16838" w:orient="portrait"/>
          <w:cols w:equalWidth="0" w:num="1">
            <w:col w:w="11004"/>
          </w:cols>
          <w:pgMar w:left="436" w:top="270" w:right="45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62921N 105</w:t>
      </w:r>
    </w:p>
    <w:p>
      <w:pPr>
        <w:spacing w:after="0" w:line="266" w:lineRule="exact"/>
        <w:rPr>
          <w:sz w:val="20"/>
          <w:szCs w:val="20"/>
          <w:color w:val="auto"/>
        </w:rPr>
      </w:pPr>
    </w:p>
    <w:p>
      <w:pPr>
        <w:jc w:val="both"/>
        <w:ind w:left="644" w:right="8280" w:hanging="397"/>
        <w:spacing w:after="0" w:line="430" w:lineRule="auto"/>
        <w:tabs>
          <w:tab w:leader="none" w:pos="647"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 The Column Group GP, LP</w:t>
      </w:r>
    </w:p>
    <w:p>
      <w:pPr>
        <w:spacing w:after="0" w:line="1" w:lineRule="exact"/>
        <w:rPr>
          <w:rFonts w:ascii="Times New Roman" w:cs="Times New Roman" w:eastAsia="Times New Roman" w:hAnsi="Times New Roman"/>
          <w:sz w:val="17"/>
          <w:szCs w:val="17"/>
          <w:color w:val="auto"/>
        </w:rPr>
      </w:pPr>
    </w:p>
    <w:p>
      <w:pPr>
        <w:ind w:left="664" w:hanging="417"/>
        <w:spacing w:after="0"/>
        <w:tabs>
          <w:tab w:leader="none" w:pos="6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-573405</wp:posOffset>
            </wp:positionV>
            <wp:extent cx="6926580" cy="6111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 w:lineRule="exact"/>
        <w:rPr>
          <w:sz w:val="20"/>
          <w:szCs w:val="20"/>
          <w:color w:val="auto"/>
        </w:rPr>
      </w:pPr>
    </w:p>
    <w:p>
      <w:pPr>
        <w:ind w:left="664"/>
        <w:spacing w:after="0" w:line="207" w:lineRule="exact"/>
        <w:tabs>
          <w:tab w:leader="none" w:pos="144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4" w:hanging="417"/>
        <w:spacing w:after="0"/>
        <w:tabs>
          <w:tab w:leader="none" w:pos="6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w:t>
      </w:r>
    </w:p>
    <w:p>
      <w:pPr>
        <w:spacing w:after="0" w:line="36"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3"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4" w:right="7580" w:hanging="417"/>
        <w:spacing w:after="0" w:line="400" w:lineRule="auto"/>
        <w:tabs>
          <w:tab w:leader="none" w:pos="6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ind w:left="1844" w:hanging="422"/>
        <w:spacing w:after="0"/>
        <w:tabs>
          <w:tab w:leader="none" w:pos="184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52" w:lineRule="exact"/>
        <w:rPr>
          <w:sz w:val="20"/>
          <w:szCs w:val="20"/>
          <w:color w:val="auto"/>
        </w:rPr>
      </w:pPr>
    </w:p>
    <w:tbl>
      <w:tblPr>
        <w:tblLayout w:type="fixed"/>
        <w:tblInd w:w="244" w:type="dxa"/>
        <w:tblCellMar>
          <w:top w:w="0" w:type="dxa"/>
          <w:left w:w="0" w:type="dxa"/>
          <w:bottom w:w="0" w:type="dxa"/>
          <w:right w:w="0" w:type="dxa"/>
        </w:tblCellMar>
      </w:tblPr>
      <w:tr>
        <w:trPr>
          <w:trHeight w:val="248"/>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80" w:type="dxa"/>
            <w:vAlign w:val="bottom"/>
            <w:tcBorders>
              <w:bottom w:val="single" w:sz="8" w:color="auto"/>
            </w:tcBorders>
          </w:tcPr>
          <w:p>
            <w:pPr>
              <w:spacing w:after="0"/>
              <w:rPr>
                <w:sz w:val="21"/>
                <w:szCs w:val="21"/>
                <w:color w:val="auto"/>
              </w:rPr>
            </w:pPr>
          </w:p>
        </w:tc>
        <w:tc>
          <w:tcPr>
            <w:tcW w:w="92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100,000(1)</w:t>
            </w:r>
          </w:p>
        </w:tc>
        <w:tc>
          <w:tcPr>
            <w:tcW w:w="0" w:type="dxa"/>
            <w:vAlign w:val="bottom"/>
          </w:tcPr>
          <w:p>
            <w:pPr>
              <w:spacing w:after="0"/>
              <w:rPr>
                <w:sz w:val="1"/>
                <w:szCs w:val="1"/>
                <w:color w:val="auto"/>
              </w:rPr>
            </w:pPr>
          </w:p>
        </w:tc>
      </w:tr>
      <w:tr>
        <w:trPr>
          <w:trHeight w:val="232"/>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Shares</w:t>
            </w:r>
          </w:p>
        </w:tc>
        <w:tc>
          <w:tcPr>
            <w:tcW w:w="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9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Beneficially</w:t>
            </w:r>
          </w:p>
        </w:tc>
        <w:tc>
          <w:tcPr>
            <w:tcW w:w="480" w:type="dxa"/>
            <w:vAlign w:val="bottom"/>
          </w:tcPr>
          <w:p>
            <w:pPr>
              <w:spacing w:after="0"/>
              <w:rPr>
                <w:sz w:val="18"/>
                <w:szCs w:val="18"/>
                <w:color w:val="auto"/>
              </w:rPr>
            </w:pPr>
          </w:p>
        </w:tc>
        <w:tc>
          <w:tcPr>
            <w:tcW w:w="92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11,103,333(2)</w:t>
            </w:r>
          </w:p>
        </w:tc>
        <w:tc>
          <w:tcPr>
            <w:tcW w:w="0" w:type="dxa"/>
            <w:vAlign w:val="bottom"/>
          </w:tcPr>
          <w:p>
            <w:pPr>
              <w:spacing w:after="0"/>
              <w:rPr>
                <w:sz w:val="1"/>
                <w:szCs w:val="1"/>
                <w:color w:val="auto"/>
              </w:rPr>
            </w:pPr>
          </w:p>
        </w:tc>
      </w:tr>
      <w:tr>
        <w:trPr>
          <w:trHeight w:val="234"/>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Owned by</w:t>
            </w:r>
          </w:p>
        </w:tc>
        <w:tc>
          <w:tcPr>
            <w:tcW w:w="480" w:type="dxa"/>
            <w:vAlign w:val="bottom"/>
            <w:tcBorders>
              <w:bottom w:val="single" w:sz="8" w:color="auto"/>
            </w:tcBorders>
          </w:tcPr>
          <w:p>
            <w:pPr>
              <w:spacing w:after="0"/>
              <w:rPr>
                <w:sz w:val="20"/>
                <w:szCs w:val="20"/>
                <w:color w:val="auto"/>
              </w:rPr>
            </w:pPr>
          </w:p>
        </w:tc>
        <w:tc>
          <w:tcPr>
            <w:tcW w:w="92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80" w:type="dxa"/>
            <w:vAlign w:val="bottom"/>
          </w:tcPr>
          <w:p>
            <w:pPr>
              <w:jc w:val="center"/>
              <w:ind w:right="10"/>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48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9.</w:t>
            </w:r>
          </w:p>
        </w:tc>
        <w:tc>
          <w:tcPr>
            <w:tcW w:w="920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Reporting</w:t>
            </w:r>
          </w:p>
        </w:tc>
        <w:tc>
          <w:tcPr>
            <w:tcW w:w="48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Person</w:t>
            </w:r>
          </w:p>
        </w:tc>
        <w:tc>
          <w:tcPr>
            <w:tcW w:w="480" w:type="dxa"/>
            <w:vAlign w:val="bottom"/>
          </w:tcPr>
          <w:p>
            <w:pPr>
              <w:spacing w:after="0"/>
              <w:rPr>
                <w:sz w:val="19"/>
                <w:szCs w:val="19"/>
                <w:color w:val="auto"/>
              </w:rPr>
            </w:pPr>
          </w:p>
        </w:tc>
        <w:tc>
          <w:tcPr>
            <w:tcW w:w="9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100,000(1)</w:t>
            </w:r>
          </w:p>
        </w:tc>
        <w:tc>
          <w:tcPr>
            <w:tcW w:w="0" w:type="dxa"/>
            <w:vAlign w:val="bottom"/>
          </w:tcPr>
          <w:p>
            <w:pPr>
              <w:spacing w:after="0"/>
              <w:rPr>
                <w:sz w:val="1"/>
                <w:szCs w:val="1"/>
                <w:color w:val="auto"/>
              </w:rPr>
            </w:pPr>
          </w:p>
        </w:tc>
      </w:tr>
      <w:tr>
        <w:trPr>
          <w:trHeight w:val="68"/>
        </w:trPr>
        <w:tc>
          <w:tcPr>
            <w:tcW w:w="98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With</w:t>
            </w:r>
          </w:p>
        </w:tc>
        <w:tc>
          <w:tcPr>
            <w:tcW w:w="480" w:type="dxa"/>
            <w:vAlign w:val="bottom"/>
            <w:tcBorders>
              <w:bottom w:val="single" w:sz="8" w:color="auto"/>
            </w:tcBorders>
          </w:tcPr>
          <w:p>
            <w:pPr>
              <w:spacing w:after="0"/>
              <w:rPr>
                <w:sz w:val="5"/>
                <w:szCs w:val="5"/>
                <w:color w:val="auto"/>
              </w:rPr>
            </w:pPr>
          </w:p>
        </w:tc>
        <w:tc>
          <w:tcPr>
            <w:tcW w:w="9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980" w:type="dxa"/>
            <w:vAlign w:val="bottom"/>
            <w:vMerge w:val="continue"/>
          </w:tcPr>
          <w:p>
            <w:pPr>
              <w:spacing w:after="0"/>
              <w:rPr>
                <w:sz w:val="12"/>
                <w:szCs w:val="12"/>
                <w:color w:val="auto"/>
              </w:rPr>
            </w:pPr>
          </w:p>
        </w:tc>
        <w:tc>
          <w:tcPr>
            <w:tcW w:w="4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92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98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9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844"/>
        <w:spacing w:after="0"/>
        <w:rPr>
          <w:sz w:val="20"/>
          <w:szCs w:val="20"/>
          <w:color w:val="auto"/>
        </w:rPr>
      </w:pPr>
      <w:r>
        <w:rPr>
          <w:rFonts w:ascii="Times New Roman" w:cs="Times New Roman" w:eastAsia="Times New Roman" w:hAnsi="Times New Roman"/>
          <w:sz w:val="18"/>
          <w:szCs w:val="18"/>
          <w:color w:val="auto"/>
        </w:rPr>
        <w:t>11,103,333(2)</w:t>
      </w:r>
    </w:p>
    <w:p>
      <w:pPr>
        <w:spacing w:after="0" w:line="36" w:lineRule="exact"/>
        <w:rPr>
          <w:sz w:val="20"/>
          <w:szCs w:val="20"/>
          <w:color w:val="auto"/>
        </w:rPr>
      </w:pPr>
    </w:p>
    <w:p>
      <w:pPr>
        <w:ind w:left="664" w:right="5400" w:hanging="507"/>
        <w:spacing w:after="0" w:line="406" w:lineRule="auto"/>
        <w:tabs>
          <w:tab w:leader="none" w:pos="65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11,203,333(1)(2)</w:t>
      </w:r>
    </w:p>
    <w:p>
      <w:pPr>
        <w:spacing w:after="0" w:line="1"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40"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14.1%(3)</w:t>
      </w:r>
    </w:p>
    <w:p>
      <w:pPr>
        <w:spacing w:after="0" w:line="36" w:lineRule="exact"/>
        <w:rPr>
          <w:rFonts w:ascii="Times New Roman" w:cs="Times New Roman" w:eastAsia="Times New Roman" w:hAnsi="Times New Roman"/>
          <w:sz w:val="18"/>
          <w:szCs w:val="18"/>
          <w:color w:val="auto"/>
        </w:rPr>
      </w:pPr>
    </w:p>
    <w:p>
      <w:pPr>
        <w:ind w:left="644" w:hanging="487"/>
        <w:spacing w:after="0"/>
        <w:tabs>
          <w:tab w:leader="none" w:pos="64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ind w:left="424" w:right="280" w:hanging="424"/>
        <w:spacing w:after="0" w:line="261"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are held of record by TCG GP. Peter Svennilson and David Goeddel, a member of the Issuer’s board of directors, are the managing partners of TCG GP and may each be deemed to share voting, investment and dispositive power with respect to these securities.</w:t>
      </w:r>
    </w:p>
    <w:p>
      <w:pPr>
        <w:ind w:left="424" w:right="440" w:hanging="424"/>
        <w:spacing w:after="0" w:line="250"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are held of record by TCG LP. TCG GP is the general partner of TCG LP and may be deemed to have voting, investment and dispositive power with respect to these securities. Peter Svennilson and David Goeddel, a member of the Issuer’s board of directors, are the managing partners of TCG GP and may each be deemed to share voting, investment and dispositive power with respect to these securities.</w:t>
      </w:r>
    </w:p>
    <w:p>
      <w:pPr>
        <w:spacing w:after="0" w:line="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79,257,148 shares of Common Stock outstanding as of May 2, 2022, as reported in the Form 10-Q.</w:t>
      </w:r>
    </w:p>
    <w:p>
      <w:pPr>
        <w:sectPr>
          <w:pgSz w:w="11900" w:h="16838" w:orient="portrait"/>
          <w:cols w:equalWidth="0" w:num="1">
            <w:col w:w="10904"/>
          </w:cols>
          <w:pgMar w:left="436" w:top="270" w:right="55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62921N 105</w:t>
      </w:r>
    </w:p>
    <w:p>
      <w:pPr>
        <w:spacing w:after="0" w:line="266" w:lineRule="exact"/>
        <w:rPr>
          <w:sz w:val="20"/>
          <w:szCs w:val="20"/>
          <w:color w:val="auto"/>
        </w:rPr>
      </w:pPr>
    </w:p>
    <w:p>
      <w:pPr>
        <w:jc w:val="both"/>
        <w:ind w:left="644" w:right="8320" w:hanging="397"/>
        <w:spacing w:after="0" w:line="406" w:lineRule="auto"/>
        <w:tabs>
          <w:tab w:leader="none" w:pos="64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 The Column Group II, LP</w:t>
      </w:r>
    </w:p>
    <w:p>
      <w:pPr>
        <w:spacing w:after="0" w:line="1"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-573405</wp:posOffset>
            </wp:positionV>
            <wp:extent cx="6926580" cy="6111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 w:lineRule="exact"/>
        <w:rPr>
          <w:sz w:val="20"/>
          <w:szCs w:val="20"/>
          <w:color w:val="auto"/>
        </w:rPr>
      </w:pPr>
    </w:p>
    <w:p>
      <w:pPr>
        <w:ind w:left="664"/>
        <w:spacing w:after="0" w:line="207" w:lineRule="exact"/>
        <w:tabs>
          <w:tab w:leader="none" w:pos="144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4" w:hanging="417"/>
        <w:spacing w:after="0"/>
        <w:tabs>
          <w:tab w:leader="none" w:pos="66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WC</w:t>
      </w:r>
    </w:p>
    <w:p>
      <w:pPr>
        <w:spacing w:after="0" w:line="36"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3"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4" w:right="7580" w:hanging="417"/>
        <w:spacing w:after="0" w:line="400" w:lineRule="auto"/>
        <w:tabs>
          <w:tab w:leader="none" w:pos="66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ind w:left="1844" w:hanging="422"/>
        <w:spacing w:after="0"/>
        <w:tabs>
          <w:tab w:leader="none" w:pos="184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52" w:lineRule="exact"/>
        <w:rPr>
          <w:sz w:val="20"/>
          <w:szCs w:val="20"/>
          <w:color w:val="auto"/>
        </w:rPr>
      </w:pPr>
    </w:p>
    <w:tbl>
      <w:tblPr>
        <w:tblLayout w:type="fixed"/>
        <w:tblInd w:w="244" w:type="dxa"/>
        <w:tblCellMar>
          <w:top w:w="0" w:type="dxa"/>
          <w:left w:w="0" w:type="dxa"/>
          <w:bottom w:w="0" w:type="dxa"/>
          <w:right w:w="0" w:type="dxa"/>
        </w:tblCellMar>
      </w:tblPr>
      <w:tr>
        <w:trPr>
          <w:trHeight w:val="248"/>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80" w:type="dxa"/>
            <w:vAlign w:val="bottom"/>
            <w:tcBorders>
              <w:bottom w:val="single" w:sz="8" w:color="auto"/>
            </w:tcBorders>
          </w:tcPr>
          <w:p>
            <w:pPr>
              <w:spacing w:after="0"/>
              <w:rPr>
                <w:sz w:val="21"/>
                <w:szCs w:val="21"/>
                <w:color w:val="auto"/>
              </w:rPr>
            </w:pPr>
          </w:p>
        </w:tc>
        <w:tc>
          <w:tcPr>
            <w:tcW w:w="92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2,265,758(1)</w:t>
            </w:r>
          </w:p>
        </w:tc>
        <w:tc>
          <w:tcPr>
            <w:tcW w:w="0" w:type="dxa"/>
            <w:vAlign w:val="bottom"/>
          </w:tcPr>
          <w:p>
            <w:pPr>
              <w:spacing w:after="0"/>
              <w:rPr>
                <w:sz w:val="1"/>
                <w:szCs w:val="1"/>
                <w:color w:val="auto"/>
              </w:rPr>
            </w:pPr>
          </w:p>
        </w:tc>
      </w:tr>
      <w:tr>
        <w:trPr>
          <w:trHeight w:val="232"/>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Shares</w:t>
            </w:r>
          </w:p>
        </w:tc>
        <w:tc>
          <w:tcPr>
            <w:tcW w:w="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9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Beneficially</w:t>
            </w:r>
          </w:p>
        </w:tc>
        <w:tc>
          <w:tcPr>
            <w:tcW w:w="480" w:type="dxa"/>
            <w:vAlign w:val="bottom"/>
          </w:tcPr>
          <w:p>
            <w:pPr>
              <w:spacing w:after="0"/>
              <w:rPr>
                <w:sz w:val="18"/>
                <w:szCs w:val="18"/>
                <w:color w:val="auto"/>
              </w:rPr>
            </w:pPr>
          </w:p>
        </w:tc>
        <w:tc>
          <w:tcPr>
            <w:tcW w:w="92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Owned by</w:t>
            </w:r>
          </w:p>
        </w:tc>
        <w:tc>
          <w:tcPr>
            <w:tcW w:w="480" w:type="dxa"/>
            <w:vAlign w:val="bottom"/>
            <w:tcBorders>
              <w:bottom w:val="single" w:sz="8" w:color="auto"/>
            </w:tcBorders>
          </w:tcPr>
          <w:p>
            <w:pPr>
              <w:spacing w:after="0"/>
              <w:rPr>
                <w:sz w:val="20"/>
                <w:szCs w:val="20"/>
                <w:color w:val="auto"/>
              </w:rPr>
            </w:pPr>
          </w:p>
        </w:tc>
        <w:tc>
          <w:tcPr>
            <w:tcW w:w="92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80" w:type="dxa"/>
            <w:vAlign w:val="bottom"/>
          </w:tcPr>
          <w:p>
            <w:pPr>
              <w:jc w:val="center"/>
              <w:ind w:right="10"/>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48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9.</w:t>
            </w:r>
          </w:p>
        </w:tc>
        <w:tc>
          <w:tcPr>
            <w:tcW w:w="920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Reporting</w:t>
            </w:r>
          </w:p>
        </w:tc>
        <w:tc>
          <w:tcPr>
            <w:tcW w:w="48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Person</w:t>
            </w:r>
          </w:p>
        </w:tc>
        <w:tc>
          <w:tcPr>
            <w:tcW w:w="480" w:type="dxa"/>
            <w:vAlign w:val="bottom"/>
          </w:tcPr>
          <w:p>
            <w:pPr>
              <w:spacing w:after="0"/>
              <w:rPr>
                <w:sz w:val="19"/>
                <w:szCs w:val="19"/>
                <w:color w:val="auto"/>
              </w:rPr>
            </w:pPr>
          </w:p>
        </w:tc>
        <w:tc>
          <w:tcPr>
            <w:tcW w:w="9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2,265,758(1)</w:t>
            </w:r>
          </w:p>
        </w:tc>
        <w:tc>
          <w:tcPr>
            <w:tcW w:w="0" w:type="dxa"/>
            <w:vAlign w:val="bottom"/>
          </w:tcPr>
          <w:p>
            <w:pPr>
              <w:spacing w:after="0"/>
              <w:rPr>
                <w:sz w:val="1"/>
                <w:szCs w:val="1"/>
                <w:color w:val="auto"/>
              </w:rPr>
            </w:pPr>
          </w:p>
        </w:tc>
      </w:tr>
      <w:tr>
        <w:trPr>
          <w:trHeight w:val="68"/>
        </w:trPr>
        <w:tc>
          <w:tcPr>
            <w:tcW w:w="98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With</w:t>
            </w:r>
          </w:p>
        </w:tc>
        <w:tc>
          <w:tcPr>
            <w:tcW w:w="480" w:type="dxa"/>
            <w:vAlign w:val="bottom"/>
            <w:tcBorders>
              <w:bottom w:val="single" w:sz="8" w:color="auto"/>
            </w:tcBorders>
          </w:tcPr>
          <w:p>
            <w:pPr>
              <w:spacing w:after="0"/>
              <w:rPr>
                <w:sz w:val="5"/>
                <w:szCs w:val="5"/>
                <w:color w:val="auto"/>
              </w:rPr>
            </w:pPr>
          </w:p>
        </w:tc>
        <w:tc>
          <w:tcPr>
            <w:tcW w:w="9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980" w:type="dxa"/>
            <w:vAlign w:val="bottom"/>
            <w:vMerge w:val="continue"/>
          </w:tcPr>
          <w:p>
            <w:pPr>
              <w:spacing w:after="0"/>
              <w:rPr>
                <w:sz w:val="12"/>
                <w:szCs w:val="12"/>
                <w:color w:val="auto"/>
              </w:rPr>
            </w:pPr>
          </w:p>
        </w:tc>
        <w:tc>
          <w:tcPr>
            <w:tcW w:w="4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92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98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9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844"/>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664" w:right="5400" w:hanging="507"/>
        <w:spacing w:after="0" w:line="406" w:lineRule="auto"/>
        <w:tabs>
          <w:tab w:leader="none" w:pos="65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2,265,758(1)</w:t>
      </w:r>
    </w:p>
    <w:p>
      <w:pPr>
        <w:spacing w:after="0" w:line="1"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40"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2.9%(2)</w:t>
      </w:r>
    </w:p>
    <w:p>
      <w:pPr>
        <w:spacing w:after="0" w:line="36" w:lineRule="exact"/>
        <w:rPr>
          <w:rFonts w:ascii="Times New Roman" w:cs="Times New Roman" w:eastAsia="Times New Roman" w:hAnsi="Times New Roman"/>
          <w:sz w:val="18"/>
          <w:szCs w:val="18"/>
          <w:color w:val="auto"/>
        </w:rPr>
      </w:pPr>
    </w:p>
    <w:p>
      <w:pPr>
        <w:ind w:left="644" w:hanging="487"/>
        <w:spacing w:after="0"/>
        <w:tabs>
          <w:tab w:leader="none" w:pos="64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ind w:left="424" w:right="180" w:hanging="424"/>
        <w:spacing w:after="0" w:line="255"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are held of record by TCG II LP (as defined in Item 2(a) below). TCG II GP (as defined in Item 2(a) below) is the general partner of TCG II LP and may be deemed to have voting, investment and dispositive power with respect to these securities. Peter Svennilson and David Goeddel, a member of the Issuer’s board of directors, are the managing partners of TCG II GP and may each be deemed to share voting, investment and dispositive power with respect to these securities.</w:t>
      </w:r>
    </w:p>
    <w:p>
      <w:pPr>
        <w:spacing w:after="0" w:line="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79,257,148 shares of Common Stock outstanding as of May 2, 2022, as reported in the Form 10-Q.</w:t>
      </w:r>
    </w:p>
    <w:p>
      <w:pPr>
        <w:sectPr>
          <w:pgSz w:w="11900" w:h="16838" w:orient="portrait"/>
          <w:cols w:equalWidth="0" w:num="1">
            <w:col w:w="10904"/>
          </w:cols>
          <w:pgMar w:left="436" w:top="270" w:right="55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62921N 105</w:t>
      </w:r>
    </w:p>
    <w:p>
      <w:pPr>
        <w:spacing w:after="0" w:line="266" w:lineRule="exact"/>
        <w:rPr>
          <w:sz w:val="20"/>
          <w:szCs w:val="20"/>
          <w:color w:val="auto"/>
        </w:rPr>
      </w:pPr>
    </w:p>
    <w:p>
      <w:pPr>
        <w:ind w:left="644" w:right="8120" w:hanging="397"/>
        <w:spacing w:after="0" w:line="430" w:lineRule="auto"/>
        <w:tabs>
          <w:tab w:leader="none" w:pos="647"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 The Column Group II GP, LP</w:t>
      </w:r>
    </w:p>
    <w:p>
      <w:pPr>
        <w:spacing w:after="0" w:line="1" w:lineRule="exact"/>
        <w:rPr>
          <w:rFonts w:ascii="Times New Roman" w:cs="Times New Roman" w:eastAsia="Times New Roman" w:hAnsi="Times New Roman"/>
          <w:sz w:val="17"/>
          <w:szCs w:val="17"/>
          <w:color w:val="auto"/>
        </w:rPr>
      </w:pPr>
    </w:p>
    <w:p>
      <w:pPr>
        <w:ind w:left="664" w:hanging="417"/>
        <w:spacing w:after="0"/>
        <w:tabs>
          <w:tab w:leader="none" w:pos="66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-573405</wp:posOffset>
            </wp:positionV>
            <wp:extent cx="6926580" cy="6111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 w:lineRule="exact"/>
        <w:rPr>
          <w:sz w:val="20"/>
          <w:szCs w:val="20"/>
          <w:color w:val="auto"/>
        </w:rPr>
      </w:pPr>
    </w:p>
    <w:p>
      <w:pPr>
        <w:ind w:left="664"/>
        <w:spacing w:after="0" w:line="207" w:lineRule="exact"/>
        <w:tabs>
          <w:tab w:leader="none" w:pos="144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4" w:hanging="417"/>
        <w:spacing w:after="0"/>
        <w:tabs>
          <w:tab w:leader="none" w:pos="66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w:t>
      </w:r>
    </w:p>
    <w:p>
      <w:pPr>
        <w:spacing w:after="0" w:line="36"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3"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4" w:right="7580" w:hanging="417"/>
        <w:spacing w:after="0" w:line="400" w:lineRule="auto"/>
        <w:tabs>
          <w:tab w:leader="none" w:pos="66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ind w:left="1844" w:hanging="422"/>
        <w:spacing w:after="0"/>
        <w:tabs>
          <w:tab w:leader="none" w:pos="184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52" w:lineRule="exact"/>
        <w:rPr>
          <w:sz w:val="20"/>
          <w:szCs w:val="20"/>
          <w:color w:val="auto"/>
        </w:rPr>
      </w:pPr>
    </w:p>
    <w:tbl>
      <w:tblPr>
        <w:tblLayout w:type="fixed"/>
        <w:tblInd w:w="244" w:type="dxa"/>
        <w:tblCellMar>
          <w:top w:w="0" w:type="dxa"/>
          <w:left w:w="0" w:type="dxa"/>
          <w:bottom w:w="0" w:type="dxa"/>
          <w:right w:w="0" w:type="dxa"/>
        </w:tblCellMar>
      </w:tblPr>
      <w:tr>
        <w:trPr>
          <w:trHeight w:val="248"/>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80" w:type="dxa"/>
            <w:vAlign w:val="bottom"/>
            <w:tcBorders>
              <w:bottom w:val="single" w:sz="8" w:color="auto"/>
            </w:tcBorders>
          </w:tcPr>
          <w:p>
            <w:pPr>
              <w:spacing w:after="0"/>
              <w:rPr>
                <w:sz w:val="21"/>
                <w:szCs w:val="21"/>
                <w:color w:val="auto"/>
              </w:rPr>
            </w:pPr>
          </w:p>
        </w:tc>
        <w:tc>
          <w:tcPr>
            <w:tcW w:w="92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Shares</w:t>
            </w:r>
          </w:p>
        </w:tc>
        <w:tc>
          <w:tcPr>
            <w:tcW w:w="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9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Beneficially</w:t>
            </w:r>
          </w:p>
        </w:tc>
        <w:tc>
          <w:tcPr>
            <w:tcW w:w="480" w:type="dxa"/>
            <w:vAlign w:val="bottom"/>
          </w:tcPr>
          <w:p>
            <w:pPr>
              <w:spacing w:after="0"/>
              <w:rPr>
                <w:sz w:val="18"/>
                <w:szCs w:val="18"/>
                <w:color w:val="auto"/>
              </w:rPr>
            </w:pPr>
          </w:p>
        </w:tc>
        <w:tc>
          <w:tcPr>
            <w:tcW w:w="92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2,265,758(1)</w:t>
            </w:r>
          </w:p>
        </w:tc>
        <w:tc>
          <w:tcPr>
            <w:tcW w:w="0" w:type="dxa"/>
            <w:vAlign w:val="bottom"/>
          </w:tcPr>
          <w:p>
            <w:pPr>
              <w:spacing w:after="0"/>
              <w:rPr>
                <w:sz w:val="1"/>
                <w:szCs w:val="1"/>
                <w:color w:val="auto"/>
              </w:rPr>
            </w:pPr>
          </w:p>
        </w:tc>
      </w:tr>
      <w:tr>
        <w:trPr>
          <w:trHeight w:val="234"/>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Owned by</w:t>
            </w:r>
          </w:p>
        </w:tc>
        <w:tc>
          <w:tcPr>
            <w:tcW w:w="480" w:type="dxa"/>
            <w:vAlign w:val="bottom"/>
            <w:tcBorders>
              <w:bottom w:val="single" w:sz="8" w:color="auto"/>
            </w:tcBorders>
          </w:tcPr>
          <w:p>
            <w:pPr>
              <w:spacing w:after="0"/>
              <w:rPr>
                <w:sz w:val="20"/>
                <w:szCs w:val="20"/>
                <w:color w:val="auto"/>
              </w:rPr>
            </w:pPr>
          </w:p>
        </w:tc>
        <w:tc>
          <w:tcPr>
            <w:tcW w:w="92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80" w:type="dxa"/>
            <w:vAlign w:val="bottom"/>
          </w:tcPr>
          <w:p>
            <w:pPr>
              <w:jc w:val="center"/>
              <w:ind w:right="10"/>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48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9.</w:t>
            </w:r>
          </w:p>
        </w:tc>
        <w:tc>
          <w:tcPr>
            <w:tcW w:w="920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Reporting</w:t>
            </w:r>
          </w:p>
        </w:tc>
        <w:tc>
          <w:tcPr>
            <w:tcW w:w="48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Person</w:t>
            </w:r>
          </w:p>
        </w:tc>
        <w:tc>
          <w:tcPr>
            <w:tcW w:w="480" w:type="dxa"/>
            <w:vAlign w:val="bottom"/>
          </w:tcPr>
          <w:p>
            <w:pPr>
              <w:spacing w:after="0"/>
              <w:rPr>
                <w:sz w:val="19"/>
                <w:szCs w:val="19"/>
                <w:color w:val="auto"/>
              </w:rPr>
            </w:pPr>
          </w:p>
        </w:tc>
        <w:tc>
          <w:tcPr>
            <w:tcW w:w="9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98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With</w:t>
            </w:r>
          </w:p>
        </w:tc>
        <w:tc>
          <w:tcPr>
            <w:tcW w:w="480" w:type="dxa"/>
            <w:vAlign w:val="bottom"/>
            <w:tcBorders>
              <w:bottom w:val="single" w:sz="8" w:color="auto"/>
            </w:tcBorders>
          </w:tcPr>
          <w:p>
            <w:pPr>
              <w:spacing w:after="0"/>
              <w:rPr>
                <w:sz w:val="5"/>
                <w:szCs w:val="5"/>
                <w:color w:val="auto"/>
              </w:rPr>
            </w:pPr>
          </w:p>
        </w:tc>
        <w:tc>
          <w:tcPr>
            <w:tcW w:w="9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980" w:type="dxa"/>
            <w:vAlign w:val="bottom"/>
            <w:vMerge w:val="continue"/>
          </w:tcPr>
          <w:p>
            <w:pPr>
              <w:spacing w:after="0"/>
              <w:rPr>
                <w:sz w:val="12"/>
                <w:szCs w:val="12"/>
                <w:color w:val="auto"/>
              </w:rPr>
            </w:pPr>
          </w:p>
        </w:tc>
        <w:tc>
          <w:tcPr>
            <w:tcW w:w="4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92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98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9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844"/>
        <w:spacing w:after="0"/>
        <w:rPr>
          <w:sz w:val="20"/>
          <w:szCs w:val="20"/>
          <w:color w:val="auto"/>
        </w:rPr>
      </w:pPr>
      <w:r>
        <w:rPr>
          <w:rFonts w:ascii="Times New Roman" w:cs="Times New Roman" w:eastAsia="Times New Roman" w:hAnsi="Times New Roman"/>
          <w:sz w:val="18"/>
          <w:szCs w:val="18"/>
          <w:color w:val="auto"/>
        </w:rPr>
        <w:t>2,265,758(1)</w:t>
      </w:r>
    </w:p>
    <w:p>
      <w:pPr>
        <w:spacing w:after="0" w:line="36" w:lineRule="exact"/>
        <w:rPr>
          <w:sz w:val="20"/>
          <w:szCs w:val="20"/>
          <w:color w:val="auto"/>
        </w:rPr>
      </w:pPr>
    </w:p>
    <w:p>
      <w:pPr>
        <w:ind w:left="664" w:right="5400" w:hanging="507"/>
        <w:spacing w:after="0" w:line="406" w:lineRule="auto"/>
        <w:tabs>
          <w:tab w:leader="none" w:pos="65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2,265,758(1)</w:t>
      </w:r>
    </w:p>
    <w:p>
      <w:pPr>
        <w:spacing w:after="0" w:line="1"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40"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2.9%(2)</w:t>
      </w:r>
    </w:p>
    <w:p>
      <w:pPr>
        <w:spacing w:after="0" w:line="36" w:lineRule="exact"/>
        <w:rPr>
          <w:rFonts w:ascii="Times New Roman" w:cs="Times New Roman" w:eastAsia="Times New Roman" w:hAnsi="Times New Roman"/>
          <w:sz w:val="18"/>
          <w:szCs w:val="18"/>
          <w:color w:val="auto"/>
        </w:rPr>
      </w:pPr>
    </w:p>
    <w:p>
      <w:pPr>
        <w:ind w:left="644" w:hanging="487"/>
        <w:spacing w:after="0"/>
        <w:tabs>
          <w:tab w:leader="none" w:pos="64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ind w:left="424" w:right="200" w:hanging="424"/>
        <w:spacing w:after="0" w:line="272" w:lineRule="auto"/>
        <w:tabs>
          <w:tab w:leader="none" w:pos="424"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shares are held of record by TCG II LP. TCG II GP is the general partner of TCG II LP and may be deemed to have voting, investment and dispositive power with respect to these securities. Peter Svennilson and David Goeddel, a member of the Issuer’s board of directors, are the managing partners of TCG II GP and may each be deemed to share voting, investment and dispositive power with respect to these securities.</w:t>
      </w:r>
    </w:p>
    <w:p>
      <w:pPr>
        <w:spacing w:after="0" w:line="1" w:lineRule="exact"/>
        <w:rPr>
          <w:rFonts w:ascii="Times New Roman" w:cs="Times New Roman" w:eastAsia="Times New Roman" w:hAnsi="Times New Roman"/>
          <w:sz w:val="17"/>
          <w:szCs w:val="17"/>
          <w:color w:val="auto"/>
        </w:rPr>
      </w:pPr>
    </w:p>
    <w:p>
      <w:pPr>
        <w:ind w:left="424" w:hanging="424"/>
        <w:spacing w:after="0"/>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79,257,148 shares of Common Stock outstanding as of May 2, 2022, as reported in the Form 10-Q.</w:t>
      </w:r>
    </w:p>
    <w:p>
      <w:pPr>
        <w:sectPr>
          <w:pgSz w:w="11900" w:h="16838" w:orient="portrait"/>
          <w:cols w:equalWidth="0" w:num="1">
            <w:col w:w="10904"/>
          </w:cols>
          <w:pgMar w:left="436" w:top="270" w:right="559" w:bottom="1440" w:gutter="0" w:footer="0" w:header="0"/>
        </w:sectPr>
      </w:pPr>
    </w:p>
    <w:bookmarkStart w:id="5" w:name="page6"/>
    <w:bookmarkEnd w:id="5"/>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62921N 105</w:t>
      </w:r>
    </w:p>
    <w:p>
      <w:pPr>
        <w:spacing w:after="0" w:line="266" w:lineRule="exact"/>
        <w:rPr>
          <w:sz w:val="20"/>
          <w:szCs w:val="20"/>
          <w:color w:val="auto"/>
        </w:rPr>
      </w:pPr>
    </w:p>
    <w:p>
      <w:pPr>
        <w:ind w:left="664" w:hanging="417"/>
        <w:spacing w:after="0"/>
        <w:tabs>
          <w:tab w:leader="none" w:pos="66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52"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Column Group Management, LP</w:t>
      </w:r>
    </w:p>
    <w:p>
      <w:pPr>
        <w:spacing w:after="0" w:line="36"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-573405</wp:posOffset>
            </wp:positionV>
            <wp:extent cx="6926580" cy="6111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 w:lineRule="exact"/>
        <w:rPr>
          <w:sz w:val="20"/>
          <w:szCs w:val="20"/>
          <w:color w:val="auto"/>
        </w:rPr>
      </w:pPr>
    </w:p>
    <w:p>
      <w:pPr>
        <w:ind w:left="664"/>
        <w:spacing w:after="0" w:line="207" w:lineRule="exact"/>
        <w:tabs>
          <w:tab w:leader="none" w:pos="144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4" w:hanging="417"/>
        <w:spacing w:after="0"/>
        <w:tabs>
          <w:tab w:leader="none" w:pos="66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36"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3"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4" w:right="7580" w:hanging="417"/>
        <w:spacing w:after="0" w:line="400" w:lineRule="auto"/>
        <w:tabs>
          <w:tab w:leader="none" w:pos="66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ind w:left="1844" w:hanging="422"/>
        <w:spacing w:after="0"/>
        <w:tabs>
          <w:tab w:leader="none" w:pos="184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52" w:lineRule="exact"/>
        <w:rPr>
          <w:sz w:val="20"/>
          <w:szCs w:val="20"/>
          <w:color w:val="auto"/>
        </w:rPr>
      </w:pPr>
    </w:p>
    <w:tbl>
      <w:tblPr>
        <w:tblLayout w:type="fixed"/>
        <w:tblInd w:w="244" w:type="dxa"/>
        <w:tblCellMar>
          <w:top w:w="0" w:type="dxa"/>
          <w:left w:w="0" w:type="dxa"/>
          <w:bottom w:w="0" w:type="dxa"/>
          <w:right w:w="0" w:type="dxa"/>
        </w:tblCellMar>
      </w:tblPr>
      <w:tr>
        <w:trPr>
          <w:trHeight w:val="248"/>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80" w:type="dxa"/>
            <w:vAlign w:val="bottom"/>
            <w:tcBorders>
              <w:bottom w:val="single" w:sz="8" w:color="auto"/>
            </w:tcBorders>
          </w:tcPr>
          <w:p>
            <w:pPr>
              <w:spacing w:after="0"/>
              <w:rPr>
                <w:sz w:val="21"/>
                <w:szCs w:val="21"/>
                <w:color w:val="auto"/>
              </w:rPr>
            </w:pPr>
          </w:p>
        </w:tc>
        <w:tc>
          <w:tcPr>
            <w:tcW w:w="92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100,000(1)</w:t>
            </w:r>
          </w:p>
        </w:tc>
        <w:tc>
          <w:tcPr>
            <w:tcW w:w="0" w:type="dxa"/>
            <w:vAlign w:val="bottom"/>
          </w:tcPr>
          <w:p>
            <w:pPr>
              <w:spacing w:after="0"/>
              <w:rPr>
                <w:sz w:val="1"/>
                <w:szCs w:val="1"/>
                <w:color w:val="auto"/>
              </w:rPr>
            </w:pPr>
          </w:p>
        </w:tc>
      </w:tr>
      <w:tr>
        <w:trPr>
          <w:trHeight w:val="232"/>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Shares</w:t>
            </w:r>
          </w:p>
        </w:tc>
        <w:tc>
          <w:tcPr>
            <w:tcW w:w="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9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Beneficially</w:t>
            </w:r>
          </w:p>
        </w:tc>
        <w:tc>
          <w:tcPr>
            <w:tcW w:w="480" w:type="dxa"/>
            <w:vAlign w:val="bottom"/>
          </w:tcPr>
          <w:p>
            <w:pPr>
              <w:spacing w:after="0"/>
              <w:rPr>
                <w:sz w:val="18"/>
                <w:szCs w:val="18"/>
                <w:color w:val="auto"/>
              </w:rPr>
            </w:pPr>
          </w:p>
        </w:tc>
        <w:tc>
          <w:tcPr>
            <w:tcW w:w="92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Owned by</w:t>
            </w:r>
          </w:p>
        </w:tc>
        <w:tc>
          <w:tcPr>
            <w:tcW w:w="480" w:type="dxa"/>
            <w:vAlign w:val="bottom"/>
            <w:tcBorders>
              <w:bottom w:val="single" w:sz="8" w:color="auto"/>
            </w:tcBorders>
          </w:tcPr>
          <w:p>
            <w:pPr>
              <w:spacing w:after="0"/>
              <w:rPr>
                <w:sz w:val="20"/>
                <w:szCs w:val="20"/>
                <w:color w:val="auto"/>
              </w:rPr>
            </w:pPr>
          </w:p>
        </w:tc>
        <w:tc>
          <w:tcPr>
            <w:tcW w:w="92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80" w:type="dxa"/>
            <w:vAlign w:val="bottom"/>
          </w:tcPr>
          <w:p>
            <w:pPr>
              <w:jc w:val="center"/>
              <w:ind w:right="10"/>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48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9.</w:t>
            </w:r>
          </w:p>
        </w:tc>
        <w:tc>
          <w:tcPr>
            <w:tcW w:w="920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Reporting</w:t>
            </w:r>
          </w:p>
        </w:tc>
        <w:tc>
          <w:tcPr>
            <w:tcW w:w="48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Person</w:t>
            </w:r>
          </w:p>
        </w:tc>
        <w:tc>
          <w:tcPr>
            <w:tcW w:w="480" w:type="dxa"/>
            <w:vAlign w:val="bottom"/>
          </w:tcPr>
          <w:p>
            <w:pPr>
              <w:spacing w:after="0"/>
              <w:rPr>
                <w:sz w:val="19"/>
                <w:szCs w:val="19"/>
                <w:color w:val="auto"/>
              </w:rPr>
            </w:pPr>
          </w:p>
        </w:tc>
        <w:tc>
          <w:tcPr>
            <w:tcW w:w="9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100,000(1)</w:t>
            </w:r>
          </w:p>
        </w:tc>
        <w:tc>
          <w:tcPr>
            <w:tcW w:w="0" w:type="dxa"/>
            <w:vAlign w:val="bottom"/>
          </w:tcPr>
          <w:p>
            <w:pPr>
              <w:spacing w:after="0"/>
              <w:rPr>
                <w:sz w:val="1"/>
                <w:szCs w:val="1"/>
                <w:color w:val="auto"/>
              </w:rPr>
            </w:pPr>
          </w:p>
        </w:tc>
      </w:tr>
      <w:tr>
        <w:trPr>
          <w:trHeight w:val="68"/>
        </w:trPr>
        <w:tc>
          <w:tcPr>
            <w:tcW w:w="98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With</w:t>
            </w:r>
          </w:p>
        </w:tc>
        <w:tc>
          <w:tcPr>
            <w:tcW w:w="480" w:type="dxa"/>
            <w:vAlign w:val="bottom"/>
            <w:tcBorders>
              <w:bottom w:val="single" w:sz="8" w:color="auto"/>
            </w:tcBorders>
          </w:tcPr>
          <w:p>
            <w:pPr>
              <w:spacing w:after="0"/>
              <w:rPr>
                <w:sz w:val="5"/>
                <w:szCs w:val="5"/>
                <w:color w:val="auto"/>
              </w:rPr>
            </w:pPr>
          </w:p>
        </w:tc>
        <w:tc>
          <w:tcPr>
            <w:tcW w:w="9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980" w:type="dxa"/>
            <w:vAlign w:val="bottom"/>
            <w:vMerge w:val="continue"/>
          </w:tcPr>
          <w:p>
            <w:pPr>
              <w:spacing w:after="0"/>
              <w:rPr>
                <w:sz w:val="12"/>
                <w:szCs w:val="12"/>
                <w:color w:val="auto"/>
              </w:rPr>
            </w:pPr>
          </w:p>
        </w:tc>
        <w:tc>
          <w:tcPr>
            <w:tcW w:w="4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92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98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9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844"/>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664" w:right="5400" w:hanging="507"/>
        <w:spacing w:after="0" w:line="406" w:lineRule="auto"/>
        <w:tabs>
          <w:tab w:leader="none" w:pos="65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100,000(1)</w:t>
      </w:r>
    </w:p>
    <w:p>
      <w:pPr>
        <w:spacing w:after="0" w:line="1"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40"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0.1% (2)</w:t>
      </w:r>
    </w:p>
    <w:p>
      <w:pPr>
        <w:spacing w:after="0" w:line="36" w:lineRule="exact"/>
        <w:rPr>
          <w:rFonts w:ascii="Times New Roman" w:cs="Times New Roman" w:eastAsia="Times New Roman" w:hAnsi="Times New Roman"/>
          <w:sz w:val="18"/>
          <w:szCs w:val="18"/>
          <w:color w:val="auto"/>
        </w:rPr>
      </w:pPr>
    </w:p>
    <w:p>
      <w:pPr>
        <w:ind w:left="644" w:hanging="487"/>
        <w:spacing w:after="0"/>
        <w:tabs>
          <w:tab w:leader="none" w:pos="64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ind w:left="424" w:right="40" w:hanging="424"/>
        <w:spacing w:after="0" w:line="257" w:lineRule="auto"/>
        <w:tabs>
          <w:tab w:leader="none" w:pos="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are held of record by TCGM LP (as defined in Item 2(a) below). Peter Svennilson and David Goeddel, a member of the Issuer’s board of directors, are the managing partners of TCGM LP and may each be deemed to share voting, investment and dispositive power with respect to these securities.</w:t>
      </w:r>
    </w:p>
    <w:p>
      <w:pPr>
        <w:spacing w:after="0" w:line="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79,257,148 shares of Common Stock outstanding as of May 2, 2022, as reported in the Form 10-Q.</w:t>
      </w:r>
    </w:p>
    <w:p>
      <w:pPr>
        <w:sectPr>
          <w:pgSz w:w="11900" w:h="16838" w:orient="portrait"/>
          <w:cols w:equalWidth="0" w:num="1">
            <w:col w:w="10904"/>
          </w:cols>
          <w:pgMar w:left="436" w:top="270" w:right="559" w:bottom="1440" w:gutter="0" w:footer="0" w:header="0"/>
        </w:sectPr>
      </w:pPr>
    </w:p>
    <w:bookmarkStart w:id="6" w:name="page7"/>
    <w:bookmarkEnd w:id="6"/>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62921N 105</w:t>
      </w:r>
    </w:p>
    <w:p>
      <w:pPr>
        <w:spacing w:after="0" w:line="266" w:lineRule="exact"/>
        <w:rPr>
          <w:sz w:val="20"/>
          <w:szCs w:val="20"/>
          <w:color w:val="auto"/>
        </w:rPr>
      </w:pPr>
    </w:p>
    <w:p>
      <w:pPr>
        <w:ind w:left="664" w:right="8320" w:hanging="417"/>
        <w:spacing w:after="0" w:line="406" w:lineRule="auto"/>
        <w:tabs>
          <w:tab w:leader="none" w:pos="66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 Ponoi Capital, LP</w:t>
      </w:r>
    </w:p>
    <w:p>
      <w:pPr>
        <w:spacing w:after="0" w:line="1"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-573405</wp:posOffset>
            </wp:positionV>
            <wp:extent cx="6926580" cy="6111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 w:lineRule="exact"/>
        <w:rPr>
          <w:sz w:val="20"/>
          <w:szCs w:val="20"/>
          <w:color w:val="auto"/>
        </w:rPr>
      </w:pPr>
    </w:p>
    <w:p>
      <w:pPr>
        <w:ind w:left="664"/>
        <w:spacing w:after="0" w:line="207" w:lineRule="exact"/>
        <w:tabs>
          <w:tab w:leader="none" w:pos="144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4" w:hanging="417"/>
        <w:spacing w:after="0"/>
        <w:tabs>
          <w:tab w:leader="none" w:pos="66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WC</w:t>
      </w:r>
    </w:p>
    <w:p>
      <w:pPr>
        <w:spacing w:after="0" w:line="36"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3"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4" w:right="7580" w:hanging="417"/>
        <w:spacing w:after="0" w:line="400" w:lineRule="auto"/>
        <w:tabs>
          <w:tab w:leader="none" w:pos="66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ind w:left="1844" w:hanging="422"/>
        <w:spacing w:after="0"/>
        <w:tabs>
          <w:tab w:leader="none" w:pos="184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52" w:lineRule="exact"/>
        <w:rPr>
          <w:sz w:val="20"/>
          <w:szCs w:val="20"/>
          <w:color w:val="auto"/>
        </w:rPr>
      </w:pPr>
    </w:p>
    <w:tbl>
      <w:tblPr>
        <w:tblLayout w:type="fixed"/>
        <w:tblInd w:w="244" w:type="dxa"/>
        <w:tblCellMar>
          <w:top w:w="0" w:type="dxa"/>
          <w:left w:w="0" w:type="dxa"/>
          <w:bottom w:w="0" w:type="dxa"/>
          <w:right w:w="0" w:type="dxa"/>
        </w:tblCellMar>
      </w:tblPr>
      <w:tr>
        <w:trPr>
          <w:trHeight w:val="248"/>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80" w:type="dxa"/>
            <w:vAlign w:val="bottom"/>
            <w:tcBorders>
              <w:bottom w:val="single" w:sz="8" w:color="auto"/>
            </w:tcBorders>
          </w:tcPr>
          <w:p>
            <w:pPr>
              <w:spacing w:after="0"/>
              <w:rPr>
                <w:sz w:val="21"/>
                <w:szCs w:val="21"/>
                <w:color w:val="auto"/>
              </w:rPr>
            </w:pPr>
          </w:p>
        </w:tc>
        <w:tc>
          <w:tcPr>
            <w:tcW w:w="92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1,298,908(1)</w:t>
            </w:r>
          </w:p>
        </w:tc>
        <w:tc>
          <w:tcPr>
            <w:tcW w:w="0" w:type="dxa"/>
            <w:vAlign w:val="bottom"/>
          </w:tcPr>
          <w:p>
            <w:pPr>
              <w:spacing w:after="0"/>
              <w:rPr>
                <w:sz w:val="1"/>
                <w:szCs w:val="1"/>
                <w:color w:val="auto"/>
              </w:rPr>
            </w:pPr>
          </w:p>
        </w:tc>
      </w:tr>
      <w:tr>
        <w:trPr>
          <w:trHeight w:val="232"/>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Shares</w:t>
            </w:r>
          </w:p>
        </w:tc>
        <w:tc>
          <w:tcPr>
            <w:tcW w:w="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9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Beneficially</w:t>
            </w:r>
          </w:p>
        </w:tc>
        <w:tc>
          <w:tcPr>
            <w:tcW w:w="480" w:type="dxa"/>
            <w:vAlign w:val="bottom"/>
          </w:tcPr>
          <w:p>
            <w:pPr>
              <w:spacing w:after="0"/>
              <w:rPr>
                <w:sz w:val="18"/>
                <w:szCs w:val="18"/>
                <w:color w:val="auto"/>
              </w:rPr>
            </w:pPr>
          </w:p>
        </w:tc>
        <w:tc>
          <w:tcPr>
            <w:tcW w:w="92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Owned by</w:t>
            </w:r>
          </w:p>
        </w:tc>
        <w:tc>
          <w:tcPr>
            <w:tcW w:w="480" w:type="dxa"/>
            <w:vAlign w:val="bottom"/>
            <w:tcBorders>
              <w:bottom w:val="single" w:sz="8" w:color="auto"/>
            </w:tcBorders>
          </w:tcPr>
          <w:p>
            <w:pPr>
              <w:spacing w:after="0"/>
              <w:rPr>
                <w:sz w:val="20"/>
                <w:szCs w:val="20"/>
                <w:color w:val="auto"/>
              </w:rPr>
            </w:pPr>
          </w:p>
        </w:tc>
        <w:tc>
          <w:tcPr>
            <w:tcW w:w="92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80" w:type="dxa"/>
            <w:vAlign w:val="bottom"/>
          </w:tcPr>
          <w:p>
            <w:pPr>
              <w:jc w:val="center"/>
              <w:ind w:right="10"/>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48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9.</w:t>
            </w:r>
          </w:p>
        </w:tc>
        <w:tc>
          <w:tcPr>
            <w:tcW w:w="920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Reporting</w:t>
            </w:r>
          </w:p>
        </w:tc>
        <w:tc>
          <w:tcPr>
            <w:tcW w:w="48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Person</w:t>
            </w:r>
          </w:p>
        </w:tc>
        <w:tc>
          <w:tcPr>
            <w:tcW w:w="480" w:type="dxa"/>
            <w:vAlign w:val="bottom"/>
          </w:tcPr>
          <w:p>
            <w:pPr>
              <w:spacing w:after="0"/>
              <w:rPr>
                <w:sz w:val="19"/>
                <w:szCs w:val="19"/>
                <w:color w:val="auto"/>
              </w:rPr>
            </w:pPr>
          </w:p>
        </w:tc>
        <w:tc>
          <w:tcPr>
            <w:tcW w:w="9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1,298,908(1)</w:t>
            </w:r>
          </w:p>
        </w:tc>
        <w:tc>
          <w:tcPr>
            <w:tcW w:w="0" w:type="dxa"/>
            <w:vAlign w:val="bottom"/>
          </w:tcPr>
          <w:p>
            <w:pPr>
              <w:spacing w:after="0"/>
              <w:rPr>
                <w:sz w:val="1"/>
                <w:szCs w:val="1"/>
                <w:color w:val="auto"/>
              </w:rPr>
            </w:pPr>
          </w:p>
        </w:tc>
      </w:tr>
      <w:tr>
        <w:trPr>
          <w:trHeight w:val="68"/>
        </w:trPr>
        <w:tc>
          <w:tcPr>
            <w:tcW w:w="98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With</w:t>
            </w:r>
          </w:p>
        </w:tc>
        <w:tc>
          <w:tcPr>
            <w:tcW w:w="480" w:type="dxa"/>
            <w:vAlign w:val="bottom"/>
            <w:tcBorders>
              <w:bottom w:val="single" w:sz="8" w:color="auto"/>
            </w:tcBorders>
          </w:tcPr>
          <w:p>
            <w:pPr>
              <w:spacing w:after="0"/>
              <w:rPr>
                <w:sz w:val="5"/>
                <w:szCs w:val="5"/>
                <w:color w:val="auto"/>
              </w:rPr>
            </w:pPr>
          </w:p>
        </w:tc>
        <w:tc>
          <w:tcPr>
            <w:tcW w:w="9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980" w:type="dxa"/>
            <w:vAlign w:val="bottom"/>
            <w:vMerge w:val="continue"/>
          </w:tcPr>
          <w:p>
            <w:pPr>
              <w:spacing w:after="0"/>
              <w:rPr>
                <w:sz w:val="12"/>
                <w:szCs w:val="12"/>
                <w:color w:val="auto"/>
              </w:rPr>
            </w:pPr>
          </w:p>
        </w:tc>
        <w:tc>
          <w:tcPr>
            <w:tcW w:w="4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92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98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9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844"/>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664" w:right="5400" w:hanging="507"/>
        <w:spacing w:after="0" w:line="406" w:lineRule="auto"/>
        <w:tabs>
          <w:tab w:leader="none" w:pos="65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1,298,908(1)</w:t>
      </w:r>
    </w:p>
    <w:p>
      <w:pPr>
        <w:spacing w:after="0" w:line="1"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40"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1.6%(2)</w:t>
      </w:r>
    </w:p>
    <w:p>
      <w:pPr>
        <w:spacing w:after="0" w:line="36" w:lineRule="exact"/>
        <w:rPr>
          <w:rFonts w:ascii="Times New Roman" w:cs="Times New Roman" w:eastAsia="Times New Roman" w:hAnsi="Times New Roman"/>
          <w:sz w:val="18"/>
          <w:szCs w:val="18"/>
          <w:color w:val="auto"/>
        </w:rPr>
      </w:pPr>
    </w:p>
    <w:p>
      <w:pPr>
        <w:ind w:left="644" w:hanging="487"/>
        <w:spacing w:after="0"/>
        <w:tabs>
          <w:tab w:leader="none" w:pos="64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ind w:left="424" w:right="120" w:hanging="424"/>
        <w:spacing w:after="0" w:line="255" w:lineRule="auto"/>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are held of record by Ponoi LP (as defined in Item 2(a) below). Ponoi LLC (as defined in Item 2(a) below) is the general partner of Ponoi LP and may be deemed to have voting, investment and dispositive power with respect to these securities. Peter Svennilson, Timothy Kutzkey and David Goeddel, a member of the Issuer’s board of directors, are the managing members of Ponoi LLC and may each be deemed to share voting, investment and dispositive power with respect to these securities.</w:t>
      </w:r>
    </w:p>
    <w:p>
      <w:pPr>
        <w:spacing w:after="0" w:line="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79,257,148 shares of Common Stock outstanding as of May 2, 2022, as reported in the Form 10-Q.</w:t>
      </w:r>
    </w:p>
    <w:p>
      <w:pPr>
        <w:sectPr>
          <w:pgSz w:w="11900" w:h="16838" w:orient="portrait"/>
          <w:cols w:equalWidth="0" w:num="1">
            <w:col w:w="10904"/>
          </w:cols>
          <w:pgMar w:left="436" w:top="270" w:right="559" w:bottom="1440" w:gutter="0" w:footer="0" w:header="0"/>
        </w:sectPr>
      </w:pPr>
    </w:p>
    <w:bookmarkStart w:id="7" w:name="page8"/>
    <w:bookmarkEnd w:id="7"/>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62921N 105</w:t>
      </w:r>
    </w:p>
    <w:p>
      <w:pPr>
        <w:spacing w:after="0" w:line="266" w:lineRule="exact"/>
        <w:rPr>
          <w:sz w:val="20"/>
          <w:szCs w:val="20"/>
          <w:color w:val="auto"/>
        </w:rPr>
      </w:pPr>
    </w:p>
    <w:p>
      <w:pPr>
        <w:ind w:left="664" w:right="8320" w:hanging="417"/>
        <w:spacing w:after="0" w:line="430" w:lineRule="auto"/>
        <w:tabs>
          <w:tab w:leader="none" w:pos="664"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 Ponoi Management, LLC</w:t>
      </w:r>
    </w:p>
    <w:p>
      <w:pPr>
        <w:spacing w:after="0" w:line="1" w:lineRule="exact"/>
        <w:rPr>
          <w:rFonts w:ascii="Times New Roman" w:cs="Times New Roman" w:eastAsia="Times New Roman" w:hAnsi="Times New Roman"/>
          <w:sz w:val="17"/>
          <w:szCs w:val="17"/>
          <w:color w:val="auto"/>
        </w:rPr>
      </w:pPr>
    </w:p>
    <w:p>
      <w:pPr>
        <w:ind w:left="664" w:hanging="417"/>
        <w:spacing w:after="0"/>
        <w:tabs>
          <w:tab w:leader="none" w:pos="66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-573405</wp:posOffset>
            </wp:positionV>
            <wp:extent cx="6926580" cy="6111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 w:lineRule="exact"/>
        <w:rPr>
          <w:sz w:val="20"/>
          <w:szCs w:val="20"/>
          <w:color w:val="auto"/>
        </w:rPr>
      </w:pPr>
    </w:p>
    <w:p>
      <w:pPr>
        <w:ind w:left="664"/>
        <w:spacing w:after="0" w:line="207" w:lineRule="exact"/>
        <w:tabs>
          <w:tab w:leader="none" w:pos="144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4" w:hanging="417"/>
        <w:spacing w:after="0"/>
        <w:tabs>
          <w:tab w:leader="none" w:pos="66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w:t>
      </w:r>
    </w:p>
    <w:p>
      <w:pPr>
        <w:spacing w:after="0" w:line="36"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3"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4" w:right="7580" w:hanging="417"/>
        <w:spacing w:after="0" w:line="400" w:lineRule="auto"/>
        <w:tabs>
          <w:tab w:leader="none" w:pos="66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ind w:left="1844" w:hanging="422"/>
        <w:spacing w:after="0"/>
        <w:tabs>
          <w:tab w:leader="none" w:pos="184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52" w:lineRule="exact"/>
        <w:rPr>
          <w:sz w:val="20"/>
          <w:szCs w:val="20"/>
          <w:color w:val="auto"/>
        </w:rPr>
      </w:pPr>
    </w:p>
    <w:tbl>
      <w:tblPr>
        <w:tblLayout w:type="fixed"/>
        <w:tblInd w:w="244" w:type="dxa"/>
        <w:tblCellMar>
          <w:top w:w="0" w:type="dxa"/>
          <w:left w:w="0" w:type="dxa"/>
          <w:bottom w:w="0" w:type="dxa"/>
          <w:right w:w="0" w:type="dxa"/>
        </w:tblCellMar>
      </w:tblPr>
      <w:tr>
        <w:trPr>
          <w:trHeight w:val="248"/>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80" w:type="dxa"/>
            <w:vAlign w:val="bottom"/>
            <w:tcBorders>
              <w:bottom w:val="single" w:sz="8" w:color="auto"/>
            </w:tcBorders>
          </w:tcPr>
          <w:p>
            <w:pPr>
              <w:spacing w:after="0"/>
              <w:rPr>
                <w:sz w:val="21"/>
                <w:szCs w:val="21"/>
                <w:color w:val="auto"/>
              </w:rPr>
            </w:pPr>
          </w:p>
        </w:tc>
        <w:tc>
          <w:tcPr>
            <w:tcW w:w="92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Shares</w:t>
            </w:r>
          </w:p>
        </w:tc>
        <w:tc>
          <w:tcPr>
            <w:tcW w:w="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9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Beneficially</w:t>
            </w:r>
          </w:p>
        </w:tc>
        <w:tc>
          <w:tcPr>
            <w:tcW w:w="480" w:type="dxa"/>
            <w:vAlign w:val="bottom"/>
          </w:tcPr>
          <w:p>
            <w:pPr>
              <w:spacing w:after="0"/>
              <w:rPr>
                <w:sz w:val="18"/>
                <w:szCs w:val="18"/>
                <w:color w:val="auto"/>
              </w:rPr>
            </w:pPr>
          </w:p>
        </w:tc>
        <w:tc>
          <w:tcPr>
            <w:tcW w:w="92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1,298,908(1)</w:t>
            </w:r>
          </w:p>
        </w:tc>
        <w:tc>
          <w:tcPr>
            <w:tcW w:w="0" w:type="dxa"/>
            <w:vAlign w:val="bottom"/>
          </w:tcPr>
          <w:p>
            <w:pPr>
              <w:spacing w:after="0"/>
              <w:rPr>
                <w:sz w:val="1"/>
                <w:szCs w:val="1"/>
                <w:color w:val="auto"/>
              </w:rPr>
            </w:pPr>
          </w:p>
        </w:tc>
      </w:tr>
      <w:tr>
        <w:trPr>
          <w:trHeight w:val="234"/>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Owned by</w:t>
            </w:r>
          </w:p>
        </w:tc>
        <w:tc>
          <w:tcPr>
            <w:tcW w:w="480" w:type="dxa"/>
            <w:vAlign w:val="bottom"/>
            <w:tcBorders>
              <w:bottom w:val="single" w:sz="8" w:color="auto"/>
            </w:tcBorders>
          </w:tcPr>
          <w:p>
            <w:pPr>
              <w:spacing w:after="0"/>
              <w:rPr>
                <w:sz w:val="20"/>
                <w:szCs w:val="20"/>
                <w:color w:val="auto"/>
              </w:rPr>
            </w:pPr>
          </w:p>
        </w:tc>
        <w:tc>
          <w:tcPr>
            <w:tcW w:w="92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80" w:type="dxa"/>
            <w:vAlign w:val="bottom"/>
          </w:tcPr>
          <w:p>
            <w:pPr>
              <w:jc w:val="center"/>
              <w:ind w:right="10"/>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48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9.</w:t>
            </w:r>
          </w:p>
        </w:tc>
        <w:tc>
          <w:tcPr>
            <w:tcW w:w="920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Reporting</w:t>
            </w:r>
          </w:p>
        </w:tc>
        <w:tc>
          <w:tcPr>
            <w:tcW w:w="48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Person</w:t>
            </w:r>
          </w:p>
        </w:tc>
        <w:tc>
          <w:tcPr>
            <w:tcW w:w="480" w:type="dxa"/>
            <w:vAlign w:val="bottom"/>
          </w:tcPr>
          <w:p>
            <w:pPr>
              <w:spacing w:after="0"/>
              <w:rPr>
                <w:sz w:val="19"/>
                <w:szCs w:val="19"/>
                <w:color w:val="auto"/>
              </w:rPr>
            </w:pPr>
          </w:p>
        </w:tc>
        <w:tc>
          <w:tcPr>
            <w:tcW w:w="9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98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With</w:t>
            </w:r>
          </w:p>
        </w:tc>
        <w:tc>
          <w:tcPr>
            <w:tcW w:w="480" w:type="dxa"/>
            <w:vAlign w:val="bottom"/>
            <w:tcBorders>
              <w:bottom w:val="single" w:sz="8" w:color="auto"/>
            </w:tcBorders>
          </w:tcPr>
          <w:p>
            <w:pPr>
              <w:spacing w:after="0"/>
              <w:rPr>
                <w:sz w:val="5"/>
                <w:szCs w:val="5"/>
                <w:color w:val="auto"/>
              </w:rPr>
            </w:pPr>
          </w:p>
        </w:tc>
        <w:tc>
          <w:tcPr>
            <w:tcW w:w="9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980" w:type="dxa"/>
            <w:vAlign w:val="bottom"/>
            <w:vMerge w:val="continue"/>
          </w:tcPr>
          <w:p>
            <w:pPr>
              <w:spacing w:after="0"/>
              <w:rPr>
                <w:sz w:val="12"/>
                <w:szCs w:val="12"/>
                <w:color w:val="auto"/>
              </w:rPr>
            </w:pPr>
          </w:p>
        </w:tc>
        <w:tc>
          <w:tcPr>
            <w:tcW w:w="4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92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98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9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844"/>
        <w:spacing w:after="0"/>
        <w:rPr>
          <w:sz w:val="20"/>
          <w:szCs w:val="20"/>
          <w:color w:val="auto"/>
        </w:rPr>
      </w:pPr>
      <w:r>
        <w:rPr>
          <w:rFonts w:ascii="Times New Roman" w:cs="Times New Roman" w:eastAsia="Times New Roman" w:hAnsi="Times New Roman"/>
          <w:sz w:val="18"/>
          <w:szCs w:val="18"/>
          <w:color w:val="auto"/>
        </w:rPr>
        <w:t>1,298,908(1)</w:t>
      </w:r>
    </w:p>
    <w:p>
      <w:pPr>
        <w:spacing w:after="0" w:line="36" w:lineRule="exact"/>
        <w:rPr>
          <w:sz w:val="20"/>
          <w:szCs w:val="20"/>
          <w:color w:val="auto"/>
        </w:rPr>
      </w:pPr>
    </w:p>
    <w:p>
      <w:pPr>
        <w:ind w:left="664" w:right="5400" w:hanging="507"/>
        <w:spacing w:after="0" w:line="406" w:lineRule="auto"/>
        <w:tabs>
          <w:tab w:leader="none" w:pos="65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1,298,908(1)</w:t>
      </w:r>
    </w:p>
    <w:p>
      <w:pPr>
        <w:spacing w:after="0" w:line="1"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40"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1.6%(2)</w:t>
      </w:r>
    </w:p>
    <w:p>
      <w:pPr>
        <w:spacing w:after="0" w:line="36" w:lineRule="exact"/>
        <w:rPr>
          <w:rFonts w:ascii="Times New Roman" w:cs="Times New Roman" w:eastAsia="Times New Roman" w:hAnsi="Times New Roman"/>
          <w:sz w:val="18"/>
          <w:szCs w:val="18"/>
          <w:color w:val="auto"/>
        </w:rPr>
      </w:pPr>
    </w:p>
    <w:p>
      <w:pPr>
        <w:ind w:left="644" w:hanging="487"/>
        <w:spacing w:after="0"/>
        <w:tabs>
          <w:tab w:leader="none" w:pos="64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79" w:lineRule="exact"/>
        <w:rPr>
          <w:rFonts w:ascii="Times New Roman" w:cs="Times New Roman" w:eastAsia="Times New Roman" w:hAnsi="Times New Roman"/>
          <w:sz w:val="18"/>
          <w:szCs w:val="18"/>
          <w:color w:val="auto"/>
        </w:rPr>
      </w:pPr>
    </w:p>
    <w:p>
      <w:pPr>
        <w:ind w:left="424" w:right="180" w:hanging="424"/>
        <w:spacing w:after="0" w:line="255" w:lineRule="auto"/>
        <w:tabs>
          <w:tab w:leader="none" w:pos="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are held of record by Ponoi LP. Ponoi LLC is the general partner of Ponoi LP and may be deemed to have voting, investment and dispositive power with respect to these securities. Peter Svennilson, Timothy Kutzkey and David Goeddel, a member of the Issuer’s board of directors, are the managing members of Ponoi LLC and may each be deemed to share voting, investment and dispositive power with respect to these securities.</w:t>
      </w:r>
    </w:p>
    <w:p>
      <w:pPr>
        <w:spacing w:after="0" w:line="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79,257,148 shares of Common Stock outstanding as of May 2, 2022, as reported in the Form 10-Q.</w:t>
      </w:r>
    </w:p>
    <w:p>
      <w:pPr>
        <w:sectPr>
          <w:pgSz w:w="11900" w:h="16838" w:orient="portrait"/>
          <w:cols w:equalWidth="0" w:num="1">
            <w:col w:w="10904"/>
          </w:cols>
          <w:pgMar w:left="436" w:top="270" w:right="559" w:bottom="1440" w:gutter="0" w:footer="0" w:header="0"/>
        </w:sectPr>
      </w:pPr>
    </w:p>
    <w:bookmarkStart w:id="8" w:name="page9"/>
    <w:bookmarkEnd w:id="8"/>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62921N 105</w:t>
      </w:r>
    </w:p>
    <w:p>
      <w:pPr>
        <w:spacing w:after="0" w:line="266" w:lineRule="exact"/>
        <w:rPr>
          <w:sz w:val="20"/>
          <w:szCs w:val="20"/>
          <w:color w:val="auto"/>
        </w:rPr>
      </w:pPr>
    </w:p>
    <w:p>
      <w:pPr>
        <w:ind w:left="664" w:right="8380" w:hanging="417"/>
        <w:spacing w:after="0" w:line="430" w:lineRule="auto"/>
        <w:tabs>
          <w:tab w:leader="none" w:pos="664"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 Ponoi Capital II, LP</w:t>
      </w:r>
    </w:p>
    <w:p>
      <w:pPr>
        <w:spacing w:after="0" w:line="1" w:lineRule="exact"/>
        <w:rPr>
          <w:rFonts w:ascii="Times New Roman" w:cs="Times New Roman" w:eastAsia="Times New Roman" w:hAnsi="Times New Roman"/>
          <w:sz w:val="17"/>
          <w:szCs w:val="17"/>
          <w:color w:val="auto"/>
        </w:rPr>
      </w:pPr>
    </w:p>
    <w:p>
      <w:pPr>
        <w:ind w:left="664" w:hanging="417"/>
        <w:spacing w:after="0"/>
        <w:tabs>
          <w:tab w:leader="none" w:pos="66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-573405</wp:posOffset>
            </wp:positionV>
            <wp:extent cx="6926580" cy="6111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 w:lineRule="exact"/>
        <w:rPr>
          <w:sz w:val="20"/>
          <w:szCs w:val="20"/>
          <w:color w:val="auto"/>
        </w:rPr>
      </w:pPr>
    </w:p>
    <w:p>
      <w:pPr>
        <w:ind w:left="664"/>
        <w:spacing w:after="0" w:line="207" w:lineRule="exact"/>
        <w:tabs>
          <w:tab w:leader="none" w:pos="144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4" w:hanging="417"/>
        <w:spacing w:after="0"/>
        <w:tabs>
          <w:tab w:leader="none" w:pos="66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WC</w:t>
      </w:r>
    </w:p>
    <w:p>
      <w:pPr>
        <w:spacing w:after="0" w:line="36"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3"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4" w:right="7640" w:hanging="417"/>
        <w:spacing w:after="0" w:line="400" w:lineRule="auto"/>
        <w:tabs>
          <w:tab w:leader="none" w:pos="66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ind w:left="1844" w:hanging="422"/>
        <w:spacing w:after="0"/>
        <w:tabs>
          <w:tab w:leader="none" w:pos="184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52" w:lineRule="exact"/>
        <w:rPr>
          <w:sz w:val="20"/>
          <w:szCs w:val="20"/>
          <w:color w:val="auto"/>
        </w:rPr>
      </w:pPr>
    </w:p>
    <w:tbl>
      <w:tblPr>
        <w:tblLayout w:type="fixed"/>
        <w:tblInd w:w="244" w:type="dxa"/>
        <w:tblCellMar>
          <w:top w:w="0" w:type="dxa"/>
          <w:left w:w="0" w:type="dxa"/>
          <w:bottom w:w="0" w:type="dxa"/>
          <w:right w:w="0" w:type="dxa"/>
        </w:tblCellMar>
      </w:tblPr>
      <w:tr>
        <w:trPr>
          <w:trHeight w:val="248"/>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80" w:type="dxa"/>
            <w:vAlign w:val="bottom"/>
            <w:tcBorders>
              <w:bottom w:val="single" w:sz="8" w:color="auto"/>
            </w:tcBorders>
          </w:tcPr>
          <w:p>
            <w:pPr>
              <w:spacing w:after="0"/>
              <w:rPr>
                <w:sz w:val="21"/>
                <w:szCs w:val="21"/>
                <w:color w:val="auto"/>
              </w:rPr>
            </w:pPr>
          </w:p>
        </w:tc>
        <w:tc>
          <w:tcPr>
            <w:tcW w:w="92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1,298,908(1)</w:t>
            </w:r>
          </w:p>
        </w:tc>
        <w:tc>
          <w:tcPr>
            <w:tcW w:w="0" w:type="dxa"/>
            <w:vAlign w:val="bottom"/>
          </w:tcPr>
          <w:p>
            <w:pPr>
              <w:spacing w:after="0"/>
              <w:rPr>
                <w:sz w:val="1"/>
                <w:szCs w:val="1"/>
                <w:color w:val="auto"/>
              </w:rPr>
            </w:pPr>
          </w:p>
        </w:tc>
      </w:tr>
      <w:tr>
        <w:trPr>
          <w:trHeight w:val="232"/>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Shares</w:t>
            </w:r>
          </w:p>
        </w:tc>
        <w:tc>
          <w:tcPr>
            <w:tcW w:w="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9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Beneficially</w:t>
            </w:r>
          </w:p>
        </w:tc>
        <w:tc>
          <w:tcPr>
            <w:tcW w:w="480" w:type="dxa"/>
            <w:vAlign w:val="bottom"/>
          </w:tcPr>
          <w:p>
            <w:pPr>
              <w:spacing w:after="0"/>
              <w:rPr>
                <w:sz w:val="18"/>
                <w:szCs w:val="18"/>
                <w:color w:val="auto"/>
              </w:rPr>
            </w:pPr>
          </w:p>
        </w:tc>
        <w:tc>
          <w:tcPr>
            <w:tcW w:w="92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Owned by</w:t>
            </w:r>
          </w:p>
        </w:tc>
        <w:tc>
          <w:tcPr>
            <w:tcW w:w="480" w:type="dxa"/>
            <w:vAlign w:val="bottom"/>
            <w:tcBorders>
              <w:bottom w:val="single" w:sz="8" w:color="auto"/>
            </w:tcBorders>
          </w:tcPr>
          <w:p>
            <w:pPr>
              <w:spacing w:after="0"/>
              <w:rPr>
                <w:sz w:val="20"/>
                <w:szCs w:val="20"/>
                <w:color w:val="auto"/>
              </w:rPr>
            </w:pPr>
          </w:p>
        </w:tc>
        <w:tc>
          <w:tcPr>
            <w:tcW w:w="92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80" w:type="dxa"/>
            <w:vAlign w:val="bottom"/>
          </w:tcPr>
          <w:p>
            <w:pPr>
              <w:jc w:val="center"/>
              <w:ind w:right="10"/>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48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9.</w:t>
            </w:r>
          </w:p>
        </w:tc>
        <w:tc>
          <w:tcPr>
            <w:tcW w:w="920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Reporting</w:t>
            </w:r>
          </w:p>
        </w:tc>
        <w:tc>
          <w:tcPr>
            <w:tcW w:w="48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Person</w:t>
            </w:r>
          </w:p>
        </w:tc>
        <w:tc>
          <w:tcPr>
            <w:tcW w:w="480" w:type="dxa"/>
            <w:vAlign w:val="bottom"/>
          </w:tcPr>
          <w:p>
            <w:pPr>
              <w:spacing w:after="0"/>
              <w:rPr>
                <w:sz w:val="19"/>
                <w:szCs w:val="19"/>
                <w:color w:val="auto"/>
              </w:rPr>
            </w:pPr>
          </w:p>
        </w:tc>
        <w:tc>
          <w:tcPr>
            <w:tcW w:w="9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1,298,908(1)</w:t>
            </w:r>
          </w:p>
        </w:tc>
        <w:tc>
          <w:tcPr>
            <w:tcW w:w="0" w:type="dxa"/>
            <w:vAlign w:val="bottom"/>
          </w:tcPr>
          <w:p>
            <w:pPr>
              <w:spacing w:after="0"/>
              <w:rPr>
                <w:sz w:val="1"/>
                <w:szCs w:val="1"/>
                <w:color w:val="auto"/>
              </w:rPr>
            </w:pPr>
          </w:p>
        </w:tc>
      </w:tr>
      <w:tr>
        <w:trPr>
          <w:trHeight w:val="68"/>
        </w:trPr>
        <w:tc>
          <w:tcPr>
            <w:tcW w:w="98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With</w:t>
            </w:r>
          </w:p>
        </w:tc>
        <w:tc>
          <w:tcPr>
            <w:tcW w:w="480" w:type="dxa"/>
            <w:vAlign w:val="bottom"/>
            <w:tcBorders>
              <w:bottom w:val="single" w:sz="8" w:color="auto"/>
            </w:tcBorders>
          </w:tcPr>
          <w:p>
            <w:pPr>
              <w:spacing w:after="0"/>
              <w:rPr>
                <w:sz w:val="5"/>
                <w:szCs w:val="5"/>
                <w:color w:val="auto"/>
              </w:rPr>
            </w:pPr>
          </w:p>
        </w:tc>
        <w:tc>
          <w:tcPr>
            <w:tcW w:w="9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980" w:type="dxa"/>
            <w:vAlign w:val="bottom"/>
            <w:vMerge w:val="continue"/>
          </w:tcPr>
          <w:p>
            <w:pPr>
              <w:spacing w:after="0"/>
              <w:rPr>
                <w:sz w:val="12"/>
                <w:szCs w:val="12"/>
                <w:color w:val="auto"/>
              </w:rPr>
            </w:pPr>
          </w:p>
        </w:tc>
        <w:tc>
          <w:tcPr>
            <w:tcW w:w="4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92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98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9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844"/>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664" w:right="5460" w:hanging="507"/>
        <w:spacing w:after="0" w:line="406" w:lineRule="auto"/>
        <w:tabs>
          <w:tab w:leader="none" w:pos="65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1,298,908(1)</w:t>
      </w:r>
    </w:p>
    <w:p>
      <w:pPr>
        <w:spacing w:after="0" w:line="1"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40"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1.6%(2)</w:t>
      </w:r>
    </w:p>
    <w:p>
      <w:pPr>
        <w:spacing w:after="0" w:line="36" w:lineRule="exact"/>
        <w:rPr>
          <w:rFonts w:ascii="Times New Roman" w:cs="Times New Roman" w:eastAsia="Times New Roman" w:hAnsi="Times New Roman"/>
          <w:sz w:val="18"/>
          <w:szCs w:val="18"/>
          <w:color w:val="auto"/>
        </w:rPr>
      </w:pPr>
    </w:p>
    <w:p>
      <w:pPr>
        <w:ind w:left="644" w:hanging="487"/>
        <w:spacing w:after="0"/>
        <w:tabs>
          <w:tab w:leader="none" w:pos="64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ind w:left="424" w:hanging="424"/>
        <w:spacing w:after="0" w:line="255" w:lineRule="auto"/>
        <w:tabs>
          <w:tab w:leader="none" w:pos="4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are held of record by Ponoi II LP (as defined in Item 2(a) below). Ponoi II LLC (as defined in Item 2(a) below) is the general partner of Ponoi II LP and may be deemed to have voting, investment and dispositive power with respect to these securities. Peter Svennilson, Timothy Kutzkey and David Goeddel, a member of the Issuer’s board of directors, are the managing members of Ponoi II LLC and may each be deemed to share voting, investment and dispositive power with respect to these securities.</w:t>
      </w:r>
    </w:p>
    <w:p>
      <w:pPr>
        <w:spacing w:after="0" w:line="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79,257,148 shares of Common Stock outstanding as of May 2, 2022, as reported in the Form 10-Q.</w:t>
      </w:r>
    </w:p>
    <w:p>
      <w:pPr>
        <w:sectPr>
          <w:pgSz w:w="11900" w:h="16838" w:orient="portrait"/>
          <w:cols w:equalWidth="0" w:num="1">
            <w:col w:w="10964"/>
          </w:cols>
          <w:pgMar w:left="436" w:top="270" w:right="499" w:bottom="1440" w:gutter="0" w:footer="0" w:header="0"/>
        </w:sectPr>
      </w:pPr>
    </w:p>
    <w:bookmarkStart w:id="9" w:name="page10"/>
    <w:bookmarkEnd w:id="9"/>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62921N 105</w:t>
      </w:r>
    </w:p>
    <w:p>
      <w:pPr>
        <w:spacing w:after="0" w:line="266" w:lineRule="exact"/>
        <w:rPr>
          <w:sz w:val="20"/>
          <w:szCs w:val="20"/>
          <w:color w:val="auto"/>
        </w:rPr>
      </w:pPr>
    </w:p>
    <w:p>
      <w:pPr>
        <w:ind w:left="704" w:hanging="457"/>
        <w:spacing w:after="0"/>
        <w:tabs>
          <w:tab w:leader="none" w:pos="70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26580" cy="6111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64"/>
        <w:spacing w:after="0"/>
        <w:rPr>
          <w:sz w:val="20"/>
          <w:szCs w:val="20"/>
          <w:color w:val="auto"/>
        </w:rPr>
      </w:pPr>
      <w:r>
        <w:rPr>
          <w:rFonts w:ascii="Times New Roman" w:cs="Times New Roman" w:eastAsia="Times New Roman" w:hAnsi="Times New Roman"/>
          <w:sz w:val="18"/>
          <w:szCs w:val="18"/>
          <w:color w:val="auto"/>
        </w:rPr>
        <w:t>Ponoi II Management, LLC</w:t>
      </w:r>
    </w:p>
    <w:p>
      <w:pPr>
        <w:spacing w:after="0" w:line="36" w:lineRule="exact"/>
        <w:rPr>
          <w:sz w:val="20"/>
          <w:szCs w:val="20"/>
          <w:color w:val="auto"/>
        </w:rPr>
      </w:pPr>
    </w:p>
    <w:p>
      <w:pPr>
        <w:ind w:left="664" w:hanging="417"/>
        <w:spacing w:after="0"/>
        <w:tabs>
          <w:tab w:leader="none" w:pos="66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64"/>
        <w:spacing w:after="0" w:line="207" w:lineRule="exact"/>
        <w:tabs>
          <w:tab w:leader="none" w:pos="144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4" w:hanging="417"/>
        <w:spacing w:after="0"/>
        <w:tabs>
          <w:tab w:leader="none" w:pos="66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w:t>
      </w:r>
    </w:p>
    <w:p>
      <w:pPr>
        <w:spacing w:after="0" w:line="36"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3"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1" w:lineRule="exact"/>
        <w:rPr>
          <w:sz w:val="20"/>
          <w:szCs w:val="20"/>
          <w:color w:val="auto"/>
        </w:rPr>
      </w:pPr>
    </w:p>
    <w:p>
      <w:pPr>
        <w:ind w:left="664"/>
        <w:spacing w:after="0"/>
        <w:rPr>
          <w:sz w:val="20"/>
          <w:szCs w:val="20"/>
          <w:color w:val="auto"/>
        </w:rPr>
      </w:pPr>
      <w:r>
        <w:rPr>
          <w:rFonts w:ascii="Times New Roman" w:cs="Times New Roman" w:eastAsia="Times New Roman" w:hAnsi="Times New Roman"/>
          <w:sz w:val="18"/>
          <w:szCs w:val="18"/>
          <w:color w:val="auto"/>
        </w:rPr>
        <w:t>Delaware</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05"/>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80" w:type="dxa"/>
            <w:vAlign w:val="bottom"/>
          </w:tcPr>
          <w:p>
            <w:pPr>
              <w:spacing w:after="0"/>
              <w:rPr>
                <w:sz w:val="24"/>
                <w:szCs w:val="24"/>
                <w:color w:val="auto"/>
              </w:rPr>
            </w:pPr>
          </w:p>
        </w:tc>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48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920" w:type="dxa"/>
            <w:vAlign w:val="bottom"/>
            <w:vMerge w:val="continue"/>
          </w:tcPr>
          <w:p>
            <w:pPr>
              <w:spacing w:after="0"/>
              <w:rPr>
                <w:sz w:val="10"/>
                <w:szCs w:val="10"/>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480" w:type="dxa"/>
            <w:vAlign w:val="bottom"/>
            <w:vMerge w:val="continue"/>
          </w:tcPr>
          <w:p>
            <w:pPr>
              <w:spacing w:after="0"/>
              <w:rPr>
                <w:sz w:val="9"/>
                <w:szCs w:val="9"/>
                <w:color w:val="auto"/>
              </w:rPr>
            </w:pPr>
          </w:p>
        </w:tc>
        <w:tc>
          <w:tcPr>
            <w:tcW w:w="9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9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9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1,298,908(1)</w:t>
            </w:r>
          </w:p>
        </w:tc>
        <w:tc>
          <w:tcPr>
            <w:tcW w:w="0" w:type="dxa"/>
            <w:vAlign w:val="bottom"/>
          </w:tcPr>
          <w:p>
            <w:pPr>
              <w:spacing w:after="0"/>
              <w:rPr>
                <w:sz w:val="1"/>
                <w:szCs w:val="1"/>
                <w:color w:val="auto"/>
              </w:rPr>
            </w:pPr>
          </w:p>
        </w:tc>
      </w:tr>
      <w:tr>
        <w:trPr>
          <w:trHeight w:val="120"/>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480" w:type="dxa"/>
            <w:vAlign w:val="bottom"/>
            <w:tcBorders>
              <w:bottom w:val="single" w:sz="8" w:color="auto"/>
            </w:tcBorders>
          </w:tcPr>
          <w:p>
            <w:pPr>
              <w:spacing w:after="0"/>
              <w:rPr>
                <w:sz w:val="10"/>
                <w:szCs w:val="10"/>
                <w:color w:val="auto"/>
              </w:rPr>
            </w:pPr>
          </w:p>
        </w:tc>
        <w:tc>
          <w:tcPr>
            <w:tcW w:w="9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92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480" w:type="dxa"/>
            <w:vAlign w:val="bottom"/>
            <w:vMerge w:val="continue"/>
          </w:tcPr>
          <w:p>
            <w:pPr>
              <w:spacing w:after="0"/>
              <w:rPr>
                <w:sz w:val="13"/>
                <w:szCs w:val="13"/>
                <w:color w:val="auto"/>
              </w:rPr>
            </w:pPr>
          </w:p>
        </w:tc>
        <w:tc>
          <w:tcPr>
            <w:tcW w:w="9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9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7"/>
        </w:trPr>
        <w:tc>
          <w:tcPr>
            <w:tcW w:w="920" w:type="dxa"/>
            <w:vAlign w:val="bottom"/>
            <w:vMerge w:val="restart"/>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With</w:t>
            </w:r>
          </w:p>
        </w:tc>
        <w:tc>
          <w:tcPr>
            <w:tcW w:w="480" w:type="dxa"/>
            <w:vAlign w:val="bottom"/>
          </w:tcPr>
          <w:p>
            <w:pPr>
              <w:spacing w:after="0"/>
              <w:rPr>
                <w:sz w:val="14"/>
                <w:szCs w:val="14"/>
                <w:color w:val="auto"/>
              </w:rPr>
            </w:pPr>
          </w:p>
        </w:tc>
        <w:tc>
          <w:tcPr>
            <w:tcW w:w="9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4" w:right="7340" w:hanging="516"/>
        <w:spacing w:after="0" w:line="395" w:lineRule="auto"/>
        <w:tabs>
          <w:tab w:leader="none" w:pos="1744"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1,298,908(1)</w:t>
      </w:r>
    </w:p>
    <w:p>
      <w:pPr>
        <w:ind w:left="664" w:right="5500" w:hanging="507"/>
        <w:spacing w:after="0" w:line="406" w:lineRule="auto"/>
        <w:tabs>
          <w:tab w:leader="none" w:pos="65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1,298,908(1)</w:t>
      </w:r>
    </w:p>
    <w:p>
      <w:pPr>
        <w:spacing w:after="0" w:line="1"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40"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1.6%(2)</w:t>
      </w:r>
    </w:p>
    <w:p>
      <w:pPr>
        <w:spacing w:after="0" w:line="36" w:lineRule="exact"/>
        <w:rPr>
          <w:rFonts w:ascii="Times New Roman" w:cs="Times New Roman" w:eastAsia="Times New Roman" w:hAnsi="Times New Roman"/>
          <w:sz w:val="18"/>
          <w:szCs w:val="18"/>
          <w:color w:val="auto"/>
        </w:rPr>
      </w:pPr>
    </w:p>
    <w:p>
      <w:pPr>
        <w:ind w:left="644" w:hanging="487"/>
        <w:spacing w:after="0"/>
        <w:tabs>
          <w:tab w:leader="none" w:pos="64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79" w:lineRule="exact"/>
        <w:rPr>
          <w:rFonts w:ascii="Times New Roman" w:cs="Times New Roman" w:eastAsia="Times New Roman" w:hAnsi="Times New Roman"/>
          <w:sz w:val="18"/>
          <w:szCs w:val="18"/>
          <w:color w:val="auto"/>
        </w:rPr>
      </w:pPr>
    </w:p>
    <w:p>
      <w:pPr>
        <w:ind w:left="424" w:hanging="424"/>
        <w:spacing w:after="0" w:line="255" w:lineRule="auto"/>
        <w:tabs>
          <w:tab w:leader="none" w:pos="4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are held of record by Ponoi II LP. Ponoi II LLC is the general partner of Ponoi II LP and may be deemed to have voting, investment and dispositive power with respect to these securities. Peter Svennilson, Timothy Kutzkey and David Goeddel, a member of the Issuer’s board of directors, are the managing members of Ponoi II LLC and may each be deemed to share voting, investment and dispositive power with respect to these securities.</w:t>
      </w:r>
    </w:p>
    <w:p>
      <w:pPr>
        <w:spacing w:after="0" w:line="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79,257,148 shares of Common Stock outstanding as of May 2, 2022, as reported in the Form 10-Q.</w:t>
      </w:r>
    </w:p>
    <w:p>
      <w:pPr>
        <w:sectPr>
          <w:pgSz w:w="11900" w:h="16838" w:orient="portrait"/>
          <w:cols w:equalWidth="0" w:num="1">
            <w:col w:w="11004"/>
          </w:cols>
          <w:pgMar w:left="436" w:top="270" w:right="459" w:bottom="1440" w:gutter="0" w:footer="0" w:header="0"/>
        </w:sectPr>
      </w:pPr>
    </w:p>
    <w:bookmarkStart w:id="10" w:name="page11"/>
    <w:bookmarkEnd w:id="10"/>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62921N 105</w:t>
      </w:r>
    </w:p>
    <w:p>
      <w:pPr>
        <w:spacing w:after="0" w:line="266" w:lineRule="exact"/>
        <w:rPr>
          <w:sz w:val="20"/>
          <w:szCs w:val="20"/>
          <w:color w:val="auto"/>
        </w:rPr>
      </w:pPr>
    </w:p>
    <w:p>
      <w:pPr>
        <w:jc w:val="both"/>
        <w:ind w:left="644" w:right="8320" w:hanging="397"/>
        <w:spacing w:after="0" w:line="406" w:lineRule="auto"/>
        <w:tabs>
          <w:tab w:leader="none" w:pos="64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 The Column Group III, LP</w:t>
      </w:r>
    </w:p>
    <w:p>
      <w:pPr>
        <w:spacing w:after="0" w:line="1"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-573405</wp:posOffset>
            </wp:positionV>
            <wp:extent cx="6926580" cy="6111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 w:lineRule="exact"/>
        <w:rPr>
          <w:sz w:val="20"/>
          <w:szCs w:val="20"/>
          <w:color w:val="auto"/>
        </w:rPr>
      </w:pPr>
    </w:p>
    <w:p>
      <w:pPr>
        <w:ind w:left="664"/>
        <w:spacing w:after="0" w:line="207" w:lineRule="exact"/>
        <w:tabs>
          <w:tab w:leader="none" w:pos="144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4" w:hanging="417"/>
        <w:spacing w:after="0"/>
        <w:tabs>
          <w:tab w:leader="none" w:pos="66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WC</w:t>
      </w:r>
    </w:p>
    <w:p>
      <w:pPr>
        <w:spacing w:after="0" w:line="36"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3"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4" w:right="7580" w:hanging="417"/>
        <w:spacing w:after="0" w:line="400" w:lineRule="auto"/>
        <w:tabs>
          <w:tab w:leader="none" w:pos="66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ind w:left="1844" w:hanging="422"/>
        <w:spacing w:after="0"/>
        <w:tabs>
          <w:tab w:leader="none" w:pos="184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52" w:lineRule="exact"/>
        <w:rPr>
          <w:sz w:val="20"/>
          <w:szCs w:val="20"/>
          <w:color w:val="auto"/>
        </w:rPr>
      </w:pPr>
    </w:p>
    <w:tbl>
      <w:tblPr>
        <w:tblLayout w:type="fixed"/>
        <w:tblInd w:w="244" w:type="dxa"/>
        <w:tblCellMar>
          <w:top w:w="0" w:type="dxa"/>
          <w:left w:w="0" w:type="dxa"/>
          <w:bottom w:w="0" w:type="dxa"/>
          <w:right w:w="0" w:type="dxa"/>
        </w:tblCellMar>
      </w:tblPr>
      <w:tr>
        <w:trPr>
          <w:trHeight w:val="248"/>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80" w:type="dxa"/>
            <w:vAlign w:val="bottom"/>
            <w:tcBorders>
              <w:bottom w:val="single" w:sz="8" w:color="auto"/>
            </w:tcBorders>
          </w:tcPr>
          <w:p>
            <w:pPr>
              <w:spacing w:after="0"/>
              <w:rPr>
                <w:sz w:val="21"/>
                <w:szCs w:val="21"/>
                <w:color w:val="auto"/>
              </w:rPr>
            </w:pPr>
          </w:p>
        </w:tc>
        <w:tc>
          <w:tcPr>
            <w:tcW w:w="92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858,035 (1)</w:t>
            </w:r>
          </w:p>
        </w:tc>
        <w:tc>
          <w:tcPr>
            <w:tcW w:w="0" w:type="dxa"/>
            <w:vAlign w:val="bottom"/>
          </w:tcPr>
          <w:p>
            <w:pPr>
              <w:spacing w:after="0"/>
              <w:rPr>
                <w:sz w:val="1"/>
                <w:szCs w:val="1"/>
                <w:color w:val="auto"/>
              </w:rPr>
            </w:pPr>
          </w:p>
        </w:tc>
      </w:tr>
      <w:tr>
        <w:trPr>
          <w:trHeight w:val="232"/>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Shares</w:t>
            </w:r>
          </w:p>
        </w:tc>
        <w:tc>
          <w:tcPr>
            <w:tcW w:w="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9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Beneficially</w:t>
            </w:r>
          </w:p>
        </w:tc>
        <w:tc>
          <w:tcPr>
            <w:tcW w:w="480" w:type="dxa"/>
            <w:vAlign w:val="bottom"/>
          </w:tcPr>
          <w:p>
            <w:pPr>
              <w:spacing w:after="0"/>
              <w:rPr>
                <w:sz w:val="18"/>
                <w:szCs w:val="18"/>
                <w:color w:val="auto"/>
              </w:rPr>
            </w:pPr>
          </w:p>
        </w:tc>
        <w:tc>
          <w:tcPr>
            <w:tcW w:w="92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Owned by</w:t>
            </w:r>
          </w:p>
        </w:tc>
        <w:tc>
          <w:tcPr>
            <w:tcW w:w="480" w:type="dxa"/>
            <w:vAlign w:val="bottom"/>
            <w:tcBorders>
              <w:bottom w:val="single" w:sz="8" w:color="auto"/>
            </w:tcBorders>
          </w:tcPr>
          <w:p>
            <w:pPr>
              <w:spacing w:after="0"/>
              <w:rPr>
                <w:sz w:val="20"/>
                <w:szCs w:val="20"/>
                <w:color w:val="auto"/>
              </w:rPr>
            </w:pPr>
          </w:p>
        </w:tc>
        <w:tc>
          <w:tcPr>
            <w:tcW w:w="92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80" w:type="dxa"/>
            <w:vAlign w:val="bottom"/>
          </w:tcPr>
          <w:p>
            <w:pPr>
              <w:jc w:val="center"/>
              <w:ind w:right="10"/>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48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9.</w:t>
            </w:r>
          </w:p>
        </w:tc>
        <w:tc>
          <w:tcPr>
            <w:tcW w:w="920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Reporting</w:t>
            </w:r>
          </w:p>
        </w:tc>
        <w:tc>
          <w:tcPr>
            <w:tcW w:w="48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Person</w:t>
            </w:r>
          </w:p>
        </w:tc>
        <w:tc>
          <w:tcPr>
            <w:tcW w:w="480" w:type="dxa"/>
            <w:vAlign w:val="bottom"/>
          </w:tcPr>
          <w:p>
            <w:pPr>
              <w:spacing w:after="0"/>
              <w:rPr>
                <w:sz w:val="19"/>
                <w:szCs w:val="19"/>
                <w:color w:val="auto"/>
              </w:rPr>
            </w:pPr>
          </w:p>
        </w:tc>
        <w:tc>
          <w:tcPr>
            <w:tcW w:w="9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858,035 (1)</w:t>
            </w:r>
          </w:p>
        </w:tc>
        <w:tc>
          <w:tcPr>
            <w:tcW w:w="0" w:type="dxa"/>
            <w:vAlign w:val="bottom"/>
          </w:tcPr>
          <w:p>
            <w:pPr>
              <w:spacing w:after="0"/>
              <w:rPr>
                <w:sz w:val="1"/>
                <w:szCs w:val="1"/>
                <w:color w:val="auto"/>
              </w:rPr>
            </w:pPr>
          </w:p>
        </w:tc>
      </w:tr>
      <w:tr>
        <w:trPr>
          <w:trHeight w:val="68"/>
        </w:trPr>
        <w:tc>
          <w:tcPr>
            <w:tcW w:w="98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With</w:t>
            </w:r>
          </w:p>
        </w:tc>
        <w:tc>
          <w:tcPr>
            <w:tcW w:w="480" w:type="dxa"/>
            <w:vAlign w:val="bottom"/>
            <w:tcBorders>
              <w:bottom w:val="single" w:sz="8" w:color="auto"/>
            </w:tcBorders>
          </w:tcPr>
          <w:p>
            <w:pPr>
              <w:spacing w:after="0"/>
              <w:rPr>
                <w:sz w:val="5"/>
                <w:szCs w:val="5"/>
                <w:color w:val="auto"/>
              </w:rPr>
            </w:pPr>
          </w:p>
        </w:tc>
        <w:tc>
          <w:tcPr>
            <w:tcW w:w="9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980" w:type="dxa"/>
            <w:vAlign w:val="bottom"/>
            <w:vMerge w:val="continue"/>
          </w:tcPr>
          <w:p>
            <w:pPr>
              <w:spacing w:after="0"/>
              <w:rPr>
                <w:sz w:val="12"/>
                <w:szCs w:val="12"/>
                <w:color w:val="auto"/>
              </w:rPr>
            </w:pPr>
          </w:p>
        </w:tc>
        <w:tc>
          <w:tcPr>
            <w:tcW w:w="4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92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98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9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844"/>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644" w:hanging="487"/>
        <w:spacing w:after="0"/>
        <w:tabs>
          <w:tab w:leader="none" w:pos="64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858,035 (1)</w:t>
      </w:r>
    </w:p>
    <w:p>
      <w:pPr>
        <w:spacing w:after="0" w:line="36"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40"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1.1%(2)</w:t>
      </w:r>
    </w:p>
    <w:p>
      <w:pPr>
        <w:spacing w:after="0" w:line="36" w:lineRule="exact"/>
        <w:rPr>
          <w:rFonts w:ascii="Times New Roman" w:cs="Times New Roman" w:eastAsia="Times New Roman" w:hAnsi="Times New Roman"/>
          <w:sz w:val="18"/>
          <w:szCs w:val="18"/>
          <w:color w:val="auto"/>
        </w:rPr>
      </w:pPr>
    </w:p>
    <w:p>
      <w:pPr>
        <w:ind w:left="644" w:hanging="487"/>
        <w:spacing w:after="0"/>
        <w:tabs>
          <w:tab w:leader="none" w:pos="64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ind w:left="424" w:right="60" w:hanging="424"/>
        <w:spacing w:after="0" w:line="255" w:lineRule="auto"/>
        <w:tabs>
          <w:tab w:leader="none" w:pos="42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are held of record by TCG III LP (as defined in Item 2(a) below). TCG III GP (as defined in Item 2(a) below) is the general partner of TCG III LP and may be deemed to have voting, investment and dispositive power with respect to these securities. Peter Svennilson, Timothy Kutzkey and David Goeddel, a member of the Issuer’s board of directors, are the managing partners of TCG III GP and may each be deemed to share voting, investment and dispositive power with respect to these securities.</w:t>
      </w:r>
    </w:p>
    <w:p>
      <w:pPr>
        <w:spacing w:after="0" w:line="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79,257,148 shares of Common Stock outstanding as of May 2, 2022, as reported in the Form 10-Q.</w:t>
      </w:r>
    </w:p>
    <w:p>
      <w:pPr>
        <w:sectPr>
          <w:pgSz w:w="11900" w:h="16838" w:orient="portrait"/>
          <w:cols w:equalWidth="0" w:num="1">
            <w:col w:w="10904"/>
          </w:cols>
          <w:pgMar w:left="436" w:top="270" w:right="559" w:bottom="1440" w:gutter="0" w:footer="0" w:header="0"/>
        </w:sectPr>
      </w:pPr>
    </w:p>
    <w:bookmarkStart w:id="11" w:name="page12"/>
    <w:bookmarkEnd w:id="1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62921N 105</w:t>
      </w:r>
    </w:p>
    <w:p>
      <w:pPr>
        <w:spacing w:after="0" w:line="266" w:lineRule="exact"/>
        <w:rPr>
          <w:sz w:val="20"/>
          <w:szCs w:val="20"/>
          <w:color w:val="auto"/>
        </w:rPr>
      </w:pPr>
    </w:p>
    <w:p>
      <w:pPr>
        <w:ind w:left="644" w:right="8120" w:hanging="397"/>
        <w:spacing w:after="0" w:line="406" w:lineRule="auto"/>
        <w:tabs>
          <w:tab w:leader="none" w:pos="64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 The Column Group III-A, LP</w:t>
      </w:r>
    </w:p>
    <w:p>
      <w:pPr>
        <w:spacing w:after="0" w:line="1"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-573405</wp:posOffset>
            </wp:positionV>
            <wp:extent cx="6926580" cy="6111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 w:lineRule="exact"/>
        <w:rPr>
          <w:sz w:val="20"/>
          <w:szCs w:val="20"/>
          <w:color w:val="auto"/>
        </w:rPr>
      </w:pPr>
    </w:p>
    <w:p>
      <w:pPr>
        <w:ind w:left="664"/>
        <w:spacing w:after="0" w:line="207" w:lineRule="exact"/>
        <w:tabs>
          <w:tab w:leader="none" w:pos="144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4" w:hanging="417"/>
        <w:spacing w:after="0"/>
        <w:tabs>
          <w:tab w:leader="none" w:pos="66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WC</w:t>
      </w:r>
    </w:p>
    <w:p>
      <w:pPr>
        <w:spacing w:after="0" w:line="36"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3"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4" w:right="7580" w:hanging="417"/>
        <w:spacing w:after="0" w:line="400" w:lineRule="auto"/>
        <w:tabs>
          <w:tab w:leader="none" w:pos="66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ind w:left="1844" w:hanging="422"/>
        <w:spacing w:after="0"/>
        <w:tabs>
          <w:tab w:leader="none" w:pos="184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52" w:lineRule="exact"/>
        <w:rPr>
          <w:sz w:val="20"/>
          <w:szCs w:val="20"/>
          <w:color w:val="auto"/>
        </w:rPr>
      </w:pPr>
    </w:p>
    <w:tbl>
      <w:tblPr>
        <w:tblLayout w:type="fixed"/>
        <w:tblInd w:w="244" w:type="dxa"/>
        <w:tblCellMar>
          <w:top w:w="0" w:type="dxa"/>
          <w:left w:w="0" w:type="dxa"/>
          <w:bottom w:w="0" w:type="dxa"/>
          <w:right w:w="0" w:type="dxa"/>
        </w:tblCellMar>
      </w:tblPr>
      <w:tr>
        <w:trPr>
          <w:trHeight w:val="248"/>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80" w:type="dxa"/>
            <w:vAlign w:val="bottom"/>
            <w:tcBorders>
              <w:bottom w:val="single" w:sz="8" w:color="auto"/>
            </w:tcBorders>
          </w:tcPr>
          <w:p>
            <w:pPr>
              <w:spacing w:after="0"/>
              <w:rPr>
                <w:sz w:val="21"/>
                <w:szCs w:val="21"/>
                <w:color w:val="auto"/>
              </w:rPr>
            </w:pPr>
          </w:p>
        </w:tc>
        <w:tc>
          <w:tcPr>
            <w:tcW w:w="92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968,990 (1)</w:t>
            </w:r>
          </w:p>
        </w:tc>
        <w:tc>
          <w:tcPr>
            <w:tcW w:w="0" w:type="dxa"/>
            <w:vAlign w:val="bottom"/>
          </w:tcPr>
          <w:p>
            <w:pPr>
              <w:spacing w:after="0"/>
              <w:rPr>
                <w:sz w:val="1"/>
                <w:szCs w:val="1"/>
                <w:color w:val="auto"/>
              </w:rPr>
            </w:pPr>
          </w:p>
        </w:tc>
      </w:tr>
      <w:tr>
        <w:trPr>
          <w:trHeight w:val="232"/>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Shares</w:t>
            </w:r>
          </w:p>
        </w:tc>
        <w:tc>
          <w:tcPr>
            <w:tcW w:w="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9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Beneficially</w:t>
            </w:r>
          </w:p>
        </w:tc>
        <w:tc>
          <w:tcPr>
            <w:tcW w:w="480" w:type="dxa"/>
            <w:vAlign w:val="bottom"/>
          </w:tcPr>
          <w:p>
            <w:pPr>
              <w:spacing w:after="0"/>
              <w:rPr>
                <w:sz w:val="18"/>
                <w:szCs w:val="18"/>
                <w:color w:val="auto"/>
              </w:rPr>
            </w:pPr>
          </w:p>
        </w:tc>
        <w:tc>
          <w:tcPr>
            <w:tcW w:w="92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Owned by</w:t>
            </w:r>
          </w:p>
        </w:tc>
        <w:tc>
          <w:tcPr>
            <w:tcW w:w="480" w:type="dxa"/>
            <w:vAlign w:val="bottom"/>
            <w:tcBorders>
              <w:bottom w:val="single" w:sz="8" w:color="auto"/>
            </w:tcBorders>
          </w:tcPr>
          <w:p>
            <w:pPr>
              <w:spacing w:after="0"/>
              <w:rPr>
                <w:sz w:val="20"/>
                <w:szCs w:val="20"/>
                <w:color w:val="auto"/>
              </w:rPr>
            </w:pPr>
          </w:p>
        </w:tc>
        <w:tc>
          <w:tcPr>
            <w:tcW w:w="92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80" w:type="dxa"/>
            <w:vAlign w:val="bottom"/>
          </w:tcPr>
          <w:p>
            <w:pPr>
              <w:jc w:val="center"/>
              <w:ind w:right="10"/>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48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9.</w:t>
            </w:r>
          </w:p>
        </w:tc>
        <w:tc>
          <w:tcPr>
            <w:tcW w:w="920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Reporting</w:t>
            </w:r>
          </w:p>
        </w:tc>
        <w:tc>
          <w:tcPr>
            <w:tcW w:w="48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Person</w:t>
            </w:r>
          </w:p>
        </w:tc>
        <w:tc>
          <w:tcPr>
            <w:tcW w:w="480" w:type="dxa"/>
            <w:vAlign w:val="bottom"/>
          </w:tcPr>
          <w:p>
            <w:pPr>
              <w:spacing w:after="0"/>
              <w:rPr>
                <w:sz w:val="19"/>
                <w:szCs w:val="19"/>
                <w:color w:val="auto"/>
              </w:rPr>
            </w:pPr>
          </w:p>
        </w:tc>
        <w:tc>
          <w:tcPr>
            <w:tcW w:w="9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968,990 (1)</w:t>
            </w:r>
          </w:p>
        </w:tc>
        <w:tc>
          <w:tcPr>
            <w:tcW w:w="0" w:type="dxa"/>
            <w:vAlign w:val="bottom"/>
          </w:tcPr>
          <w:p>
            <w:pPr>
              <w:spacing w:after="0"/>
              <w:rPr>
                <w:sz w:val="1"/>
                <w:szCs w:val="1"/>
                <w:color w:val="auto"/>
              </w:rPr>
            </w:pPr>
          </w:p>
        </w:tc>
      </w:tr>
      <w:tr>
        <w:trPr>
          <w:trHeight w:val="68"/>
        </w:trPr>
        <w:tc>
          <w:tcPr>
            <w:tcW w:w="98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With</w:t>
            </w:r>
          </w:p>
        </w:tc>
        <w:tc>
          <w:tcPr>
            <w:tcW w:w="480" w:type="dxa"/>
            <w:vAlign w:val="bottom"/>
            <w:tcBorders>
              <w:bottom w:val="single" w:sz="8" w:color="auto"/>
            </w:tcBorders>
          </w:tcPr>
          <w:p>
            <w:pPr>
              <w:spacing w:after="0"/>
              <w:rPr>
                <w:sz w:val="5"/>
                <w:szCs w:val="5"/>
                <w:color w:val="auto"/>
              </w:rPr>
            </w:pPr>
          </w:p>
        </w:tc>
        <w:tc>
          <w:tcPr>
            <w:tcW w:w="9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980" w:type="dxa"/>
            <w:vAlign w:val="bottom"/>
            <w:vMerge w:val="continue"/>
          </w:tcPr>
          <w:p>
            <w:pPr>
              <w:spacing w:after="0"/>
              <w:rPr>
                <w:sz w:val="12"/>
                <w:szCs w:val="12"/>
                <w:color w:val="auto"/>
              </w:rPr>
            </w:pPr>
          </w:p>
        </w:tc>
        <w:tc>
          <w:tcPr>
            <w:tcW w:w="4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92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98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9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844"/>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644" w:hanging="487"/>
        <w:spacing w:after="0"/>
        <w:tabs>
          <w:tab w:leader="none" w:pos="64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968,990 (1)</w:t>
      </w:r>
    </w:p>
    <w:p>
      <w:pPr>
        <w:spacing w:after="0" w:line="36"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40"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1.2%(2)</w:t>
      </w:r>
    </w:p>
    <w:p>
      <w:pPr>
        <w:spacing w:after="0" w:line="36" w:lineRule="exact"/>
        <w:rPr>
          <w:rFonts w:ascii="Times New Roman" w:cs="Times New Roman" w:eastAsia="Times New Roman" w:hAnsi="Times New Roman"/>
          <w:sz w:val="18"/>
          <w:szCs w:val="18"/>
          <w:color w:val="auto"/>
        </w:rPr>
      </w:pPr>
    </w:p>
    <w:p>
      <w:pPr>
        <w:ind w:left="644" w:hanging="487"/>
        <w:spacing w:after="0"/>
        <w:tabs>
          <w:tab w:leader="none" w:pos="64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ind w:left="424" w:right="40" w:hanging="424"/>
        <w:spacing w:after="0" w:line="255" w:lineRule="auto"/>
        <w:tabs>
          <w:tab w:leader="none" w:pos="42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are held of record by TCG III-A LP (as defined in Item 2(a) below). TCG III-A GP (as defined in Item 2(a) below) is the general partner of TCG III-A LP and may be deemed to have voting, investment and dispositive power with respect to these securities. Peter Svennilson, Timothy Kutzkey and David Goeddel, a member of the Issuer’s board of directors, are the managing partners of TCG III-A GP and may each be deemed to share voting, investment and dispositive power with respect to these securities.</w:t>
      </w:r>
    </w:p>
    <w:p>
      <w:pPr>
        <w:spacing w:after="0" w:line="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79,257,148 shares of Common Stock outstanding as of May 2, 2022, as reported in the Form 10-Q.</w:t>
      </w:r>
    </w:p>
    <w:p>
      <w:pPr>
        <w:sectPr>
          <w:pgSz w:w="11900" w:h="16838" w:orient="portrait"/>
          <w:cols w:equalWidth="0" w:num="1">
            <w:col w:w="10904"/>
          </w:cols>
          <w:pgMar w:left="436" w:top="270" w:right="559" w:bottom="1440" w:gutter="0" w:footer="0" w:header="0"/>
        </w:sectPr>
      </w:pPr>
    </w:p>
    <w:bookmarkStart w:id="12" w:name="page13"/>
    <w:bookmarkEnd w:id="1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62921N 105</w:t>
      </w:r>
    </w:p>
    <w:p>
      <w:pPr>
        <w:spacing w:after="0" w:line="266" w:lineRule="exact"/>
        <w:rPr>
          <w:sz w:val="20"/>
          <w:szCs w:val="20"/>
          <w:color w:val="auto"/>
        </w:rPr>
      </w:pPr>
    </w:p>
    <w:p>
      <w:pPr>
        <w:ind w:left="644" w:right="8120" w:hanging="397"/>
        <w:spacing w:after="0" w:line="430" w:lineRule="auto"/>
        <w:tabs>
          <w:tab w:leader="none" w:pos="647"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 The Column Group III GP, LP</w:t>
      </w:r>
    </w:p>
    <w:p>
      <w:pPr>
        <w:spacing w:after="0" w:line="1" w:lineRule="exact"/>
        <w:rPr>
          <w:rFonts w:ascii="Times New Roman" w:cs="Times New Roman" w:eastAsia="Times New Roman" w:hAnsi="Times New Roman"/>
          <w:sz w:val="17"/>
          <w:szCs w:val="17"/>
          <w:color w:val="auto"/>
        </w:rPr>
      </w:pPr>
    </w:p>
    <w:p>
      <w:pPr>
        <w:ind w:left="664" w:hanging="417"/>
        <w:spacing w:after="0"/>
        <w:tabs>
          <w:tab w:leader="none" w:pos="66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-573405</wp:posOffset>
            </wp:positionV>
            <wp:extent cx="6926580" cy="6111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 w:lineRule="exact"/>
        <w:rPr>
          <w:sz w:val="20"/>
          <w:szCs w:val="20"/>
          <w:color w:val="auto"/>
        </w:rPr>
      </w:pPr>
    </w:p>
    <w:p>
      <w:pPr>
        <w:ind w:left="664"/>
        <w:spacing w:after="0" w:line="207" w:lineRule="exact"/>
        <w:tabs>
          <w:tab w:leader="none" w:pos="144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4" w:hanging="417"/>
        <w:spacing w:after="0"/>
        <w:tabs>
          <w:tab w:leader="none" w:pos="66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w:t>
      </w:r>
    </w:p>
    <w:p>
      <w:pPr>
        <w:spacing w:after="0" w:line="36"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3"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4" w:right="7640" w:hanging="417"/>
        <w:spacing w:after="0" w:line="400" w:lineRule="auto"/>
        <w:tabs>
          <w:tab w:leader="none" w:pos="66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ind w:left="1844" w:hanging="422"/>
        <w:spacing w:after="0"/>
        <w:tabs>
          <w:tab w:leader="none" w:pos="184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52" w:lineRule="exact"/>
        <w:rPr>
          <w:sz w:val="20"/>
          <w:szCs w:val="20"/>
          <w:color w:val="auto"/>
        </w:rPr>
      </w:pPr>
    </w:p>
    <w:tbl>
      <w:tblPr>
        <w:tblLayout w:type="fixed"/>
        <w:tblInd w:w="244" w:type="dxa"/>
        <w:tblCellMar>
          <w:top w:w="0" w:type="dxa"/>
          <w:left w:w="0" w:type="dxa"/>
          <w:bottom w:w="0" w:type="dxa"/>
          <w:right w:w="0" w:type="dxa"/>
        </w:tblCellMar>
      </w:tblPr>
      <w:tr>
        <w:trPr>
          <w:trHeight w:val="248"/>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80" w:type="dxa"/>
            <w:vAlign w:val="bottom"/>
            <w:tcBorders>
              <w:bottom w:val="single" w:sz="8" w:color="auto"/>
            </w:tcBorders>
          </w:tcPr>
          <w:p>
            <w:pPr>
              <w:spacing w:after="0"/>
              <w:rPr>
                <w:sz w:val="21"/>
                <w:szCs w:val="21"/>
                <w:color w:val="auto"/>
              </w:rPr>
            </w:pPr>
          </w:p>
        </w:tc>
        <w:tc>
          <w:tcPr>
            <w:tcW w:w="92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Shares</w:t>
            </w:r>
          </w:p>
        </w:tc>
        <w:tc>
          <w:tcPr>
            <w:tcW w:w="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9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Beneficially</w:t>
            </w:r>
          </w:p>
        </w:tc>
        <w:tc>
          <w:tcPr>
            <w:tcW w:w="480" w:type="dxa"/>
            <w:vAlign w:val="bottom"/>
          </w:tcPr>
          <w:p>
            <w:pPr>
              <w:spacing w:after="0"/>
              <w:rPr>
                <w:sz w:val="18"/>
                <w:szCs w:val="18"/>
                <w:color w:val="auto"/>
              </w:rPr>
            </w:pPr>
          </w:p>
        </w:tc>
        <w:tc>
          <w:tcPr>
            <w:tcW w:w="92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1,827,025 (1)</w:t>
            </w:r>
          </w:p>
        </w:tc>
        <w:tc>
          <w:tcPr>
            <w:tcW w:w="0" w:type="dxa"/>
            <w:vAlign w:val="bottom"/>
          </w:tcPr>
          <w:p>
            <w:pPr>
              <w:spacing w:after="0"/>
              <w:rPr>
                <w:sz w:val="1"/>
                <w:szCs w:val="1"/>
                <w:color w:val="auto"/>
              </w:rPr>
            </w:pPr>
          </w:p>
        </w:tc>
      </w:tr>
      <w:tr>
        <w:trPr>
          <w:trHeight w:val="234"/>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Owned by</w:t>
            </w:r>
          </w:p>
        </w:tc>
        <w:tc>
          <w:tcPr>
            <w:tcW w:w="480" w:type="dxa"/>
            <w:vAlign w:val="bottom"/>
            <w:tcBorders>
              <w:bottom w:val="single" w:sz="8" w:color="auto"/>
            </w:tcBorders>
          </w:tcPr>
          <w:p>
            <w:pPr>
              <w:spacing w:after="0"/>
              <w:rPr>
                <w:sz w:val="20"/>
                <w:szCs w:val="20"/>
                <w:color w:val="auto"/>
              </w:rPr>
            </w:pPr>
          </w:p>
        </w:tc>
        <w:tc>
          <w:tcPr>
            <w:tcW w:w="92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80" w:type="dxa"/>
            <w:vAlign w:val="bottom"/>
          </w:tcPr>
          <w:p>
            <w:pPr>
              <w:jc w:val="center"/>
              <w:ind w:right="10"/>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48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9.</w:t>
            </w:r>
          </w:p>
        </w:tc>
        <w:tc>
          <w:tcPr>
            <w:tcW w:w="920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Reporting</w:t>
            </w:r>
          </w:p>
        </w:tc>
        <w:tc>
          <w:tcPr>
            <w:tcW w:w="48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Person</w:t>
            </w:r>
          </w:p>
        </w:tc>
        <w:tc>
          <w:tcPr>
            <w:tcW w:w="480" w:type="dxa"/>
            <w:vAlign w:val="bottom"/>
          </w:tcPr>
          <w:p>
            <w:pPr>
              <w:spacing w:after="0"/>
              <w:rPr>
                <w:sz w:val="19"/>
                <w:szCs w:val="19"/>
                <w:color w:val="auto"/>
              </w:rPr>
            </w:pPr>
          </w:p>
        </w:tc>
        <w:tc>
          <w:tcPr>
            <w:tcW w:w="9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98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With</w:t>
            </w:r>
          </w:p>
        </w:tc>
        <w:tc>
          <w:tcPr>
            <w:tcW w:w="480" w:type="dxa"/>
            <w:vAlign w:val="bottom"/>
            <w:tcBorders>
              <w:bottom w:val="single" w:sz="8" w:color="auto"/>
            </w:tcBorders>
          </w:tcPr>
          <w:p>
            <w:pPr>
              <w:spacing w:after="0"/>
              <w:rPr>
                <w:sz w:val="5"/>
                <w:szCs w:val="5"/>
                <w:color w:val="auto"/>
              </w:rPr>
            </w:pPr>
          </w:p>
        </w:tc>
        <w:tc>
          <w:tcPr>
            <w:tcW w:w="9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980" w:type="dxa"/>
            <w:vAlign w:val="bottom"/>
            <w:vMerge w:val="continue"/>
          </w:tcPr>
          <w:p>
            <w:pPr>
              <w:spacing w:after="0"/>
              <w:rPr>
                <w:sz w:val="12"/>
                <w:szCs w:val="12"/>
                <w:color w:val="auto"/>
              </w:rPr>
            </w:pPr>
          </w:p>
        </w:tc>
        <w:tc>
          <w:tcPr>
            <w:tcW w:w="4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92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98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9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844"/>
        <w:spacing w:after="0"/>
        <w:rPr>
          <w:sz w:val="20"/>
          <w:szCs w:val="20"/>
          <w:color w:val="auto"/>
        </w:rPr>
      </w:pPr>
      <w:r>
        <w:rPr>
          <w:rFonts w:ascii="Times New Roman" w:cs="Times New Roman" w:eastAsia="Times New Roman" w:hAnsi="Times New Roman"/>
          <w:sz w:val="18"/>
          <w:szCs w:val="18"/>
          <w:color w:val="auto"/>
        </w:rPr>
        <w:t>1,827,025 (1)</w:t>
      </w:r>
    </w:p>
    <w:p>
      <w:pPr>
        <w:spacing w:after="0" w:line="36" w:lineRule="exact"/>
        <w:rPr>
          <w:sz w:val="20"/>
          <w:szCs w:val="20"/>
          <w:color w:val="auto"/>
        </w:rPr>
      </w:pPr>
    </w:p>
    <w:p>
      <w:pPr>
        <w:ind w:left="644" w:hanging="487"/>
        <w:spacing w:after="0"/>
        <w:tabs>
          <w:tab w:leader="none" w:pos="64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1,827,025 (1)</w:t>
      </w:r>
    </w:p>
    <w:p>
      <w:pPr>
        <w:spacing w:after="0" w:line="36"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40"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2.3%(2)</w:t>
      </w:r>
    </w:p>
    <w:p>
      <w:pPr>
        <w:spacing w:after="0" w:line="36" w:lineRule="exact"/>
        <w:rPr>
          <w:rFonts w:ascii="Times New Roman" w:cs="Times New Roman" w:eastAsia="Times New Roman" w:hAnsi="Times New Roman"/>
          <w:sz w:val="18"/>
          <w:szCs w:val="18"/>
          <w:color w:val="auto"/>
        </w:rPr>
      </w:pPr>
    </w:p>
    <w:p>
      <w:pPr>
        <w:ind w:left="644" w:hanging="487"/>
        <w:spacing w:after="0"/>
        <w:tabs>
          <w:tab w:leader="none" w:pos="64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ind w:left="424" w:hanging="424"/>
        <w:spacing w:after="0" w:line="255" w:lineRule="auto"/>
        <w:tabs>
          <w:tab w:leader="none" w:pos="42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858,035 shares held of record by TCG III LP and (ii) 968,990 shares held of record by TCG III-A LP. TCG III GP is the general partner of each of TCG III LP and TCG III-A LP and may be deemed to have voting, investment and dispositive power with respect to these securities. Peter Svennilson, Timothy Kutzkey and David Goeddel, a member of the Issuer’s board of directors, are the managing partners of TCG III GP and may each be deemed to share voting, investment and dispositive power with respect to these securities.</w:t>
      </w:r>
    </w:p>
    <w:p>
      <w:pPr>
        <w:spacing w:after="0" w:line="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79,257,148 shares of Common Stock outstanding as of May 2, 2022, as reported in the Form 10-Q.</w:t>
      </w:r>
    </w:p>
    <w:p>
      <w:pPr>
        <w:sectPr>
          <w:pgSz w:w="11900" w:h="16838" w:orient="portrait"/>
          <w:cols w:equalWidth="0" w:num="1">
            <w:col w:w="10964"/>
          </w:cols>
          <w:pgMar w:left="436" w:top="270" w:right="499" w:bottom="1440" w:gutter="0" w:footer="0" w:header="0"/>
        </w:sectPr>
      </w:pPr>
    </w:p>
    <w:bookmarkStart w:id="13" w:name="page14"/>
    <w:bookmarkEnd w:id="1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62921N 105</w:t>
      </w:r>
    </w:p>
    <w:p>
      <w:pPr>
        <w:spacing w:after="0" w:line="266" w:lineRule="exact"/>
        <w:rPr>
          <w:sz w:val="20"/>
          <w:szCs w:val="20"/>
          <w:color w:val="auto"/>
        </w:rPr>
      </w:pPr>
    </w:p>
    <w:p>
      <w:pPr>
        <w:jc w:val="both"/>
        <w:ind w:left="644" w:right="8380" w:hanging="397"/>
        <w:spacing w:after="0" w:line="430" w:lineRule="auto"/>
        <w:tabs>
          <w:tab w:leader="none" w:pos="647"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 The Column Group IV, LP</w:t>
      </w:r>
    </w:p>
    <w:p>
      <w:pPr>
        <w:spacing w:after="0" w:line="1" w:lineRule="exact"/>
        <w:rPr>
          <w:rFonts w:ascii="Times New Roman" w:cs="Times New Roman" w:eastAsia="Times New Roman" w:hAnsi="Times New Roman"/>
          <w:sz w:val="17"/>
          <w:szCs w:val="17"/>
          <w:color w:val="auto"/>
        </w:rPr>
      </w:pPr>
    </w:p>
    <w:p>
      <w:pPr>
        <w:ind w:left="664" w:hanging="417"/>
        <w:spacing w:after="0"/>
        <w:tabs>
          <w:tab w:leader="none" w:pos="66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-573405</wp:posOffset>
            </wp:positionV>
            <wp:extent cx="6926580" cy="6111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 w:lineRule="exact"/>
        <w:rPr>
          <w:sz w:val="20"/>
          <w:szCs w:val="20"/>
          <w:color w:val="auto"/>
        </w:rPr>
      </w:pPr>
    </w:p>
    <w:p>
      <w:pPr>
        <w:ind w:left="664"/>
        <w:spacing w:after="0" w:line="207" w:lineRule="exact"/>
        <w:tabs>
          <w:tab w:leader="none" w:pos="144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4" w:hanging="417"/>
        <w:spacing w:after="0"/>
        <w:tabs>
          <w:tab w:leader="none" w:pos="66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WC</w:t>
      </w:r>
    </w:p>
    <w:p>
      <w:pPr>
        <w:spacing w:after="0" w:line="36"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3"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4" w:right="7640" w:hanging="417"/>
        <w:spacing w:after="0" w:line="400" w:lineRule="auto"/>
        <w:tabs>
          <w:tab w:leader="none" w:pos="66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ind w:left="1844" w:hanging="422"/>
        <w:spacing w:after="0"/>
        <w:tabs>
          <w:tab w:leader="none" w:pos="1844"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52" w:lineRule="exact"/>
        <w:rPr>
          <w:sz w:val="20"/>
          <w:szCs w:val="20"/>
          <w:color w:val="auto"/>
        </w:rPr>
      </w:pPr>
    </w:p>
    <w:tbl>
      <w:tblPr>
        <w:tblLayout w:type="fixed"/>
        <w:tblInd w:w="244" w:type="dxa"/>
        <w:tblCellMar>
          <w:top w:w="0" w:type="dxa"/>
          <w:left w:w="0" w:type="dxa"/>
          <w:bottom w:w="0" w:type="dxa"/>
          <w:right w:w="0" w:type="dxa"/>
        </w:tblCellMar>
      </w:tblPr>
      <w:tr>
        <w:trPr>
          <w:trHeight w:val="248"/>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80" w:type="dxa"/>
            <w:vAlign w:val="bottom"/>
            <w:tcBorders>
              <w:bottom w:val="single" w:sz="8" w:color="auto"/>
            </w:tcBorders>
          </w:tcPr>
          <w:p>
            <w:pPr>
              <w:spacing w:after="0"/>
              <w:rPr>
                <w:sz w:val="21"/>
                <w:szCs w:val="21"/>
                <w:color w:val="auto"/>
              </w:rPr>
            </w:pPr>
          </w:p>
        </w:tc>
        <w:tc>
          <w:tcPr>
            <w:tcW w:w="92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2,650,177 (1)</w:t>
            </w:r>
          </w:p>
        </w:tc>
        <w:tc>
          <w:tcPr>
            <w:tcW w:w="0" w:type="dxa"/>
            <w:vAlign w:val="bottom"/>
          </w:tcPr>
          <w:p>
            <w:pPr>
              <w:spacing w:after="0"/>
              <w:rPr>
                <w:sz w:val="1"/>
                <w:szCs w:val="1"/>
                <w:color w:val="auto"/>
              </w:rPr>
            </w:pPr>
          </w:p>
        </w:tc>
      </w:tr>
      <w:tr>
        <w:trPr>
          <w:trHeight w:val="232"/>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Shares</w:t>
            </w:r>
          </w:p>
        </w:tc>
        <w:tc>
          <w:tcPr>
            <w:tcW w:w="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9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Beneficially</w:t>
            </w:r>
          </w:p>
        </w:tc>
        <w:tc>
          <w:tcPr>
            <w:tcW w:w="480" w:type="dxa"/>
            <w:vAlign w:val="bottom"/>
          </w:tcPr>
          <w:p>
            <w:pPr>
              <w:spacing w:after="0"/>
              <w:rPr>
                <w:sz w:val="18"/>
                <w:szCs w:val="18"/>
                <w:color w:val="auto"/>
              </w:rPr>
            </w:pPr>
          </w:p>
        </w:tc>
        <w:tc>
          <w:tcPr>
            <w:tcW w:w="92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Owned by</w:t>
            </w:r>
          </w:p>
        </w:tc>
        <w:tc>
          <w:tcPr>
            <w:tcW w:w="480" w:type="dxa"/>
            <w:vAlign w:val="bottom"/>
            <w:tcBorders>
              <w:bottom w:val="single" w:sz="8" w:color="auto"/>
            </w:tcBorders>
          </w:tcPr>
          <w:p>
            <w:pPr>
              <w:spacing w:after="0"/>
              <w:rPr>
                <w:sz w:val="20"/>
                <w:szCs w:val="20"/>
                <w:color w:val="auto"/>
              </w:rPr>
            </w:pPr>
          </w:p>
        </w:tc>
        <w:tc>
          <w:tcPr>
            <w:tcW w:w="92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80" w:type="dxa"/>
            <w:vAlign w:val="bottom"/>
          </w:tcPr>
          <w:p>
            <w:pPr>
              <w:jc w:val="center"/>
              <w:ind w:right="10"/>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48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9.</w:t>
            </w:r>
          </w:p>
        </w:tc>
        <w:tc>
          <w:tcPr>
            <w:tcW w:w="920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Reporting</w:t>
            </w:r>
          </w:p>
        </w:tc>
        <w:tc>
          <w:tcPr>
            <w:tcW w:w="48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Person</w:t>
            </w:r>
          </w:p>
        </w:tc>
        <w:tc>
          <w:tcPr>
            <w:tcW w:w="480" w:type="dxa"/>
            <w:vAlign w:val="bottom"/>
          </w:tcPr>
          <w:p>
            <w:pPr>
              <w:spacing w:after="0"/>
              <w:rPr>
                <w:sz w:val="19"/>
                <w:szCs w:val="19"/>
                <w:color w:val="auto"/>
              </w:rPr>
            </w:pPr>
          </w:p>
        </w:tc>
        <w:tc>
          <w:tcPr>
            <w:tcW w:w="9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2,650,177 (1)</w:t>
            </w:r>
          </w:p>
        </w:tc>
        <w:tc>
          <w:tcPr>
            <w:tcW w:w="0" w:type="dxa"/>
            <w:vAlign w:val="bottom"/>
          </w:tcPr>
          <w:p>
            <w:pPr>
              <w:spacing w:after="0"/>
              <w:rPr>
                <w:sz w:val="1"/>
                <w:szCs w:val="1"/>
                <w:color w:val="auto"/>
              </w:rPr>
            </w:pPr>
          </w:p>
        </w:tc>
      </w:tr>
      <w:tr>
        <w:trPr>
          <w:trHeight w:val="68"/>
        </w:trPr>
        <w:tc>
          <w:tcPr>
            <w:tcW w:w="98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With</w:t>
            </w:r>
          </w:p>
        </w:tc>
        <w:tc>
          <w:tcPr>
            <w:tcW w:w="480" w:type="dxa"/>
            <w:vAlign w:val="bottom"/>
            <w:tcBorders>
              <w:bottom w:val="single" w:sz="8" w:color="auto"/>
            </w:tcBorders>
          </w:tcPr>
          <w:p>
            <w:pPr>
              <w:spacing w:after="0"/>
              <w:rPr>
                <w:sz w:val="5"/>
                <w:szCs w:val="5"/>
                <w:color w:val="auto"/>
              </w:rPr>
            </w:pPr>
          </w:p>
        </w:tc>
        <w:tc>
          <w:tcPr>
            <w:tcW w:w="9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980" w:type="dxa"/>
            <w:vAlign w:val="bottom"/>
            <w:vMerge w:val="continue"/>
          </w:tcPr>
          <w:p>
            <w:pPr>
              <w:spacing w:after="0"/>
              <w:rPr>
                <w:sz w:val="12"/>
                <w:szCs w:val="12"/>
                <w:color w:val="auto"/>
              </w:rPr>
            </w:pPr>
          </w:p>
        </w:tc>
        <w:tc>
          <w:tcPr>
            <w:tcW w:w="4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92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98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9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844"/>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644" w:hanging="487"/>
        <w:spacing w:after="0"/>
        <w:tabs>
          <w:tab w:leader="none" w:pos="64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2,650,177 (1)</w:t>
      </w:r>
    </w:p>
    <w:p>
      <w:pPr>
        <w:spacing w:after="0" w:line="36"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40"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3.3%(2)</w:t>
      </w:r>
    </w:p>
    <w:p>
      <w:pPr>
        <w:spacing w:after="0" w:line="36" w:lineRule="exact"/>
        <w:rPr>
          <w:rFonts w:ascii="Times New Roman" w:cs="Times New Roman" w:eastAsia="Times New Roman" w:hAnsi="Times New Roman"/>
          <w:sz w:val="18"/>
          <w:szCs w:val="18"/>
          <w:color w:val="auto"/>
        </w:rPr>
      </w:pPr>
    </w:p>
    <w:p>
      <w:pPr>
        <w:ind w:left="644" w:hanging="487"/>
        <w:spacing w:after="0"/>
        <w:tabs>
          <w:tab w:leader="none" w:pos="64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jc w:val="both"/>
        <w:ind w:left="424" w:hanging="424"/>
        <w:spacing w:after="0" w:line="254" w:lineRule="auto"/>
        <w:tabs>
          <w:tab w:leader="none" w:pos="42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are held of record by TCG IV LP (as defined in Item 2(a) below). TCG IV GP LP (as defined in Item 2(a) below) is the general partner of TCG IV LP and may be deemed to have voting, investment and dispositive power with respect to these securities. TCG IV GP LLC (as defined in Item 2(a) below) is the general partner of TCG IV GP LP and may be deemed to have voting, investment and dispositive power with respect to these securities. Peter Svennilson, Timothy Kutzkey and David Goeddel, a member of the Issuer’s board of directors, are the managing members of TCG IV GP LLC and may each be deemed to share voting, investment and dispositive power with respect to these securities.</w:t>
      </w:r>
    </w:p>
    <w:p>
      <w:pPr>
        <w:spacing w:after="0" w:line="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79,257,148 shares of Common Stock outstanding as of May 2, 2022, as reported in the Form 10-Q.</w:t>
      </w:r>
    </w:p>
    <w:p>
      <w:pPr>
        <w:sectPr>
          <w:pgSz w:w="11900" w:h="16838" w:orient="portrait"/>
          <w:cols w:equalWidth="0" w:num="1">
            <w:col w:w="10964"/>
          </w:cols>
          <w:pgMar w:left="436" w:top="270" w:right="499" w:bottom="1440" w:gutter="0" w:footer="0" w:header="0"/>
        </w:sectPr>
      </w:pPr>
    </w:p>
    <w:bookmarkStart w:id="14" w:name="page15"/>
    <w:bookmarkEnd w:id="14"/>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62921N 105</w:t>
      </w:r>
    </w:p>
    <w:p>
      <w:pPr>
        <w:spacing w:after="0" w:line="266" w:lineRule="exact"/>
        <w:rPr>
          <w:sz w:val="20"/>
          <w:szCs w:val="20"/>
          <w:color w:val="auto"/>
        </w:rPr>
      </w:pPr>
    </w:p>
    <w:p>
      <w:pPr>
        <w:ind w:left="644" w:right="8200" w:hanging="397"/>
        <w:spacing w:after="0" w:line="430" w:lineRule="auto"/>
        <w:tabs>
          <w:tab w:leader="none" w:pos="647"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 The Column Group IV-A, LP</w:t>
      </w:r>
    </w:p>
    <w:p>
      <w:pPr>
        <w:spacing w:after="0" w:line="1" w:lineRule="exact"/>
        <w:rPr>
          <w:rFonts w:ascii="Times New Roman" w:cs="Times New Roman" w:eastAsia="Times New Roman" w:hAnsi="Times New Roman"/>
          <w:sz w:val="17"/>
          <w:szCs w:val="17"/>
          <w:color w:val="auto"/>
        </w:rPr>
      </w:pPr>
    </w:p>
    <w:p>
      <w:pPr>
        <w:ind w:left="664" w:hanging="417"/>
        <w:spacing w:after="0"/>
        <w:tabs>
          <w:tab w:leader="none" w:pos="66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-573405</wp:posOffset>
            </wp:positionV>
            <wp:extent cx="6926580" cy="6111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 w:lineRule="exact"/>
        <w:rPr>
          <w:sz w:val="20"/>
          <w:szCs w:val="20"/>
          <w:color w:val="auto"/>
        </w:rPr>
      </w:pPr>
    </w:p>
    <w:p>
      <w:pPr>
        <w:ind w:left="664"/>
        <w:spacing w:after="0" w:line="207" w:lineRule="exact"/>
        <w:tabs>
          <w:tab w:leader="none" w:pos="144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4" w:hanging="417"/>
        <w:spacing w:after="0"/>
        <w:tabs>
          <w:tab w:leader="none" w:pos="66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WC</w:t>
      </w:r>
    </w:p>
    <w:p>
      <w:pPr>
        <w:spacing w:after="0" w:line="36"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3"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4" w:right="7640" w:hanging="417"/>
        <w:spacing w:after="0" w:line="400" w:lineRule="auto"/>
        <w:tabs>
          <w:tab w:leader="none" w:pos="66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ind w:left="1844" w:hanging="422"/>
        <w:spacing w:after="0"/>
        <w:tabs>
          <w:tab w:leader="none" w:pos="184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52" w:lineRule="exact"/>
        <w:rPr>
          <w:sz w:val="20"/>
          <w:szCs w:val="20"/>
          <w:color w:val="auto"/>
        </w:rPr>
      </w:pPr>
    </w:p>
    <w:tbl>
      <w:tblPr>
        <w:tblLayout w:type="fixed"/>
        <w:tblInd w:w="244" w:type="dxa"/>
        <w:tblCellMar>
          <w:top w:w="0" w:type="dxa"/>
          <w:left w:w="0" w:type="dxa"/>
          <w:bottom w:w="0" w:type="dxa"/>
          <w:right w:w="0" w:type="dxa"/>
        </w:tblCellMar>
      </w:tblPr>
      <w:tr>
        <w:trPr>
          <w:trHeight w:val="248"/>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80" w:type="dxa"/>
            <w:vAlign w:val="bottom"/>
            <w:tcBorders>
              <w:bottom w:val="single" w:sz="8" w:color="auto"/>
            </w:tcBorders>
          </w:tcPr>
          <w:p>
            <w:pPr>
              <w:spacing w:after="0"/>
              <w:rPr>
                <w:sz w:val="21"/>
                <w:szCs w:val="21"/>
                <w:color w:val="auto"/>
              </w:rPr>
            </w:pPr>
          </w:p>
        </w:tc>
        <w:tc>
          <w:tcPr>
            <w:tcW w:w="92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90,442 (1)</w:t>
            </w:r>
          </w:p>
        </w:tc>
        <w:tc>
          <w:tcPr>
            <w:tcW w:w="0" w:type="dxa"/>
            <w:vAlign w:val="bottom"/>
          </w:tcPr>
          <w:p>
            <w:pPr>
              <w:spacing w:after="0"/>
              <w:rPr>
                <w:sz w:val="1"/>
                <w:szCs w:val="1"/>
                <w:color w:val="auto"/>
              </w:rPr>
            </w:pPr>
          </w:p>
        </w:tc>
      </w:tr>
      <w:tr>
        <w:trPr>
          <w:trHeight w:val="232"/>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Shares</w:t>
            </w:r>
          </w:p>
        </w:tc>
        <w:tc>
          <w:tcPr>
            <w:tcW w:w="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9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Beneficially</w:t>
            </w:r>
          </w:p>
        </w:tc>
        <w:tc>
          <w:tcPr>
            <w:tcW w:w="480" w:type="dxa"/>
            <w:vAlign w:val="bottom"/>
          </w:tcPr>
          <w:p>
            <w:pPr>
              <w:spacing w:after="0"/>
              <w:rPr>
                <w:sz w:val="18"/>
                <w:szCs w:val="18"/>
                <w:color w:val="auto"/>
              </w:rPr>
            </w:pPr>
          </w:p>
        </w:tc>
        <w:tc>
          <w:tcPr>
            <w:tcW w:w="92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Owned by</w:t>
            </w:r>
          </w:p>
        </w:tc>
        <w:tc>
          <w:tcPr>
            <w:tcW w:w="480" w:type="dxa"/>
            <w:vAlign w:val="bottom"/>
            <w:tcBorders>
              <w:bottom w:val="single" w:sz="8" w:color="auto"/>
            </w:tcBorders>
          </w:tcPr>
          <w:p>
            <w:pPr>
              <w:spacing w:after="0"/>
              <w:rPr>
                <w:sz w:val="20"/>
                <w:szCs w:val="20"/>
                <w:color w:val="auto"/>
              </w:rPr>
            </w:pPr>
          </w:p>
        </w:tc>
        <w:tc>
          <w:tcPr>
            <w:tcW w:w="92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80" w:type="dxa"/>
            <w:vAlign w:val="bottom"/>
          </w:tcPr>
          <w:p>
            <w:pPr>
              <w:jc w:val="center"/>
              <w:ind w:right="10"/>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48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9.</w:t>
            </w:r>
          </w:p>
        </w:tc>
        <w:tc>
          <w:tcPr>
            <w:tcW w:w="920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Reporting</w:t>
            </w:r>
          </w:p>
        </w:tc>
        <w:tc>
          <w:tcPr>
            <w:tcW w:w="48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Person</w:t>
            </w:r>
          </w:p>
        </w:tc>
        <w:tc>
          <w:tcPr>
            <w:tcW w:w="480" w:type="dxa"/>
            <w:vAlign w:val="bottom"/>
          </w:tcPr>
          <w:p>
            <w:pPr>
              <w:spacing w:after="0"/>
              <w:rPr>
                <w:sz w:val="19"/>
                <w:szCs w:val="19"/>
                <w:color w:val="auto"/>
              </w:rPr>
            </w:pPr>
          </w:p>
        </w:tc>
        <w:tc>
          <w:tcPr>
            <w:tcW w:w="9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90,442 (1)</w:t>
            </w:r>
          </w:p>
        </w:tc>
        <w:tc>
          <w:tcPr>
            <w:tcW w:w="0" w:type="dxa"/>
            <w:vAlign w:val="bottom"/>
          </w:tcPr>
          <w:p>
            <w:pPr>
              <w:spacing w:after="0"/>
              <w:rPr>
                <w:sz w:val="1"/>
                <w:szCs w:val="1"/>
                <w:color w:val="auto"/>
              </w:rPr>
            </w:pPr>
          </w:p>
        </w:tc>
      </w:tr>
      <w:tr>
        <w:trPr>
          <w:trHeight w:val="68"/>
        </w:trPr>
        <w:tc>
          <w:tcPr>
            <w:tcW w:w="98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With</w:t>
            </w:r>
          </w:p>
        </w:tc>
        <w:tc>
          <w:tcPr>
            <w:tcW w:w="480" w:type="dxa"/>
            <w:vAlign w:val="bottom"/>
            <w:tcBorders>
              <w:bottom w:val="single" w:sz="8" w:color="auto"/>
            </w:tcBorders>
          </w:tcPr>
          <w:p>
            <w:pPr>
              <w:spacing w:after="0"/>
              <w:rPr>
                <w:sz w:val="5"/>
                <w:szCs w:val="5"/>
                <w:color w:val="auto"/>
              </w:rPr>
            </w:pPr>
          </w:p>
        </w:tc>
        <w:tc>
          <w:tcPr>
            <w:tcW w:w="9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980" w:type="dxa"/>
            <w:vAlign w:val="bottom"/>
            <w:vMerge w:val="continue"/>
          </w:tcPr>
          <w:p>
            <w:pPr>
              <w:spacing w:after="0"/>
              <w:rPr>
                <w:sz w:val="12"/>
                <w:szCs w:val="12"/>
                <w:color w:val="auto"/>
              </w:rPr>
            </w:pPr>
          </w:p>
        </w:tc>
        <w:tc>
          <w:tcPr>
            <w:tcW w:w="4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92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98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9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844"/>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644" w:hanging="487"/>
        <w:spacing w:after="0"/>
        <w:tabs>
          <w:tab w:leader="none" w:pos="644"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90,442 (1)</w:t>
      </w:r>
    </w:p>
    <w:p>
      <w:pPr>
        <w:spacing w:after="0" w:line="36"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40"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0.1%(2)</w:t>
      </w:r>
    </w:p>
    <w:p>
      <w:pPr>
        <w:spacing w:after="0" w:line="36" w:lineRule="exact"/>
        <w:rPr>
          <w:rFonts w:ascii="Times New Roman" w:cs="Times New Roman" w:eastAsia="Times New Roman" w:hAnsi="Times New Roman"/>
          <w:sz w:val="18"/>
          <w:szCs w:val="18"/>
          <w:color w:val="auto"/>
        </w:rPr>
      </w:pPr>
    </w:p>
    <w:p>
      <w:pPr>
        <w:ind w:left="644" w:hanging="487"/>
        <w:spacing w:after="0"/>
        <w:tabs>
          <w:tab w:leader="none" w:pos="644"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ind w:left="424" w:hanging="424"/>
        <w:spacing w:after="0" w:line="254" w:lineRule="auto"/>
        <w:tabs>
          <w:tab w:leader="none" w:pos="42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are held of record by TCG IV-A LP (as defined in Item 2(a) below). TCG IV GP LP is the general partner of TCG IV-A LP and may be deemed to have voting, investment and dispositive power with respect to these securities. TCG IV GP LLC is the general partner of TCG IV GP LP and may be deemed to have voting, investment and dispositive power with respect to these securities. Peter Svennilson, Timothy Kutzkey and David Goeddel, a member of the Issuer’s board of directors, are the managing members of TCG IV GP LLC and may each be deemed to share voting, investment and dispositive power with respect to these securities.</w:t>
      </w:r>
    </w:p>
    <w:p>
      <w:pPr>
        <w:spacing w:after="0" w:line="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79,257,148 shares of Common Stock outstanding as of May 2, 2022, as reported in the Form 10-Q.</w:t>
      </w:r>
    </w:p>
    <w:p>
      <w:pPr>
        <w:sectPr>
          <w:pgSz w:w="11900" w:h="16838" w:orient="portrait"/>
          <w:cols w:equalWidth="0" w:num="1">
            <w:col w:w="10964"/>
          </w:cols>
          <w:pgMar w:left="436" w:top="270" w:right="499" w:bottom="1440" w:gutter="0" w:footer="0" w:header="0"/>
        </w:sectPr>
      </w:pPr>
    </w:p>
    <w:bookmarkStart w:id="15" w:name="page16"/>
    <w:bookmarkEnd w:id="15"/>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62921N 105</w:t>
      </w:r>
    </w:p>
    <w:p>
      <w:pPr>
        <w:spacing w:after="0" w:line="266" w:lineRule="exact"/>
        <w:rPr>
          <w:sz w:val="20"/>
          <w:szCs w:val="20"/>
          <w:color w:val="auto"/>
        </w:rPr>
      </w:pPr>
    </w:p>
    <w:p>
      <w:pPr>
        <w:ind w:left="644" w:right="8060" w:hanging="397"/>
        <w:spacing w:after="0" w:line="430" w:lineRule="auto"/>
        <w:tabs>
          <w:tab w:leader="none" w:pos="647"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 The Column Group IV GP, LP</w:t>
      </w:r>
    </w:p>
    <w:p>
      <w:pPr>
        <w:spacing w:after="0" w:line="1" w:lineRule="exact"/>
        <w:rPr>
          <w:rFonts w:ascii="Times New Roman" w:cs="Times New Roman" w:eastAsia="Times New Roman" w:hAnsi="Times New Roman"/>
          <w:sz w:val="17"/>
          <w:szCs w:val="17"/>
          <w:color w:val="auto"/>
        </w:rPr>
      </w:pPr>
    </w:p>
    <w:p>
      <w:pPr>
        <w:ind w:left="664" w:hanging="417"/>
        <w:spacing w:after="0"/>
        <w:tabs>
          <w:tab w:leader="none" w:pos="66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-573405</wp:posOffset>
            </wp:positionV>
            <wp:extent cx="6926580" cy="6111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 w:lineRule="exact"/>
        <w:rPr>
          <w:sz w:val="20"/>
          <w:szCs w:val="20"/>
          <w:color w:val="auto"/>
        </w:rPr>
      </w:pPr>
    </w:p>
    <w:p>
      <w:pPr>
        <w:ind w:left="664"/>
        <w:spacing w:after="0" w:line="207" w:lineRule="exact"/>
        <w:tabs>
          <w:tab w:leader="none" w:pos="144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4" w:hanging="417"/>
        <w:spacing w:after="0"/>
        <w:tabs>
          <w:tab w:leader="none" w:pos="66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w:t>
      </w:r>
    </w:p>
    <w:p>
      <w:pPr>
        <w:spacing w:after="0" w:line="36"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3"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4" w:right="7580" w:hanging="417"/>
        <w:spacing w:after="0" w:line="400" w:lineRule="auto"/>
        <w:tabs>
          <w:tab w:leader="none" w:pos="66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ind w:left="1844" w:hanging="422"/>
        <w:spacing w:after="0"/>
        <w:tabs>
          <w:tab w:leader="none" w:pos="1844"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52" w:lineRule="exact"/>
        <w:rPr>
          <w:sz w:val="20"/>
          <w:szCs w:val="20"/>
          <w:color w:val="auto"/>
        </w:rPr>
      </w:pPr>
    </w:p>
    <w:tbl>
      <w:tblPr>
        <w:tblLayout w:type="fixed"/>
        <w:tblInd w:w="244" w:type="dxa"/>
        <w:tblCellMar>
          <w:top w:w="0" w:type="dxa"/>
          <w:left w:w="0" w:type="dxa"/>
          <w:bottom w:w="0" w:type="dxa"/>
          <w:right w:w="0" w:type="dxa"/>
        </w:tblCellMar>
      </w:tblPr>
      <w:tr>
        <w:trPr>
          <w:trHeight w:val="248"/>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80" w:type="dxa"/>
            <w:vAlign w:val="bottom"/>
            <w:tcBorders>
              <w:bottom w:val="single" w:sz="8" w:color="auto"/>
            </w:tcBorders>
          </w:tcPr>
          <w:p>
            <w:pPr>
              <w:spacing w:after="0"/>
              <w:rPr>
                <w:sz w:val="21"/>
                <w:szCs w:val="21"/>
                <w:color w:val="auto"/>
              </w:rPr>
            </w:pPr>
          </w:p>
        </w:tc>
        <w:tc>
          <w:tcPr>
            <w:tcW w:w="92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Shares</w:t>
            </w:r>
          </w:p>
        </w:tc>
        <w:tc>
          <w:tcPr>
            <w:tcW w:w="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9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Beneficially</w:t>
            </w:r>
          </w:p>
        </w:tc>
        <w:tc>
          <w:tcPr>
            <w:tcW w:w="480" w:type="dxa"/>
            <w:vAlign w:val="bottom"/>
          </w:tcPr>
          <w:p>
            <w:pPr>
              <w:spacing w:after="0"/>
              <w:rPr>
                <w:sz w:val="18"/>
                <w:szCs w:val="18"/>
                <w:color w:val="auto"/>
              </w:rPr>
            </w:pPr>
          </w:p>
        </w:tc>
        <w:tc>
          <w:tcPr>
            <w:tcW w:w="92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2,740,619 (1)</w:t>
            </w:r>
          </w:p>
        </w:tc>
        <w:tc>
          <w:tcPr>
            <w:tcW w:w="0" w:type="dxa"/>
            <w:vAlign w:val="bottom"/>
          </w:tcPr>
          <w:p>
            <w:pPr>
              <w:spacing w:after="0"/>
              <w:rPr>
                <w:sz w:val="1"/>
                <w:szCs w:val="1"/>
                <w:color w:val="auto"/>
              </w:rPr>
            </w:pPr>
          </w:p>
        </w:tc>
      </w:tr>
      <w:tr>
        <w:trPr>
          <w:trHeight w:val="234"/>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Owned by</w:t>
            </w:r>
          </w:p>
        </w:tc>
        <w:tc>
          <w:tcPr>
            <w:tcW w:w="480" w:type="dxa"/>
            <w:vAlign w:val="bottom"/>
            <w:tcBorders>
              <w:bottom w:val="single" w:sz="8" w:color="auto"/>
            </w:tcBorders>
          </w:tcPr>
          <w:p>
            <w:pPr>
              <w:spacing w:after="0"/>
              <w:rPr>
                <w:sz w:val="20"/>
                <w:szCs w:val="20"/>
                <w:color w:val="auto"/>
              </w:rPr>
            </w:pPr>
          </w:p>
        </w:tc>
        <w:tc>
          <w:tcPr>
            <w:tcW w:w="92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80" w:type="dxa"/>
            <w:vAlign w:val="bottom"/>
          </w:tcPr>
          <w:p>
            <w:pPr>
              <w:jc w:val="center"/>
              <w:ind w:right="10"/>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48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9.</w:t>
            </w:r>
          </w:p>
        </w:tc>
        <w:tc>
          <w:tcPr>
            <w:tcW w:w="920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Reporting</w:t>
            </w:r>
          </w:p>
        </w:tc>
        <w:tc>
          <w:tcPr>
            <w:tcW w:w="48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Person</w:t>
            </w:r>
          </w:p>
        </w:tc>
        <w:tc>
          <w:tcPr>
            <w:tcW w:w="480" w:type="dxa"/>
            <w:vAlign w:val="bottom"/>
          </w:tcPr>
          <w:p>
            <w:pPr>
              <w:spacing w:after="0"/>
              <w:rPr>
                <w:sz w:val="19"/>
                <w:szCs w:val="19"/>
                <w:color w:val="auto"/>
              </w:rPr>
            </w:pPr>
          </w:p>
        </w:tc>
        <w:tc>
          <w:tcPr>
            <w:tcW w:w="9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98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With</w:t>
            </w:r>
          </w:p>
        </w:tc>
        <w:tc>
          <w:tcPr>
            <w:tcW w:w="480" w:type="dxa"/>
            <w:vAlign w:val="bottom"/>
            <w:tcBorders>
              <w:bottom w:val="single" w:sz="8" w:color="auto"/>
            </w:tcBorders>
          </w:tcPr>
          <w:p>
            <w:pPr>
              <w:spacing w:after="0"/>
              <w:rPr>
                <w:sz w:val="5"/>
                <w:szCs w:val="5"/>
                <w:color w:val="auto"/>
              </w:rPr>
            </w:pPr>
          </w:p>
        </w:tc>
        <w:tc>
          <w:tcPr>
            <w:tcW w:w="9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980" w:type="dxa"/>
            <w:vAlign w:val="bottom"/>
            <w:vMerge w:val="continue"/>
          </w:tcPr>
          <w:p>
            <w:pPr>
              <w:spacing w:after="0"/>
              <w:rPr>
                <w:sz w:val="12"/>
                <w:szCs w:val="12"/>
                <w:color w:val="auto"/>
              </w:rPr>
            </w:pPr>
          </w:p>
        </w:tc>
        <w:tc>
          <w:tcPr>
            <w:tcW w:w="4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92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98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9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844"/>
        <w:spacing w:after="0"/>
        <w:rPr>
          <w:sz w:val="20"/>
          <w:szCs w:val="20"/>
          <w:color w:val="auto"/>
        </w:rPr>
      </w:pPr>
      <w:r>
        <w:rPr>
          <w:rFonts w:ascii="Times New Roman" w:cs="Times New Roman" w:eastAsia="Times New Roman" w:hAnsi="Times New Roman"/>
          <w:sz w:val="18"/>
          <w:szCs w:val="18"/>
          <w:color w:val="auto"/>
        </w:rPr>
        <w:t>2,740,619 (1)</w:t>
      </w:r>
    </w:p>
    <w:p>
      <w:pPr>
        <w:spacing w:after="0" w:line="36" w:lineRule="exact"/>
        <w:rPr>
          <w:sz w:val="20"/>
          <w:szCs w:val="20"/>
          <w:color w:val="auto"/>
        </w:rPr>
      </w:pPr>
    </w:p>
    <w:p>
      <w:pPr>
        <w:ind w:left="644" w:hanging="487"/>
        <w:spacing w:after="0"/>
        <w:tabs>
          <w:tab w:leader="none" w:pos="644"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2,740,619 (1)</w:t>
      </w:r>
    </w:p>
    <w:p>
      <w:pPr>
        <w:spacing w:after="0" w:line="36"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40"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3.5%(2)</w:t>
      </w:r>
    </w:p>
    <w:p>
      <w:pPr>
        <w:spacing w:after="0" w:line="36" w:lineRule="exact"/>
        <w:rPr>
          <w:rFonts w:ascii="Times New Roman" w:cs="Times New Roman" w:eastAsia="Times New Roman" w:hAnsi="Times New Roman"/>
          <w:sz w:val="18"/>
          <w:szCs w:val="18"/>
          <w:color w:val="auto"/>
        </w:rPr>
      </w:pPr>
    </w:p>
    <w:p>
      <w:pPr>
        <w:ind w:left="644" w:hanging="487"/>
        <w:spacing w:after="0"/>
        <w:tabs>
          <w:tab w:leader="none" w:pos="644"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ind w:left="424" w:right="60" w:hanging="424"/>
        <w:spacing w:after="0" w:line="253" w:lineRule="auto"/>
        <w:tabs>
          <w:tab w:leader="none" w:pos="42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2,650,177 shares held of record by TCG IV LP and (ii) 90,442 shares held of record by TCG IV-A LP. TCG IV GP LP is the general partner of each of TCG IV LP and TCG IV-A LP and may be deemed to have voting, investment and dispositive power with respect to these securities. TCG IV GP LLC is the general partner of TCG IV GP LP and may be deemed to have voting, investment and dispositive power with respect to these securities. Peter Svennilson, Timothy Kutzkey and David Goeddel, a member of the Issuer’s board of directors, are the managing members of TCG IV GP LLC and may each be deemed to share voting, investment and dispositive power with respect to these securities.</w:t>
      </w:r>
    </w:p>
    <w:p>
      <w:pPr>
        <w:spacing w:after="0" w:line="5"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79,257,148 shares of Common Stock outstanding as of May 2, 2022, as reported in the Form 10-Q.</w:t>
      </w:r>
    </w:p>
    <w:p>
      <w:pPr>
        <w:sectPr>
          <w:pgSz w:w="11900" w:h="16838" w:orient="portrait"/>
          <w:cols w:equalWidth="0" w:num="1">
            <w:col w:w="10904"/>
          </w:cols>
          <w:pgMar w:left="436" w:top="270" w:right="559" w:bottom="1440" w:gutter="0" w:footer="0" w:header="0"/>
        </w:sectPr>
      </w:pPr>
    </w:p>
    <w:bookmarkStart w:id="16" w:name="page17"/>
    <w:bookmarkEnd w:id="16"/>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62921N 105</w:t>
      </w:r>
    </w:p>
    <w:p>
      <w:pPr>
        <w:spacing w:after="0" w:line="266" w:lineRule="exact"/>
        <w:rPr>
          <w:sz w:val="20"/>
          <w:szCs w:val="20"/>
          <w:color w:val="auto"/>
        </w:rPr>
      </w:pPr>
    </w:p>
    <w:p>
      <w:pPr>
        <w:ind w:left="664" w:hanging="417"/>
        <w:spacing w:after="0"/>
        <w:tabs>
          <w:tab w:leader="none" w:pos="66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52"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Column Group IV GP, LLC</w:t>
      </w:r>
    </w:p>
    <w:p>
      <w:pPr>
        <w:spacing w:after="0" w:line="36"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-573405</wp:posOffset>
            </wp:positionV>
            <wp:extent cx="6926580" cy="6111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 w:lineRule="exact"/>
        <w:rPr>
          <w:sz w:val="20"/>
          <w:szCs w:val="20"/>
          <w:color w:val="auto"/>
        </w:rPr>
      </w:pPr>
    </w:p>
    <w:p>
      <w:pPr>
        <w:ind w:left="664"/>
        <w:spacing w:after="0" w:line="207" w:lineRule="exact"/>
        <w:tabs>
          <w:tab w:leader="none" w:pos="144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4" w:hanging="417"/>
        <w:spacing w:after="0"/>
        <w:tabs>
          <w:tab w:leader="none" w:pos="66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w:t>
      </w:r>
    </w:p>
    <w:p>
      <w:pPr>
        <w:spacing w:after="0" w:line="36"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3"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4" w:right="7580" w:hanging="417"/>
        <w:spacing w:after="0" w:line="400" w:lineRule="auto"/>
        <w:tabs>
          <w:tab w:leader="none" w:pos="66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ind w:left="1844" w:hanging="422"/>
        <w:spacing w:after="0"/>
        <w:tabs>
          <w:tab w:leader="none" w:pos="1844"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52" w:lineRule="exact"/>
        <w:rPr>
          <w:sz w:val="20"/>
          <w:szCs w:val="20"/>
          <w:color w:val="auto"/>
        </w:rPr>
      </w:pPr>
    </w:p>
    <w:tbl>
      <w:tblPr>
        <w:tblLayout w:type="fixed"/>
        <w:tblInd w:w="244" w:type="dxa"/>
        <w:tblCellMar>
          <w:top w:w="0" w:type="dxa"/>
          <w:left w:w="0" w:type="dxa"/>
          <w:bottom w:w="0" w:type="dxa"/>
          <w:right w:w="0" w:type="dxa"/>
        </w:tblCellMar>
      </w:tblPr>
      <w:tr>
        <w:trPr>
          <w:trHeight w:val="248"/>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80" w:type="dxa"/>
            <w:vAlign w:val="bottom"/>
            <w:tcBorders>
              <w:bottom w:val="single" w:sz="8" w:color="auto"/>
            </w:tcBorders>
          </w:tcPr>
          <w:p>
            <w:pPr>
              <w:spacing w:after="0"/>
              <w:rPr>
                <w:sz w:val="21"/>
                <w:szCs w:val="21"/>
                <w:color w:val="auto"/>
              </w:rPr>
            </w:pPr>
          </w:p>
        </w:tc>
        <w:tc>
          <w:tcPr>
            <w:tcW w:w="92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Shares</w:t>
            </w:r>
          </w:p>
        </w:tc>
        <w:tc>
          <w:tcPr>
            <w:tcW w:w="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9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Beneficially</w:t>
            </w:r>
          </w:p>
        </w:tc>
        <w:tc>
          <w:tcPr>
            <w:tcW w:w="480" w:type="dxa"/>
            <w:vAlign w:val="bottom"/>
          </w:tcPr>
          <w:p>
            <w:pPr>
              <w:spacing w:after="0"/>
              <w:rPr>
                <w:sz w:val="18"/>
                <w:szCs w:val="18"/>
                <w:color w:val="auto"/>
              </w:rPr>
            </w:pPr>
          </w:p>
        </w:tc>
        <w:tc>
          <w:tcPr>
            <w:tcW w:w="92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2,740,619 (1)</w:t>
            </w:r>
          </w:p>
        </w:tc>
        <w:tc>
          <w:tcPr>
            <w:tcW w:w="0" w:type="dxa"/>
            <w:vAlign w:val="bottom"/>
          </w:tcPr>
          <w:p>
            <w:pPr>
              <w:spacing w:after="0"/>
              <w:rPr>
                <w:sz w:val="1"/>
                <w:szCs w:val="1"/>
                <w:color w:val="auto"/>
              </w:rPr>
            </w:pPr>
          </w:p>
        </w:tc>
      </w:tr>
      <w:tr>
        <w:trPr>
          <w:trHeight w:val="234"/>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Owned by</w:t>
            </w:r>
          </w:p>
        </w:tc>
        <w:tc>
          <w:tcPr>
            <w:tcW w:w="480" w:type="dxa"/>
            <w:vAlign w:val="bottom"/>
            <w:tcBorders>
              <w:bottom w:val="single" w:sz="8" w:color="auto"/>
            </w:tcBorders>
          </w:tcPr>
          <w:p>
            <w:pPr>
              <w:spacing w:after="0"/>
              <w:rPr>
                <w:sz w:val="20"/>
                <w:szCs w:val="20"/>
                <w:color w:val="auto"/>
              </w:rPr>
            </w:pPr>
          </w:p>
        </w:tc>
        <w:tc>
          <w:tcPr>
            <w:tcW w:w="92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80" w:type="dxa"/>
            <w:vAlign w:val="bottom"/>
          </w:tcPr>
          <w:p>
            <w:pPr>
              <w:jc w:val="center"/>
              <w:ind w:right="10"/>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48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9.</w:t>
            </w:r>
          </w:p>
        </w:tc>
        <w:tc>
          <w:tcPr>
            <w:tcW w:w="920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Reporting</w:t>
            </w:r>
          </w:p>
        </w:tc>
        <w:tc>
          <w:tcPr>
            <w:tcW w:w="48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Person</w:t>
            </w:r>
          </w:p>
        </w:tc>
        <w:tc>
          <w:tcPr>
            <w:tcW w:w="480" w:type="dxa"/>
            <w:vAlign w:val="bottom"/>
          </w:tcPr>
          <w:p>
            <w:pPr>
              <w:spacing w:after="0"/>
              <w:rPr>
                <w:sz w:val="19"/>
                <w:szCs w:val="19"/>
                <w:color w:val="auto"/>
              </w:rPr>
            </w:pPr>
          </w:p>
        </w:tc>
        <w:tc>
          <w:tcPr>
            <w:tcW w:w="9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98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With</w:t>
            </w:r>
          </w:p>
        </w:tc>
        <w:tc>
          <w:tcPr>
            <w:tcW w:w="480" w:type="dxa"/>
            <w:vAlign w:val="bottom"/>
            <w:tcBorders>
              <w:bottom w:val="single" w:sz="8" w:color="auto"/>
            </w:tcBorders>
          </w:tcPr>
          <w:p>
            <w:pPr>
              <w:spacing w:after="0"/>
              <w:rPr>
                <w:sz w:val="5"/>
                <w:szCs w:val="5"/>
                <w:color w:val="auto"/>
              </w:rPr>
            </w:pPr>
          </w:p>
        </w:tc>
        <w:tc>
          <w:tcPr>
            <w:tcW w:w="9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980" w:type="dxa"/>
            <w:vAlign w:val="bottom"/>
            <w:vMerge w:val="continue"/>
          </w:tcPr>
          <w:p>
            <w:pPr>
              <w:spacing w:after="0"/>
              <w:rPr>
                <w:sz w:val="12"/>
                <w:szCs w:val="12"/>
                <w:color w:val="auto"/>
              </w:rPr>
            </w:pPr>
          </w:p>
        </w:tc>
        <w:tc>
          <w:tcPr>
            <w:tcW w:w="4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92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98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9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844"/>
        <w:spacing w:after="0"/>
        <w:rPr>
          <w:sz w:val="20"/>
          <w:szCs w:val="20"/>
          <w:color w:val="auto"/>
        </w:rPr>
      </w:pPr>
      <w:r>
        <w:rPr>
          <w:rFonts w:ascii="Times New Roman" w:cs="Times New Roman" w:eastAsia="Times New Roman" w:hAnsi="Times New Roman"/>
          <w:sz w:val="18"/>
          <w:szCs w:val="18"/>
          <w:color w:val="auto"/>
        </w:rPr>
        <w:t>2,740,619 (1)</w:t>
      </w:r>
    </w:p>
    <w:p>
      <w:pPr>
        <w:spacing w:after="0" w:line="36" w:lineRule="exact"/>
        <w:rPr>
          <w:sz w:val="20"/>
          <w:szCs w:val="20"/>
          <w:color w:val="auto"/>
        </w:rPr>
      </w:pPr>
    </w:p>
    <w:p>
      <w:pPr>
        <w:ind w:left="644" w:hanging="487"/>
        <w:spacing w:after="0"/>
        <w:tabs>
          <w:tab w:leader="none" w:pos="644"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2,740,619 (1)</w:t>
      </w:r>
    </w:p>
    <w:p>
      <w:pPr>
        <w:spacing w:after="0" w:line="36"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40"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3.5%(2)</w:t>
      </w:r>
    </w:p>
    <w:p>
      <w:pPr>
        <w:spacing w:after="0" w:line="36" w:lineRule="exact"/>
        <w:rPr>
          <w:rFonts w:ascii="Times New Roman" w:cs="Times New Roman" w:eastAsia="Times New Roman" w:hAnsi="Times New Roman"/>
          <w:sz w:val="18"/>
          <w:szCs w:val="18"/>
          <w:color w:val="auto"/>
        </w:rPr>
      </w:pPr>
    </w:p>
    <w:p>
      <w:pPr>
        <w:ind w:left="644" w:hanging="487"/>
        <w:spacing w:after="0"/>
        <w:tabs>
          <w:tab w:leader="none" w:pos="644"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79" w:lineRule="exact"/>
        <w:rPr>
          <w:rFonts w:ascii="Times New Roman" w:cs="Times New Roman" w:eastAsia="Times New Roman" w:hAnsi="Times New Roman"/>
          <w:sz w:val="18"/>
          <w:szCs w:val="18"/>
          <w:color w:val="auto"/>
        </w:rPr>
      </w:pPr>
    </w:p>
    <w:p>
      <w:pPr>
        <w:ind w:left="424" w:right="60" w:hanging="424"/>
        <w:spacing w:after="0" w:line="253" w:lineRule="auto"/>
        <w:tabs>
          <w:tab w:leader="none" w:pos="42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2,650,177 shares held of record by TCG IV LP and (ii) 90,442 shares held of record by TCG IV-A LP. TCG IV GP LP is the general partner of each of TCG IV LP and TCG IV-A LP and may be deemed to have voting, investment and dispositive power with respect to these securities. TCG IV GP LLC is the general partner of TCG IV GP LP and may be deemed to have voting, investment and dispositive power with respect to these securities. Peter Svennilson, Timothy Kutzkey and David Goeddel, a member of the Issuer’s board of directors, are the managing members of TCG IV GP LLC and may each be deemed to share voting, investment and dispositive power with respect to these securities.</w:t>
      </w:r>
    </w:p>
    <w:p>
      <w:pPr>
        <w:spacing w:after="0" w:line="5"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79,257,148 shares of Common Stock outstanding as of May 2, 2022, as reported in the Form 10-Q.</w:t>
      </w:r>
    </w:p>
    <w:p>
      <w:pPr>
        <w:sectPr>
          <w:pgSz w:w="11900" w:h="16838" w:orient="portrait"/>
          <w:cols w:equalWidth="0" w:num="1">
            <w:col w:w="10904"/>
          </w:cols>
          <w:pgMar w:left="436" w:top="270" w:right="559" w:bottom="1440" w:gutter="0" w:footer="0" w:header="0"/>
        </w:sectPr>
      </w:pPr>
    </w:p>
    <w:bookmarkStart w:id="17" w:name="page18"/>
    <w:bookmarkEnd w:id="17"/>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62921N 105</w:t>
      </w:r>
    </w:p>
    <w:p>
      <w:pPr>
        <w:spacing w:after="0" w:line="266" w:lineRule="exact"/>
        <w:rPr>
          <w:sz w:val="20"/>
          <w:szCs w:val="20"/>
          <w:color w:val="auto"/>
        </w:rPr>
      </w:pPr>
    </w:p>
    <w:p>
      <w:pPr>
        <w:ind w:left="664" w:right="8400" w:hanging="417"/>
        <w:spacing w:after="0" w:line="406" w:lineRule="auto"/>
        <w:tabs>
          <w:tab w:leader="none" w:pos="66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 Peter Svennilson</w:t>
      </w:r>
    </w:p>
    <w:p>
      <w:pPr>
        <w:spacing w:after="0" w:line="1"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-573405</wp:posOffset>
            </wp:positionV>
            <wp:extent cx="6926580" cy="61118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 w:lineRule="exact"/>
        <w:rPr>
          <w:sz w:val="20"/>
          <w:szCs w:val="20"/>
          <w:color w:val="auto"/>
        </w:rPr>
      </w:pPr>
    </w:p>
    <w:p>
      <w:pPr>
        <w:ind w:left="664"/>
        <w:spacing w:after="0" w:line="207" w:lineRule="exact"/>
        <w:tabs>
          <w:tab w:leader="none" w:pos="144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4" w:hanging="417"/>
        <w:spacing w:after="0"/>
        <w:tabs>
          <w:tab w:leader="none" w:pos="66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44" w:right="7780" w:hanging="397"/>
        <w:spacing w:after="0" w:line="406" w:lineRule="auto"/>
        <w:tabs>
          <w:tab w:leader="none" w:pos="65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 AF, PF</w:t>
      </w:r>
    </w:p>
    <w:p>
      <w:pPr>
        <w:spacing w:after="0" w:line="1"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3"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4" w:right="7660" w:hanging="417"/>
        <w:spacing w:after="0" w:line="400" w:lineRule="auto"/>
        <w:tabs>
          <w:tab w:leader="none" w:pos="66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Sweden</w:t>
      </w:r>
    </w:p>
    <w:p>
      <w:pPr>
        <w:ind w:left="1844" w:hanging="422"/>
        <w:spacing w:after="0"/>
        <w:tabs>
          <w:tab w:leader="none" w:pos="184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52" w:lineRule="exact"/>
        <w:rPr>
          <w:sz w:val="20"/>
          <w:szCs w:val="20"/>
          <w:color w:val="auto"/>
        </w:rPr>
      </w:pPr>
    </w:p>
    <w:tbl>
      <w:tblPr>
        <w:tblLayout w:type="fixed"/>
        <w:tblInd w:w="244" w:type="dxa"/>
        <w:tblCellMar>
          <w:top w:w="0" w:type="dxa"/>
          <w:left w:w="0" w:type="dxa"/>
          <w:bottom w:w="0" w:type="dxa"/>
          <w:right w:w="0" w:type="dxa"/>
        </w:tblCellMar>
      </w:tblPr>
      <w:tr>
        <w:trPr>
          <w:trHeight w:val="248"/>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80" w:type="dxa"/>
            <w:vAlign w:val="bottom"/>
            <w:tcBorders>
              <w:bottom w:val="single" w:sz="8" w:color="auto"/>
            </w:tcBorders>
          </w:tcPr>
          <w:p>
            <w:pPr>
              <w:spacing w:after="0"/>
              <w:rPr>
                <w:sz w:val="21"/>
                <w:szCs w:val="21"/>
                <w:color w:val="auto"/>
              </w:rPr>
            </w:pPr>
          </w:p>
        </w:tc>
        <w:tc>
          <w:tcPr>
            <w:tcW w:w="92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44,000(1)</w:t>
            </w:r>
          </w:p>
        </w:tc>
        <w:tc>
          <w:tcPr>
            <w:tcW w:w="0" w:type="dxa"/>
            <w:vAlign w:val="bottom"/>
          </w:tcPr>
          <w:p>
            <w:pPr>
              <w:spacing w:after="0"/>
              <w:rPr>
                <w:sz w:val="1"/>
                <w:szCs w:val="1"/>
                <w:color w:val="auto"/>
              </w:rPr>
            </w:pPr>
          </w:p>
        </w:tc>
      </w:tr>
      <w:tr>
        <w:trPr>
          <w:trHeight w:val="232"/>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Shares</w:t>
            </w:r>
          </w:p>
        </w:tc>
        <w:tc>
          <w:tcPr>
            <w:tcW w:w="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9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Beneficially</w:t>
            </w:r>
          </w:p>
        </w:tc>
        <w:tc>
          <w:tcPr>
            <w:tcW w:w="480" w:type="dxa"/>
            <w:vAlign w:val="bottom"/>
          </w:tcPr>
          <w:p>
            <w:pPr>
              <w:spacing w:after="0"/>
              <w:rPr>
                <w:sz w:val="18"/>
                <w:szCs w:val="18"/>
                <w:color w:val="auto"/>
              </w:rPr>
            </w:pPr>
          </w:p>
        </w:tc>
        <w:tc>
          <w:tcPr>
            <w:tcW w:w="92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20,734,551 (2)</w:t>
            </w:r>
          </w:p>
        </w:tc>
        <w:tc>
          <w:tcPr>
            <w:tcW w:w="0" w:type="dxa"/>
            <w:vAlign w:val="bottom"/>
          </w:tcPr>
          <w:p>
            <w:pPr>
              <w:spacing w:after="0"/>
              <w:rPr>
                <w:sz w:val="1"/>
                <w:szCs w:val="1"/>
                <w:color w:val="auto"/>
              </w:rPr>
            </w:pPr>
          </w:p>
        </w:tc>
      </w:tr>
      <w:tr>
        <w:trPr>
          <w:trHeight w:val="234"/>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Owned by</w:t>
            </w:r>
          </w:p>
        </w:tc>
        <w:tc>
          <w:tcPr>
            <w:tcW w:w="480" w:type="dxa"/>
            <w:vAlign w:val="bottom"/>
            <w:tcBorders>
              <w:bottom w:val="single" w:sz="8" w:color="auto"/>
            </w:tcBorders>
          </w:tcPr>
          <w:p>
            <w:pPr>
              <w:spacing w:after="0"/>
              <w:rPr>
                <w:sz w:val="20"/>
                <w:szCs w:val="20"/>
                <w:color w:val="auto"/>
              </w:rPr>
            </w:pPr>
          </w:p>
        </w:tc>
        <w:tc>
          <w:tcPr>
            <w:tcW w:w="92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80" w:type="dxa"/>
            <w:vAlign w:val="bottom"/>
          </w:tcPr>
          <w:p>
            <w:pPr>
              <w:jc w:val="center"/>
              <w:ind w:right="10"/>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48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9.</w:t>
            </w:r>
          </w:p>
        </w:tc>
        <w:tc>
          <w:tcPr>
            <w:tcW w:w="920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Reporting</w:t>
            </w:r>
          </w:p>
        </w:tc>
        <w:tc>
          <w:tcPr>
            <w:tcW w:w="48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Person</w:t>
            </w:r>
          </w:p>
        </w:tc>
        <w:tc>
          <w:tcPr>
            <w:tcW w:w="480" w:type="dxa"/>
            <w:vAlign w:val="bottom"/>
          </w:tcPr>
          <w:p>
            <w:pPr>
              <w:spacing w:after="0"/>
              <w:rPr>
                <w:sz w:val="19"/>
                <w:szCs w:val="19"/>
                <w:color w:val="auto"/>
              </w:rPr>
            </w:pPr>
          </w:p>
        </w:tc>
        <w:tc>
          <w:tcPr>
            <w:tcW w:w="9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44,000(1)</w:t>
            </w:r>
          </w:p>
        </w:tc>
        <w:tc>
          <w:tcPr>
            <w:tcW w:w="0" w:type="dxa"/>
            <w:vAlign w:val="bottom"/>
          </w:tcPr>
          <w:p>
            <w:pPr>
              <w:spacing w:after="0"/>
              <w:rPr>
                <w:sz w:val="1"/>
                <w:szCs w:val="1"/>
                <w:color w:val="auto"/>
              </w:rPr>
            </w:pPr>
          </w:p>
        </w:tc>
      </w:tr>
      <w:tr>
        <w:trPr>
          <w:trHeight w:val="68"/>
        </w:trPr>
        <w:tc>
          <w:tcPr>
            <w:tcW w:w="98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With</w:t>
            </w:r>
          </w:p>
        </w:tc>
        <w:tc>
          <w:tcPr>
            <w:tcW w:w="480" w:type="dxa"/>
            <w:vAlign w:val="bottom"/>
            <w:tcBorders>
              <w:bottom w:val="single" w:sz="8" w:color="auto"/>
            </w:tcBorders>
          </w:tcPr>
          <w:p>
            <w:pPr>
              <w:spacing w:after="0"/>
              <w:rPr>
                <w:sz w:val="5"/>
                <w:szCs w:val="5"/>
                <w:color w:val="auto"/>
              </w:rPr>
            </w:pPr>
          </w:p>
        </w:tc>
        <w:tc>
          <w:tcPr>
            <w:tcW w:w="9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980" w:type="dxa"/>
            <w:vAlign w:val="bottom"/>
            <w:vMerge w:val="continue"/>
          </w:tcPr>
          <w:p>
            <w:pPr>
              <w:spacing w:after="0"/>
              <w:rPr>
                <w:sz w:val="12"/>
                <w:szCs w:val="12"/>
                <w:color w:val="auto"/>
              </w:rPr>
            </w:pPr>
          </w:p>
        </w:tc>
        <w:tc>
          <w:tcPr>
            <w:tcW w:w="4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92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98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9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844"/>
        <w:spacing w:after="0"/>
        <w:rPr>
          <w:sz w:val="20"/>
          <w:szCs w:val="20"/>
          <w:color w:val="auto"/>
        </w:rPr>
      </w:pPr>
      <w:r>
        <w:rPr>
          <w:rFonts w:ascii="Times New Roman" w:cs="Times New Roman" w:eastAsia="Times New Roman" w:hAnsi="Times New Roman"/>
          <w:sz w:val="18"/>
          <w:szCs w:val="18"/>
          <w:color w:val="auto"/>
        </w:rPr>
        <w:t>20,734,551 (2)</w:t>
      </w:r>
    </w:p>
    <w:p>
      <w:pPr>
        <w:spacing w:after="0" w:line="36" w:lineRule="exact"/>
        <w:rPr>
          <w:sz w:val="20"/>
          <w:szCs w:val="20"/>
          <w:color w:val="auto"/>
        </w:rPr>
      </w:pPr>
    </w:p>
    <w:p>
      <w:pPr>
        <w:ind w:left="644" w:hanging="487"/>
        <w:spacing w:after="0"/>
        <w:tabs>
          <w:tab w:leader="none" w:pos="644"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20,778,551 (1)(2)</w:t>
      </w:r>
    </w:p>
    <w:p>
      <w:pPr>
        <w:spacing w:after="0" w:line="36"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40"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26.2%(3)</w:t>
      </w:r>
    </w:p>
    <w:p>
      <w:pPr>
        <w:spacing w:after="0" w:line="36" w:lineRule="exact"/>
        <w:rPr>
          <w:rFonts w:ascii="Times New Roman" w:cs="Times New Roman" w:eastAsia="Times New Roman" w:hAnsi="Times New Roman"/>
          <w:sz w:val="18"/>
          <w:szCs w:val="18"/>
          <w:color w:val="auto"/>
        </w:rPr>
      </w:pPr>
    </w:p>
    <w:p>
      <w:pPr>
        <w:ind w:left="644" w:hanging="487"/>
        <w:spacing w:after="0"/>
        <w:tabs>
          <w:tab w:leader="none" w:pos="644"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7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are held directly by Peter Svennilson.</w:t>
      </w:r>
    </w:p>
    <w:p>
      <w:pPr>
        <w:spacing w:after="0" w:line="27" w:lineRule="exact"/>
        <w:rPr>
          <w:rFonts w:ascii="Times New Roman" w:cs="Times New Roman" w:eastAsia="Times New Roman" w:hAnsi="Times New Roman"/>
          <w:sz w:val="18"/>
          <w:szCs w:val="18"/>
          <w:color w:val="auto"/>
        </w:rPr>
      </w:pPr>
    </w:p>
    <w:p>
      <w:pPr>
        <w:ind w:left="424" w:hanging="424"/>
        <w:spacing w:after="0" w:line="250" w:lineRule="auto"/>
        <w:tabs>
          <w:tab w:leader="none" w:pos="42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Peter Svennilson is a managing partner of TCG GP, TCG II GP, TCGM LP and TCG III GP, and a managing member of Ponoi LLC, Ponoi II LLC and TCG IV GP LLC and may be deemed to share voting and dispositive control over the shares of Common Stock held by TCG LP, TCG GP, TCG II LP, TCGM LP, Ponoi LP, Ponoi II LP, TCG III LP, TCG III-A LP, TCG IV LP and TCG IV-A LP.</w:t>
      </w:r>
    </w:p>
    <w:p>
      <w:pPr>
        <w:spacing w:after="0" w:line="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79,257,148 shares of Common Stock outstanding as of May 2, 2022, as reported in the Form 10-Q.</w:t>
      </w:r>
    </w:p>
    <w:p>
      <w:pPr>
        <w:sectPr>
          <w:pgSz w:w="11900" w:h="16838" w:orient="portrait"/>
          <w:cols w:equalWidth="0" w:num="1">
            <w:col w:w="10984"/>
          </w:cols>
          <w:pgMar w:left="436" w:top="270" w:right="479" w:bottom="1440" w:gutter="0" w:footer="0" w:header="0"/>
        </w:sectPr>
      </w:pPr>
    </w:p>
    <w:bookmarkStart w:id="18" w:name="page19"/>
    <w:bookmarkEnd w:id="18"/>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62921N 105</w:t>
      </w:r>
    </w:p>
    <w:p>
      <w:pPr>
        <w:spacing w:after="0" w:line="266" w:lineRule="exact"/>
        <w:rPr>
          <w:sz w:val="20"/>
          <w:szCs w:val="20"/>
          <w:color w:val="auto"/>
        </w:rPr>
      </w:pPr>
    </w:p>
    <w:p>
      <w:pPr>
        <w:ind w:left="664" w:right="8320" w:hanging="417"/>
        <w:spacing w:after="0" w:line="406" w:lineRule="auto"/>
        <w:tabs>
          <w:tab w:leader="none" w:pos="66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 David V. Goeddel</w:t>
      </w:r>
    </w:p>
    <w:p>
      <w:pPr>
        <w:spacing w:after="0" w:line="1"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-573405</wp:posOffset>
            </wp:positionV>
            <wp:extent cx="6926580" cy="6111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 w:lineRule="exact"/>
        <w:rPr>
          <w:sz w:val="20"/>
          <w:szCs w:val="20"/>
          <w:color w:val="auto"/>
        </w:rPr>
      </w:pPr>
    </w:p>
    <w:p>
      <w:pPr>
        <w:ind w:left="664"/>
        <w:spacing w:after="0" w:line="207" w:lineRule="exact"/>
        <w:tabs>
          <w:tab w:leader="none" w:pos="144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4" w:hanging="417"/>
        <w:spacing w:after="0"/>
        <w:tabs>
          <w:tab w:leader="none" w:pos="66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44" w:right="7700" w:hanging="397"/>
        <w:spacing w:after="0" w:line="406" w:lineRule="auto"/>
        <w:tabs>
          <w:tab w:leader="none" w:pos="65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 AF, PF</w:t>
      </w:r>
    </w:p>
    <w:p>
      <w:pPr>
        <w:spacing w:after="0" w:line="1"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3"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4" w:right="7580" w:hanging="417"/>
        <w:spacing w:after="0" w:line="400" w:lineRule="auto"/>
        <w:tabs>
          <w:tab w:leader="none" w:pos="66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U.S.A.</w:t>
      </w:r>
    </w:p>
    <w:p>
      <w:pPr>
        <w:ind w:left="1844" w:hanging="422"/>
        <w:spacing w:after="0"/>
        <w:tabs>
          <w:tab w:leader="none" w:pos="1844"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52" w:lineRule="exact"/>
        <w:rPr>
          <w:sz w:val="20"/>
          <w:szCs w:val="20"/>
          <w:color w:val="auto"/>
        </w:rPr>
      </w:pPr>
    </w:p>
    <w:tbl>
      <w:tblPr>
        <w:tblLayout w:type="fixed"/>
        <w:tblInd w:w="244" w:type="dxa"/>
        <w:tblCellMar>
          <w:top w:w="0" w:type="dxa"/>
          <w:left w:w="0" w:type="dxa"/>
          <w:bottom w:w="0" w:type="dxa"/>
          <w:right w:w="0" w:type="dxa"/>
        </w:tblCellMar>
      </w:tblPr>
      <w:tr>
        <w:trPr>
          <w:trHeight w:val="248"/>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80" w:type="dxa"/>
            <w:vAlign w:val="bottom"/>
            <w:tcBorders>
              <w:bottom w:val="single" w:sz="8" w:color="auto"/>
            </w:tcBorders>
          </w:tcPr>
          <w:p>
            <w:pPr>
              <w:spacing w:after="0"/>
              <w:rPr>
                <w:sz w:val="21"/>
                <w:szCs w:val="21"/>
                <w:color w:val="auto"/>
              </w:rPr>
            </w:pPr>
          </w:p>
        </w:tc>
        <w:tc>
          <w:tcPr>
            <w:tcW w:w="92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140,425 (1)</w:t>
            </w:r>
          </w:p>
        </w:tc>
        <w:tc>
          <w:tcPr>
            <w:tcW w:w="0" w:type="dxa"/>
            <w:vAlign w:val="bottom"/>
          </w:tcPr>
          <w:p>
            <w:pPr>
              <w:spacing w:after="0"/>
              <w:rPr>
                <w:sz w:val="1"/>
                <w:szCs w:val="1"/>
                <w:color w:val="auto"/>
              </w:rPr>
            </w:pPr>
          </w:p>
        </w:tc>
      </w:tr>
      <w:tr>
        <w:trPr>
          <w:trHeight w:val="232"/>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Shares</w:t>
            </w:r>
          </w:p>
        </w:tc>
        <w:tc>
          <w:tcPr>
            <w:tcW w:w="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9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Beneficially</w:t>
            </w:r>
          </w:p>
        </w:tc>
        <w:tc>
          <w:tcPr>
            <w:tcW w:w="480" w:type="dxa"/>
            <w:vAlign w:val="bottom"/>
          </w:tcPr>
          <w:p>
            <w:pPr>
              <w:spacing w:after="0"/>
              <w:rPr>
                <w:sz w:val="18"/>
                <w:szCs w:val="18"/>
                <w:color w:val="auto"/>
              </w:rPr>
            </w:pPr>
          </w:p>
        </w:tc>
        <w:tc>
          <w:tcPr>
            <w:tcW w:w="92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20,844,551 (2)</w:t>
            </w:r>
          </w:p>
        </w:tc>
        <w:tc>
          <w:tcPr>
            <w:tcW w:w="0" w:type="dxa"/>
            <w:vAlign w:val="bottom"/>
          </w:tcPr>
          <w:p>
            <w:pPr>
              <w:spacing w:after="0"/>
              <w:rPr>
                <w:sz w:val="1"/>
                <w:szCs w:val="1"/>
                <w:color w:val="auto"/>
              </w:rPr>
            </w:pPr>
          </w:p>
        </w:tc>
      </w:tr>
      <w:tr>
        <w:trPr>
          <w:trHeight w:val="234"/>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Owned by</w:t>
            </w:r>
          </w:p>
        </w:tc>
        <w:tc>
          <w:tcPr>
            <w:tcW w:w="480" w:type="dxa"/>
            <w:vAlign w:val="bottom"/>
            <w:tcBorders>
              <w:bottom w:val="single" w:sz="8" w:color="auto"/>
            </w:tcBorders>
          </w:tcPr>
          <w:p>
            <w:pPr>
              <w:spacing w:after="0"/>
              <w:rPr>
                <w:sz w:val="20"/>
                <w:szCs w:val="20"/>
                <w:color w:val="auto"/>
              </w:rPr>
            </w:pPr>
          </w:p>
        </w:tc>
        <w:tc>
          <w:tcPr>
            <w:tcW w:w="92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80" w:type="dxa"/>
            <w:vAlign w:val="bottom"/>
          </w:tcPr>
          <w:p>
            <w:pPr>
              <w:jc w:val="center"/>
              <w:ind w:right="10"/>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48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9.</w:t>
            </w:r>
          </w:p>
        </w:tc>
        <w:tc>
          <w:tcPr>
            <w:tcW w:w="920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Reporting</w:t>
            </w:r>
          </w:p>
        </w:tc>
        <w:tc>
          <w:tcPr>
            <w:tcW w:w="48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Person</w:t>
            </w:r>
          </w:p>
        </w:tc>
        <w:tc>
          <w:tcPr>
            <w:tcW w:w="480" w:type="dxa"/>
            <w:vAlign w:val="bottom"/>
          </w:tcPr>
          <w:p>
            <w:pPr>
              <w:spacing w:after="0"/>
              <w:rPr>
                <w:sz w:val="19"/>
                <w:szCs w:val="19"/>
                <w:color w:val="auto"/>
              </w:rPr>
            </w:pPr>
          </w:p>
        </w:tc>
        <w:tc>
          <w:tcPr>
            <w:tcW w:w="9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140,425 (1)</w:t>
            </w:r>
          </w:p>
        </w:tc>
        <w:tc>
          <w:tcPr>
            <w:tcW w:w="0" w:type="dxa"/>
            <w:vAlign w:val="bottom"/>
          </w:tcPr>
          <w:p>
            <w:pPr>
              <w:spacing w:after="0"/>
              <w:rPr>
                <w:sz w:val="1"/>
                <w:szCs w:val="1"/>
                <w:color w:val="auto"/>
              </w:rPr>
            </w:pPr>
          </w:p>
        </w:tc>
      </w:tr>
      <w:tr>
        <w:trPr>
          <w:trHeight w:val="68"/>
        </w:trPr>
        <w:tc>
          <w:tcPr>
            <w:tcW w:w="98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With</w:t>
            </w:r>
          </w:p>
        </w:tc>
        <w:tc>
          <w:tcPr>
            <w:tcW w:w="480" w:type="dxa"/>
            <w:vAlign w:val="bottom"/>
            <w:tcBorders>
              <w:bottom w:val="single" w:sz="8" w:color="auto"/>
            </w:tcBorders>
          </w:tcPr>
          <w:p>
            <w:pPr>
              <w:spacing w:after="0"/>
              <w:rPr>
                <w:sz w:val="5"/>
                <w:szCs w:val="5"/>
                <w:color w:val="auto"/>
              </w:rPr>
            </w:pPr>
          </w:p>
        </w:tc>
        <w:tc>
          <w:tcPr>
            <w:tcW w:w="9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980" w:type="dxa"/>
            <w:vAlign w:val="bottom"/>
            <w:vMerge w:val="continue"/>
          </w:tcPr>
          <w:p>
            <w:pPr>
              <w:spacing w:after="0"/>
              <w:rPr>
                <w:sz w:val="12"/>
                <w:szCs w:val="12"/>
                <w:color w:val="auto"/>
              </w:rPr>
            </w:pPr>
          </w:p>
        </w:tc>
        <w:tc>
          <w:tcPr>
            <w:tcW w:w="4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92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98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9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844"/>
        <w:spacing w:after="0"/>
        <w:rPr>
          <w:sz w:val="20"/>
          <w:szCs w:val="20"/>
          <w:color w:val="auto"/>
        </w:rPr>
      </w:pPr>
      <w:r>
        <w:rPr>
          <w:rFonts w:ascii="Times New Roman" w:cs="Times New Roman" w:eastAsia="Times New Roman" w:hAnsi="Times New Roman"/>
          <w:sz w:val="18"/>
          <w:szCs w:val="18"/>
          <w:color w:val="auto"/>
        </w:rPr>
        <w:t>20,844,551 (2)</w:t>
      </w:r>
    </w:p>
    <w:p>
      <w:pPr>
        <w:spacing w:after="0" w:line="36" w:lineRule="exact"/>
        <w:rPr>
          <w:sz w:val="20"/>
          <w:szCs w:val="20"/>
          <w:color w:val="auto"/>
        </w:rPr>
      </w:pPr>
    </w:p>
    <w:p>
      <w:pPr>
        <w:ind w:left="644" w:hanging="487"/>
        <w:spacing w:after="0"/>
        <w:tabs>
          <w:tab w:leader="none" w:pos="644"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20,984,976 (1)(2)</w:t>
      </w:r>
    </w:p>
    <w:p>
      <w:pPr>
        <w:spacing w:after="0" w:line="36"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40"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26.5%(3)</w:t>
      </w:r>
    </w:p>
    <w:p>
      <w:pPr>
        <w:spacing w:after="0" w:line="36" w:lineRule="exact"/>
        <w:rPr>
          <w:rFonts w:ascii="Times New Roman" w:cs="Times New Roman" w:eastAsia="Times New Roman" w:hAnsi="Times New Roman"/>
          <w:sz w:val="18"/>
          <w:szCs w:val="18"/>
          <w:color w:val="auto"/>
        </w:rPr>
      </w:pPr>
    </w:p>
    <w:p>
      <w:pPr>
        <w:ind w:left="644" w:hanging="487"/>
        <w:spacing w:after="0"/>
        <w:tabs>
          <w:tab w:leader="none" w:pos="644"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79" w:lineRule="exact"/>
        <w:rPr>
          <w:rFonts w:ascii="Times New Roman" w:cs="Times New Roman" w:eastAsia="Times New Roman" w:hAnsi="Times New Roman"/>
          <w:sz w:val="18"/>
          <w:szCs w:val="18"/>
          <w:color w:val="auto"/>
        </w:rPr>
      </w:pPr>
    </w:p>
    <w:p>
      <w:pPr>
        <w:ind w:left="424" w:right="260" w:hanging="424"/>
        <w:spacing w:after="0" w:line="261" w:lineRule="auto"/>
        <w:tabs>
          <w:tab w:leader="none" w:pos="42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80,000 shares held directly by David Goeddel and (ii) 60,425 shares underlying stock options granted to David Goeddel for his service as a member of the Issuer’s board of directors, which vest within 60 days of this statement.</w:t>
      </w:r>
    </w:p>
    <w:p>
      <w:pPr>
        <w:ind w:left="424" w:right="20" w:hanging="424"/>
        <w:spacing w:after="0" w:line="250" w:lineRule="auto"/>
        <w:tabs>
          <w:tab w:leader="none" w:pos="42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Goeddel, a member of the Issuer’s board of directors, is a managing partner of TCG GP, TCG II GP, TCGM LP and TCG III GP, and a managing member of Ponoi LLC, Ponoi II LLC and TCG IV GP LLC and may be deemed to share voting and dispositive control over the shares of Common Stock held by TCG LP, TCG GP, TCG II LP, TCGM LP, Ponoi LP, Ponoi II LP, TCG III LP, TCG III-A LP, TCG IV LP and TCG IV-A LP. David Goeddel serves as co-trustee of the David V. Goeddel and Alena Z. Goeddel 2004 Trust (the “Goeddel Trust”) and shares voting and dispositive control over 110,000 shares of Common Stock held directly by the Goeddel Trust.</w:t>
      </w:r>
    </w:p>
    <w:p>
      <w:pPr>
        <w:spacing w:after="0" w:line="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79,257,148 shares of Common Stock outstanding as of May 2, 2022, as reported in the Form 10-Q.</w:t>
      </w:r>
    </w:p>
    <w:p>
      <w:pPr>
        <w:sectPr>
          <w:pgSz w:w="11900" w:h="16838" w:orient="portrait"/>
          <w:cols w:equalWidth="0" w:num="1">
            <w:col w:w="10904"/>
          </w:cols>
          <w:pgMar w:left="436" w:top="270" w:right="559" w:bottom="1440" w:gutter="0" w:footer="0" w:header="0"/>
        </w:sectPr>
      </w:pPr>
    </w:p>
    <w:bookmarkStart w:id="19" w:name="page20"/>
    <w:bookmarkEnd w:id="19"/>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62921N 105</w:t>
      </w:r>
    </w:p>
    <w:p>
      <w:pPr>
        <w:spacing w:after="0" w:line="266" w:lineRule="exact"/>
        <w:rPr>
          <w:sz w:val="20"/>
          <w:szCs w:val="20"/>
          <w:color w:val="auto"/>
        </w:rPr>
      </w:pPr>
    </w:p>
    <w:p>
      <w:pPr>
        <w:ind w:left="644" w:right="8340" w:hanging="397"/>
        <w:spacing w:after="0" w:line="406" w:lineRule="auto"/>
        <w:tabs>
          <w:tab w:leader="none" w:pos="64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 Tim Kutzkey</w:t>
      </w:r>
    </w:p>
    <w:p>
      <w:pPr>
        <w:spacing w:after="0" w:line="1"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-573405</wp:posOffset>
            </wp:positionV>
            <wp:extent cx="6926580" cy="61118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 w:lineRule="exact"/>
        <w:rPr>
          <w:sz w:val="20"/>
          <w:szCs w:val="20"/>
          <w:color w:val="auto"/>
        </w:rPr>
      </w:pPr>
    </w:p>
    <w:p>
      <w:pPr>
        <w:ind w:left="664"/>
        <w:spacing w:after="0" w:line="207" w:lineRule="exact"/>
        <w:tabs>
          <w:tab w:leader="none" w:pos="144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4" w:hanging="417"/>
        <w:spacing w:after="0"/>
        <w:tabs>
          <w:tab w:leader="none" w:pos="66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44" w:right="7720" w:hanging="397"/>
        <w:spacing w:after="0" w:line="406" w:lineRule="auto"/>
        <w:tabs>
          <w:tab w:leader="none" w:pos="65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 AF, PF</w:t>
      </w:r>
    </w:p>
    <w:p>
      <w:pPr>
        <w:spacing w:after="0" w:line="1"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3"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4" w:right="7600" w:hanging="417"/>
        <w:spacing w:after="0" w:line="400" w:lineRule="auto"/>
        <w:tabs>
          <w:tab w:leader="none" w:pos="66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U.S.A.</w:t>
      </w:r>
    </w:p>
    <w:p>
      <w:pPr>
        <w:ind w:left="1844" w:hanging="422"/>
        <w:spacing w:after="0"/>
        <w:tabs>
          <w:tab w:leader="none" w:pos="1844"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52" w:lineRule="exact"/>
        <w:rPr>
          <w:sz w:val="20"/>
          <w:szCs w:val="20"/>
          <w:color w:val="auto"/>
        </w:rPr>
      </w:pPr>
    </w:p>
    <w:tbl>
      <w:tblPr>
        <w:tblLayout w:type="fixed"/>
        <w:tblInd w:w="244" w:type="dxa"/>
        <w:tblCellMar>
          <w:top w:w="0" w:type="dxa"/>
          <w:left w:w="0" w:type="dxa"/>
          <w:bottom w:w="0" w:type="dxa"/>
          <w:right w:w="0" w:type="dxa"/>
        </w:tblCellMar>
      </w:tblPr>
      <w:tr>
        <w:trPr>
          <w:trHeight w:val="248"/>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80" w:type="dxa"/>
            <w:vAlign w:val="bottom"/>
            <w:tcBorders>
              <w:bottom w:val="single" w:sz="8" w:color="auto"/>
            </w:tcBorders>
          </w:tcPr>
          <w:p>
            <w:pPr>
              <w:spacing w:after="0"/>
              <w:rPr>
                <w:sz w:val="21"/>
                <w:szCs w:val="21"/>
                <w:color w:val="auto"/>
              </w:rPr>
            </w:pPr>
          </w:p>
        </w:tc>
        <w:tc>
          <w:tcPr>
            <w:tcW w:w="92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15,000(1)</w:t>
            </w:r>
          </w:p>
        </w:tc>
        <w:tc>
          <w:tcPr>
            <w:tcW w:w="0" w:type="dxa"/>
            <w:vAlign w:val="bottom"/>
          </w:tcPr>
          <w:p>
            <w:pPr>
              <w:spacing w:after="0"/>
              <w:rPr>
                <w:sz w:val="1"/>
                <w:szCs w:val="1"/>
                <w:color w:val="auto"/>
              </w:rPr>
            </w:pPr>
          </w:p>
        </w:tc>
      </w:tr>
      <w:tr>
        <w:trPr>
          <w:trHeight w:val="232"/>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Shares</w:t>
            </w:r>
          </w:p>
        </w:tc>
        <w:tc>
          <w:tcPr>
            <w:tcW w:w="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9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Beneficially</w:t>
            </w:r>
          </w:p>
        </w:tc>
        <w:tc>
          <w:tcPr>
            <w:tcW w:w="480" w:type="dxa"/>
            <w:vAlign w:val="bottom"/>
          </w:tcPr>
          <w:p>
            <w:pPr>
              <w:spacing w:after="0"/>
              <w:rPr>
                <w:sz w:val="18"/>
                <w:szCs w:val="18"/>
                <w:color w:val="auto"/>
              </w:rPr>
            </w:pPr>
          </w:p>
        </w:tc>
        <w:tc>
          <w:tcPr>
            <w:tcW w:w="92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7,165,460 (2)</w:t>
            </w:r>
          </w:p>
        </w:tc>
        <w:tc>
          <w:tcPr>
            <w:tcW w:w="0" w:type="dxa"/>
            <w:vAlign w:val="bottom"/>
          </w:tcPr>
          <w:p>
            <w:pPr>
              <w:spacing w:after="0"/>
              <w:rPr>
                <w:sz w:val="1"/>
                <w:szCs w:val="1"/>
                <w:color w:val="auto"/>
              </w:rPr>
            </w:pPr>
          </w:p>
        </w:tc>
      </w:tr>
      <w:tr>
        <w:trPr>
          <w:trHeight w:val="234"/>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Owned by</w:t>
            </w:r>
          </w:p>
        </w:tc>
        <w:tc>
          <w:tcPr>
            <w:tcW w:w="480" w:type="dxa"/>
            <w:vAlign w:val="bottom"/>
            <w:tcBorders>
              <w:bottom w:val="single" w:sz="8" w:color="auto"/>
            </w:tcBorders>
          </w:tcPr>
          <w:p>
            <w:pPr>
              <w:spacing w:after="0"/>
              <w:rPr>
                <w:sz w:val="20"/>
                <w:szCs w:val="20"/>
                <w:color w:val="auto"/>
              </w:rPr>
            </w:pPr>
          </w:p>
        </w:tc>
        <w:tc>
          <w:tcPr>
            <w:tcW w:w="92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980" w:type="dxa"/>
            <w:vAlign w:val="bottom"/>
          </w:tcPr>
          <w:p>
            <w:pPr>
              <w:jc w:val="center"/>
              <w:ind w:right="10"/>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48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9.</w:t>
            </w:r>
          </w:p>
        </w:tc>
        <w:tc>
          <w:tcPr>
            <w:tcW w:w="920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Reporting</w:t>
            </w:r>
          </w:p>
        </w:tc>
        <w:tc>
          <w:tcPr>
            <w:tcW w:w="48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Person</w:t>
            </w:r>
          </w:p>
        </w:tc>
        <w:tc>
          <w:tcPr>
            <w:tcW w:w="480" w:type="dxa"/>
            <w:vAlign w:val="bottom"/>
          </w:tcPr>
          <w:p>
            <w:pPr>
              <w:spacing w:after="0"/>
              <w:rPr>
                <w:sz w:val="19"/>
                <w:szCs w:val="19"/>
                <w:color w:val="auto"/>
              </w:rPr>
            </w:pPr>
          </w:p>
        </w:tc>
        <w:tc>
          <w:tcPr>
            <w:tcW w:w="9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15,000 (1)</w:t>
            </w:r>
          </w:p>
        </w:tc>
        <w:tc>
          <w:tcPr>
            <w:tcW w:w="0" w:type="dxa"/>
            <w:vAlign w:val="bottom"/>
          </w:tcPr>
          <w:p>
            <w:pPr>
              <w:spacing w:after="0"/>
              <w:rPr>
                <w:sz w:val="1"/>
                <w:szCs w:val="1"/>
                <w:color w:val="auto"/>
              </w:rPr>
            </w:pPr>
          </w:p>
        </w:tc>
      </w:tr>
      <w:tr>
        <w:trPr>
          <w:trHeight w:val="68"/>
        </w:trPr>
        <w:tc>
          <w:tcPr>
            <w:tcW w:w="98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9"/>
              </w:rPr>
              <w:t>With</w:t>
            </w:r>
          </w:p>
        </w:tc>
        <w:tc>
          <w:tcPr>
            <w:tcW w:w="480" w:type="dxa"/>
            <w:vAlign w:val="bottom"/>
            <w:tcBorders>
              <w:bottom w:val="single" w:sz="8" w:color="auto"/>
            </w:tcBorders>
          </w:tcPr>
          <w:p>
            <w:pPr>
              <w:spacing w:after="0"/>
              <w:rPr>
                <w:sz w:val="5"/>
                <w:szCs w:val="5"/>
                <w:color w:val="auto"/>
              </w:rPr>
            </w:pPr>
          </w:p>
        </w:tc>
        <w:tc>
          <w:tcPr>
            <w:tcW w:w="9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980" w:type="dxa"/>
            <w:vAlign w:val="bottom"/>
            <w:vMerge w:val="continue"/>
          </w:tcPr>
          <w:p>
            <w:pPr>
              <w:spacing w:after="0"/>
              <w:rPr>
                <w:sz w:val="12"/>
                <w:szCs w:val="12"/>
                <w:color w:val="auto"/>
              </w:rPr>
            </w:pPr>
          </w:p>
        </w:tc>
        <w:tc>
          <w:tcPr>
            <w:tcW w:w="4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92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98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9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844"/>
        <w:spacing w:after="0"/>
        <w:rPr>
          <w:sz w:val="20"/>
          <w:szCs w:val="20"/>
          <w:color w:val="auto"/>
        </w:rPr>
      </w:pPr>
      <w:r>
        <w:rPr>
          <w:rFonts w:ascii="Times New Roman" w:cs="Times New Roman" w:eastAsia="Times New Roman" w:hAnsi="Times New Roman"/>
          <w:sz w:val="18"/>
          <w:szCs w:val="18"/>
          <w:color w:val="auto"/>
        </w:rPr>
        <w:t>7,165,460 (2)</w:t>
      </w:r>
    </w:p>
    <w:p>
      <w:pPr>
        <w:spacing w:after="0" w:line="36" w:lineRule="exact"/>
        <w:rPr>
          <w:sz w:val="20"/>
          <w:szCs w:val="20"/>
          <w:color w:val="auto"/>
        </w:rPr>
      </w:pPr>
    </w:p>
    <w:p>
      <w:pPr>
        <w:ind w:left="644" w:hanging="487"/>
        <w:spacing w:after="0"/>
        <w:tabs>
          <w:tab w:leader="none" w:pos="644"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7,180,460 (1)(2)</w:t>
      </w:r>
    </w:p>
    <w:p>
      <w:pPr>
        <w:spacing w:after="0" w:line="36"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40"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9.1%(3)</w:t>
      </w:r>
    </w:p>
    <w:p>
      <w:pPr>
        <w:spacing w:after="0" w:line="36" w:lineRule="exact"/>
        <w:rPr>
          <w:rFonts w:ascii="Times New Roman" w:cs="Times New Roman" w:eastAsia="Times New Roman" w:hAnsi="Times New Roman"/>
          <w:sz w:val="18"/>
          <w:szCs w:val="18"/>
          <w:color w:val="auto"/>
        </w:rPr>
      </w:pPr>
    </w:p>
    <w:p>
      <w:pPr>
        <w:ind w:left="644" w:hanging="487"/>
        <w:spacing w:after="0"/>
        <w:tabs>
          <w:tab w:leader="none" w:pos="644"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7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are held directly by Timothy Kutzkey</w:t>
      </w:r>
    </w:p>
    <w:p>
      <w:pPr>
        <w:spacing w:after="0" w:line="27" w:lineRule="exact"/>
        <w:rPr>
          <w:rFonts w:ascii="Times New Roman" w:cs="Times New Roman" w:eastAsia="Times New Roman" w:hAnsi="Times New Roman"/>
          <w:sz w:val="18"/>
          <w:szCs w:val="18"/>
          <w:color w:val="auto"/>
        </w:rPr>
      </w:pPr>
    </w:p>
    <w:p>
      <w:pPr>
        <w:ind w:left="424" w:hanging="424"/>
        <w:spacing w:after="0" w:line="250" w:lineRule="auto"/>
        <w:tabs>
          <w:tab w:leader="none" w:pos="42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Timothy Kutzkey is a managing member of Ponoi LLC, Ponoi II LLC and TCG IV GP LLC, and a managing partner of TCG III GP and may be deemed to share voting and dispositive control over the shares of Common Stock held by Ponoi LP, Ponoi II LP, TCG III LP. TCG III-A LP, TCG IV LP and TCG IV-A LP.</w:t>
      </w:r>
    </w:p>
    <w:p>
      <w:pPr>
        <w:spacing w:after="0" w:line="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79,257,148 shares of Common Stock outstanding as of May 2, 2022, as reported in the Form 10-Q.</w:t>
      </w:r>
    </w:p>
    <w:p>
      <w:pPr>
        <w:sectPr>
          <w:pgSz w:w="11900" w:h="16838" w:orient="portrait"/>
          <w:cols w:equalWidth="0" w:num="1">
            <w:col w:w="10924"/>
          </w:cols>
          <w:pgMar w:left="436" w:top="270" w:right="539" w:bottom="1440" w:gutter="0" w:footer="0" w:header="0"/>
        </w:sectPr>
      </w:pPr>
    </w:p>
    <w:bookmarkStart w:id="20" w:name="page21"/>
    <w:bookmarkEnd w:id="20"/>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13D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Security and Issuer</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Amendment No. 5 supplements and amends the Schedule 13D relating to shares of common stock, par value $0.001 per share (the “Common Stock”), of NGM Biopharmaceuticals, Inc., a Delaware corporation (the “Issuer”), that was filed with the Securities and Exchange Commission (the “SEC”) on April 12, 2019 as it has been amended by Amendment No. 1, Amendment No. 2, Amendment No. 3 and Amendment No. 4 that were filed with the SEC on May 17, 2019, October 18, 2019, April 2, 2020 and February 3, 2022, respectively (collectively, the “Amended Statement”). Only those items that are reported are hereby amended; all other items reported in the Amended Statement remain unchanged. Capitalized terms contained herein but not otherwise defined shall have the meanings ascribed to such terms in the Amended Statement. Information given in response to each item shall be deemed incorporated by reference in all other items as applicable.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 of the Amended Statement is hereby amended to add the following language: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9, 2022, TCG IV LP purchased 80,430 shares of Common Stock for an aggregate purchase price of $868,072.95.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9, 2022, TCG IV-A LP purchased 2,745 shares of Common Stock for an aggregate purchase price of $29,626.51.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10, 2022, TCG IV LP purchased 30,233 shares of Common Stock for an aggregate purchase price of $343,555.72.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10, 2022, TCG IV-A LP purchased 1,032 shares of Common Stock for an aggregate purchase price of $11,727.24.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11, 2022, TCG IV LP purchased 80,430 shares of Common Stock for an aggregate purchase price of $904,483.61.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11, 2022, TCG IV-A LP purchased 2,745 shares of Common Stock for an aggregate purchase price of $30,869.17.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12, 2022, TCG IV LP purchased 80,430 shares of Common Stock for an aggregate purchase price of $934,773.55.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12, 2022, TCG IV-A LP purchased 2,745 shares of Common Stock for an aggregate purchase price of $31,902.94.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13, 2022, TCG IV LP purchased 125,096 shares of Common Stock for an aggregate purchase price of $1,412,333.84.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13, 2022, TCG IV-A LP purchased 4,269 shares of Common Stock for an aggregate purchase price of $48,197.01.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16, 2022, TCG IV LP purchased 32,072 shares of Common Stock for an aggregate purchase price of $413,776.91.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16, 2022, TCG IV-A LP purchased 1,094 shares of Common Stock for an aggregate purchase price of $14,114.24.</w:t>
      </w:r>
    </w:p>
    <w:p>
      <w:pPr>
        <w:sectPr>
          <w:pgSz w:w="11900" w:h="16838" w:orient="portrait"/>
          <w:cols w:equalWidth="0" w:num="1">
            <w:col w:w="10880"/>
          </w:cols>
          <w:pgMar w:left="440" w:top="266" w:right="5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May 17, 2022, TCG IV LP purchased 86,110 shares of Common Stock for an aggregate purchase price of $1,155,346.48.</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17, 2022, TCG IV-A LP purchased 2,939 shares of Common Stock for an aggregate purchase price of $39,432.86.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18, 2022, TCG IV LP purchased 60,583 shares of Common Stock for an aggregate purchase price of $799,931.87.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18, 2022, TCG IV-A LP purchased 2,067 shares of Common Stock for an aggregate purchase price of $27,292.46.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19, 2022, TCG IV LP purchased 19,984 shares of Common Stock for an aggregate purchase price of $264,881.92.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19, 2022, TCG IV-A LP purchased 682 shares of Common Stock for an aggregate purchase price of $9,039.71.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20, 2022, TCG IV LP purchased 18,406 shares of Common Stock for an aggregate purchase price of $248,068.71.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20, 2022, TCG IV-A LP purchased 628 shares of Common Stock for an aggregate purchase price of $8,463.93.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24, 2022, TCG IV LP purchased 17,240 shares of Common Stock for an aggregate purchase price of $230,464.32.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24, 2022, TCG IV-A LP purchased 588 shares of Common Stock for an aggregate purchase price of $7,860.38.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25, 2022, TCG IV LP purchased 41,863 shares of Common Stock for an aggregate purchase price of $562,425.22.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25, 2022, TCG IV-A LP purchased 1,429 shares of Common Stock for an aggregate purchase price of $19,198.47.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26, 2022, TCG IV LP purchased 19,534 shares of Common Stock for an aggregate purchase price of $263,582.03.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26, 2022, TCG IV-A LP purchased 667 shares of Common Stock for an aggregate purchase price of $9,000.16.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27, 2022, TCG IV LP purchased 2,621 shares of Common Stock for an aggregate purchase price of $35,255.86.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27, 2022, TCG IV-A LP purchased 89 shares of Common Stock for an aggregate purchase price of $1,197.17.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31, 2022, TCG IV LP purchased 59,766 shares of Common Stock for an aggregate purchase price of $804,797.00.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31, 2022, TCG IV-A LP purchased 2,040 shares of Common Stock for an aggregate purchase price of $27,470.23.</w:t>
      </w:r>
    </w:p>
    <w:p>
      <w:pPr>
        <w:sectPr>
          <w:pgSz w:w="11900" w:h="16838" w:orient="portrait"/>
          <w:cols w:equalWidth="0" w:num="1">
            <w:col w:w="10019"/>
          </w:cols>
          <w:pgMar w:left="440" w:top="270"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June 1, 2022, TCG IV LP purchased 88,964 shares of Common Stock for an aggregate purchase price of $1,196,565.80.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1, 2022, TCG IV-A LP purchased 3,036 shares of Common Stock for an aggregate purchase price of $40,834.20.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2, 2022, TCG IV LP purchased 33,071 shares of Common Stock for an aggregate purchase price of $431,024.26.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2, 2022, TCG IV-A LP purchased 1,129 shares of Common Stock for an aggregate purchase price of $14,714.60.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9, 2022, TCG IV LP purchased 951,684 shares of Common Stock for an aggregate purchase price of $12,847,734.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9, 2022, TCG IV-A LP purchased 32,477 shares of Common Stock for an aggregate purchase price of $438,439.50.</w:t>
      </w:r>
    </w:p>
    <w:p>
      <w:pPr>
        <w:spacing w:after="0" w:line="22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TCG IV LP and TCG IV-A LP received the funds used to purchase each entity’s respective shares of Common Stock noted above from capital contributions made to each entity by their respective partners for investment purposes.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 5(a), (b) and (c) of the Amended Statement are hereby amended and restated in their entirety as follows: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and (b) See Items 7-11 of the cover pages of this Statement and Item 2 above.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 Except as reported in this Statement, none of the Reporting Persons has effected any transactions in the Issuer’s securities within the past 60 days.</w:t>
      </w:r>
    </w:p>
    <w:p>
      <w:pPr>
        <w:sectPr>
          <w:pgSz w:w="11900" w:h="16838" w:orient="portrait"/>
          <w:cols w:equalWidth="0" w:num="1">
            <w:col w:w="10740"/>
          </w:cols>
          <w:pgMar w:left="440" w:top="270" w:right="71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10, 2022</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THE COLUMN GROUP, LP</w:t>
            </w:r>
          </w:p>
        </w:tc>
        <w:tc>
          <w:tcPr>
            <w:tcW w:w="586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THE COLUMN GROUP GP, LP</w:t>
            </w:r>
          </w:p>
        </w:tc>
      </w:tr>
      <w:tr>
        <w:trPr>
          <w:trHeight w:val="432"/>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The Column Group GP, LP</w:t>
            </w:r>
          </w:p>
        </w:tc>
        <w:tc>
          <w:tcPr>
            <w:tcW w:w="112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432"/>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Evangelista, Attorney-in-Fact</w:t>
            </w:r>
          </w:p>
        </w:tc>
        <w:tc>
          <w:tcPr>
            <w:tcW w:w="11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Evangelista, Attorney-in-Fact</w:t>
            </w:r>
          </w:p>
        </w:tc>
      </w:tr>
      <w:tr>
        <w:trPr>
          <w:trHeight w:val="439"/>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THE COLUMN GROUP II, LP</w:t>
            </w:r>
          </w:p>
        </w:tc>
        <w:tc>
          <w:tcPr>
            <w:tcW w:w="586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THE COLUMN GROUP II GP, LP</w:t>
            </w:r>
          </w:p>
        </w:tc>
      </w:tr>
      <w:tr>
        <w:trPr>
          <w:trHeight w:val="432"/>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The Column Group II GP, LP</w:t>
            </w:r>
          </w:p>
        </w:tc>
        <w:tc>
          <w:tcPr>
            <w:tcW w:w="11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Evangelista, Attorney-in-Fact</w:t>
            </w:r>
          </w:p>
        </w:tc>
      </w:tr>
      <w:tr>
        <w:trPr>
          <w:trHeight w:val="439"/>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James Evangelista, Attorney-in-Fact</w:t>
            </w:r>
          </w:p>
        </w:tc>
        <w:tc>
          <w:tcPr>
            <w:tcW w:w="112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20"/>
        </w:trPr>
        <w:tc>
          <w:tcPr>
            <w:tcW w:w="420" w:type="dxa"/>
            <w:vAlign w:val="bottom"/>
          </w:tcPr>
          <w:p>
            <w:pPr>
              <w:spacing w:after="0" w:line="20" w:lineRule="exact"/>
              <w:rPr>
                <w:sz w:val="1"/>
                <w:szCs w:val="1"/>
                <w:color w:val="auto"/>
              </w:rPr>
            </w:pPr>
          </w:p>
        </w:tc>
        <w:tc>
          <w:tcPr>
            <w:tcW w:w="4740" w:type="dxa"/>
            <w:vAlign w:val="bottom"/>
            <w:shd w:val="clear" w:color="auto" w:fill="000000"/>
          </w:tcPr>
          <w:p>
            <w:pPr>
              <w:spacing w:after="0" w:line="20" w:lineRule="exact"/>
              <w:rPr>
                <w:sz w:val="1"/>
                <w:szCs w:val="1"/>
                <w:color w:val="auto"/>
              </w:rPr>
            </w:pPr>
          </w:p>
        </w:tc>
        <w:tc>
          <w:tcPr>
            <w:tcW w:w="5860" w:type="dxa"/>
            <w:vAlign w:val="bottom"/>
            <w:gridSpan w:val="2"/>
          </w:tcPr>
          <w:p>
            <w:pPr>
              <w:spacing w:after="0" w:line="20" w:lineRule="exact"/>
              <w:rPr>
                <w:sz w:val="1"/>
                <w:szCs w:val="1"/>
                <w:color w:val="auto"/>
              </w:rPr>
            </w:pPr>
          </w:p>
        </w:tc>
      </w:tr>
      <w:tr>
        <w:trPr>
          <w:trHeight w:val="439"/>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PONOI CAPITAL, LP</w:t>
            </w:r>
          </w:p>
        </w:tc>
        <w:tc>
          <w:tcPr>
            <w:tcW w:w="586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PONOI MANAGEMENT, LLC</w:t>
            </w:r>
          </w:p>
        </w:tc>
      </w:tr>
      <w:tr>
        <w:trPr>
          <w:trHeight w:val="432"/>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Ponoi Management, LLC</w:t>
            </w:r>
          </w:p>
        </w:tc>
        <w:tc>
          <w:tcPr>
            <w:tcW w:w="11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Evangelista, Attorney-in-Fact</w:t>
            </w:r>
          </w:p>
        </w:tc>
      </w:tr>
      <w:tr>
        <w:trPr>
          <w:trHeight w:val="439"/>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James Evangelista, Attorney-in-Fact</w:t>
            </w:r>
          </w:p>
        </w:tc>
        <w:tc>
          <w:tcPr>
            <w:tcW w:w="112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20"/>
        </w:trPr>
        <w:tc>
          <w:tcPr>
            <w:tcW w:w="420" w:type="dxa"/>
            <w:vAlign w:val="bottom"/>
          </w:tcPr>
          <w:p>
            <w:pPr>
              <w:spacing w:after="0" w:line="20" w:lineRule="exact"/>
              <w:rPr>
                <w:sz w:val="1"/>
                <w:szCs w:val="1"/>
                <w:color w:val="auto"/>
              </w:rPr>
            </w:pPr>
          </w:p>
        </w:tc>
        <w:tc>
          <w:tcPr>
            <w:tcW w:w="4740" w:type="dxa"/>
            <w:vAlign w:val="bottom"/>
            <w:shd w:val="clear" w:color="auto" w:fill="000000"/>
          </w:tcPr>
          <w:p>
            <w:pPr>
              <w:spacing w:after="0" w:line="20" w:lineRule="exact"/>
              <w:rPr>
                <w:sz w:val="1"/>
                <w:szCs w:val="1"/>
                <w:color w:val="auto"/>
              </w:rPr>
            </w:pPr>
          </w:p>
        </w:tc>
        <w:tc>
          <w:tcPr>
            <w:tcW w:w="5860" w:type="dxa"/>
            <w:vAlign w:val="bottom"/>
            <w:gridSpan w:val="2"/>
          </w:tcPr>
          <w:p>
            <w:pPr>
              <w:spacing w:after="0" w:line="20" w:lineRule="exact"/>
              <w:rPr>
                <w:sz w:val="1"/>
                <w:szCs w:val="1"/>
                <w:color w:val="auto"/>
              </w:rPr>
            </w:pPr>
          </w:p>
        </w:tc>
      </w:tr>
      <w:tr>
        <w:trPr>
          <w:trHeight w:val="439"/>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PONOI CAPITAL II, LP</w:t>
            </w:r>
          </w:p>
        </w:tc>
        <w:tc>
          <w:tcPr>
            <w:tcW w:w="586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PONOI II MANAGEMENT, LLC</w:t>
            </w:r>
          </w:p>
        </w:tc>
      </w:tr>
      <w:tr>
        <w:trPr>
          <w:trHeight w:val="432"/>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Ponoi II Management, LLC</w:t>
            </w:r>
          </w:p>
        </w:tc>
        <w:tc>
          <w:tcPr>
            <w:tcW w:w="11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Evangelista, Attorney-in-Fact</w:t>
            </w:r>
          </w:p>
        </w:tc>
      </w:tr>
      <w:tr>
        <w:trPr>
          <w:trHeight w:val="439"/>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James Evangelista, Attorney-in-Fact</w:t>
            </w:r>
          </w:p>
        </w:tc>
        <w:tc>
          <w:tcPr>
            <w:tcW w:w="112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20"/>
        </w:trPr>
        <w:tc>
          <w:tcPr>
            <w:tcW w:w="420" w:type="dxa"/>
            <w:vAlign w:val="bottom"/>
          </w:tcPr>
          <w:p>
            <w:pPr>
              <w:spacing w:after="0" w:line="20" w:lineRule="exact"/>
              <w:rPr>
                <w:sz w:val="1"/>
                <w:szCs w:val="1"/>
                <w:color w:val="auto"/>
              </w:rPr>
            </w:pPr>
          </w:p>
        </w:tc>
        <w:tc>
          <w:tcPr>
            <w:tcW w:w="4740" w:type="dxa"/>
            <w:vAlign w:val="bottom"/>
            <w:shd w:val="clear" w:color="auto" w:fill="000000"/>
          </w:tcPr>
          <w:p>
            <w:pPr>
              <w:spacing w:after="0" w:line="20" w:lineRule="exact"/>
              <w:rPr>
                <w:sz w:val="1"/>
                <w:szCs w:val="1"/>
                <w:color w:val="auto"/>
              </w:rPr>
            </w:pPr>
          </w:p>
        </w:tc>
        <w:tc>
          <w:tcPr>
            <w:tcW w:w="5860" w:type="dxa"/>
            <w:vAlign w:val="bottom"/>
            <w:gridSpan w:val="2"/>
          </w:tcPr>
          <w:p>
            <w:pPr>
              <w:spacing w:after="0" w:line="20" w:lineRule="exact"/>
              <w:rPr>
                <w:sz w:val="1"/>
                <w:szCs w:val="1"/>
                <w:color w:val="auto"/>
              </w:rPr>
            </w:pPr>
          </w:p>
        </w:tc>
      </w:tr>
      <w:tr>
        <w:trPr>
          <w:trHeight w:val="439"/>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THE COLUMN GROUP MANAGEMENT, LP</w:t>
            </w:r>
          </w:p>
        </w:tc>
        <w:tc>
          <w:tcPr>
            <w:tcW w:w="586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THE COLUMN GROUP III GP, LP</w:t>
            </w:r>
          </w:p>
        </w:tc>
      </w:tr>
      <w:tr>
        <w:trPr>
          <w:trHeight w:val="432"/>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Evangelista, Attorney-in-Fact</w:t>
            </w:r>
          </w:p>
        </w:tc>
        <w:tc>
          <w:tcPr>
            <w:tcW w:w="11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Evangelista, Attorney-in-Fact</w:t>
            </w:r>
          </w:p>
        </w:tc>
      </w:tr>
      <w:tr>
        <w:trPr>
          <w:trHeight w:val="439"/>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THE COLUMN GROUP III, LP</w:t>
            </w:r>
          </w:p>
        </w:tc>
        <w:tc>
          <w:tcPr>
            <w:tcW w:w="586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THE COLUMN GROUP III-A, LP</w:t>
            </w:r>
          </w:p>
        </w:tc>
      </w:tr>
      <w:tr>
        <w:trPr>
          <w:trHeight w:val="432"/>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The Column Group III GP, LP</w:t>
            </w:r>
          </w:p>
        </w:tc>
        <w:tc>
          <w:tcPr>
            <w:tcW w:w="11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The Column Group III GP, LP</w:t>
            </w:r>
          </w:p>
        </w:tc>
      </w:tr>
      <w:tr>
        <w:trPr>
          <w:trHeight w:val="439"/>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Evangelista, Attorney-in-Fact</w:t>
            </w:r>
          </w:p>
        </w:tc>
        <w:tc>
          <w:tcPr>
            <w:tcW w:w="11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Evangelista, Attorney-in-Fact</w:t>
            </w:r>
          </w:p>
        </w:tc>
      </w:tr>
      <w:tr>
        <w:trPr>
          <w:trHeight w:val="421"/>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 James Evangelista, Attorney-in-Fact on behalf of Peter</w:t>
            </w:r>
          </w:p>
        </w:tc>
        <w:tc>
          <w:tcPr>
            <w:tcW w:w="11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 James Evangelista, Attorney-in-Fact on behalf of Tim</w:t>
            </w:r>
          </w:p>
        </w:tc>
      </w:tr>
      <w:tr>
        <w:trPr>
          <w:trHeight w:val="234"/>
        </w:trPr>
        <w:tc>
          <w:tcPr>
            <w:tcW w:w="420" w:type="dxa"/>
            <w:vAlign w:val="bottom"/>
          </w:tcPr>
          <w:p>
            <w:pPr>
              <w:spacing w:after="0"/>
              <w:rPr>
                <w:sz w:val="20"/>
                <w:szCs w:val="20"/>
                <w:color w:val="auto"/>
              </w:rPr>
            </w:pP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Svennilson</w:t>
            </w:r>
          </w:p>
        </w:tc>
        <w:tc>
          <w:tcPr>
            <w:tcW w:w="1120" w:type="dxa"/>
            <w:vAlign w:val="bottom"/>
          </w:tcPr>
          <w:p>
            <w:pPr>
              <w:spacing w:after="0"/>
              <w:rPr>
                <w:sz w:val="20"/>
                <w:szCs w:val="20"/>
                <w:color w:val="auto"/>
              </w:rPr>
            </w:pP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Kutzkey</w:t>
            </w:r>
          </w:p>
        </w:tc>
      </w:tr>
    </w:tbl>
    <w:p>
      <w:pPr>
        <w:spacing w:after="0" w:line="21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James Evangelista, Attorney-in-Fact on behalf of David V.</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Goeddel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5715</wp:posOffset>
            </wp:positionV>
            <wp:extent cx="30003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COLUMN GROUP IV, LP</w:t>
      </w:r>
    </w:p>
    <w:p>
      <w:pPr>
        <w:spacing w:after="0" w:line="22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The Column Group IV GP, LP</w:t>
      </w:r>
    </w:p>
    <w:p>
      <w:pPr>
        <w:spacing w:after="0" w:line="22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TCG IV GP, LLC</w:t>
      </w:r>
    </w:p>
    <w:p>
      <w:pPr>
        <w:sectPr>
          <w:pgSz w:w="11900" w:h="16838" w:orient="portrait"/>
          <w:cols w:equalWidth="0" w:num="1">
            <w:col w:w="11020"/>
          </w:cols>
          <w:pgMar w:left="440" w:top="266"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 /s/ James Evangelista,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COLUMN GROUP IV-A, 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Column Group IV GP,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TCG IV GP,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James Evangelista,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COLUMN GROUP IV GP, 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TCG IV GP,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James Evangelista,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TCG IV GP,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James Evangelista,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sectPr>
      <w:pgSz w:w="11900" w:h="16838" w:orient="portrait"/>
      <w:cols w:equalWidth="0" w:num="1">
        <w:col w:w="10019"/>
      </w:cols>
      <w:pgMar w:left="440" w:top="48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1."/>
      <w:numFmt w:val="decimal"/>
      <w:start w:val="1"/>
    </w:lvl>
  </w:abstractNum>
  <w:abstractNum w:abstractNumId="2">
    <w:nsid w:val="153EA438"/>
    <w:multiLevelType w:val="hybridMultilevel"/>
    <w:lvl w:ilvl="0">
      <w:lvlJc w:val="left"/>
      <w:lvlText w:val="%1."/>
      <w:numFmt w:val="decimal"/>
      <w:start w:val="3"/>
    </w:lvl>
    <w:lvl w:ilvl="1">
      <w:lvlJc w:val="left"/>
      <w:lvlText w:val="%2."/>
      <w:numFmt w:val="decimal"/>
      <w:start w:val="7"/>
    </w:lvl>
  </w:abstractNum>
  <w:abstractNum w:abstractNumId="3">
    <w:nsid w:val="3855585C"/>
    <w:multiLevelType w:val="hybridMultilevel"/>
    <w:lvl w:ilvl="0">
      <w:lvlJc w:val="left"/>
      <w:lvlText w:val="%1"/>
      <w:numFmt w:val="decimal"/>
      <w:start w:val="1"/>
    </w:lvl>
    <w:lvl w:ilvl="1">
      <w:lvlJc w:val="left"/>
      <w:lvlText w:val="%2."/>
      <w:numFmt w:val="decimal"/>
      <w:start w:val="11"/>
    </w:lvl>
  </w:abstractNum>
  <w:abstractNum w:abstractNumId="4">
    <w:nsid w:val="70A64E2A"/>
    <w:multiLevelType w:val="hybridMultilevel"/>
    <w:lvl w:ilvl="0">
      <w:lvlJc w:val="left"/>
      <w:lvlText w:val="(%1)"/>
      <w:numFmt w:val="decimal"/>
      <w:start w:val="1"/>
    </w:lvl>
    <w:lvl w:ilvl="1">
      <w:lvlJc w:val="left"/>
      <w:lvlText w:val="%2"/>
      <w:numFmt w:val="decimal"/>
      <w:start w:val="1"/>
    </w:lvl>
  </w:abstractNum>
  <w:abstractNum w:abstractNumId="5">
    <w:nsid w:val="6A2342EC"/>
    <w:multiLevelType w:val="hybridMultilevel"/>
    <w:lvl w:ilvl="0">
      <w:lvlJc w:val="left"/>
      <w:lvlText w:val="%1."/>
      <w:numFmt w:val="decimal"/>
      <w:start w:val="1"/>
    </w:lvl>
  </w:abstractNum>
  <w:abstractNum w:abstractNumId="6">
    <w:nsid w:val="2A487CB0"/>
    <w:multiLevelType w:val="hybridMultilevel"/>
    <w:lvl w:ilvl="0">
      <w:lvlJc w:val="left"/>
      <w:lvlText w:val="%1."/>
      <w:numFmt w:val="decimal"/>
      <w:start w:val="3"/>
    </w:lvl>
    <w:lvl w:ilvl="1">
      <w:lvlJc w:val="left"/>
      <w:lvlText w:val="%2."/>
      <w:numFmt w:val="decimal"/>
      <w:start w:val="7"/>
    </w:lvl>
  </w:abstractNum>
  <w:abstractNum w:abstractNumId="7">
    <w:nsid w:val="1D4ED43B"/>
    <w:multiLevelType w:val="hybridMultilevel"/>
    <w:lvl w:ilvl="0">
      <w:lvlJc w:val="left"/>
      <w:lvlText w:val="%1"/>
      <w:numFmt w:val="decimal"/>
      <w:start w:val="1"/>
    </w:lvl>
    <w:lvl w:ilvl="1">
      <w:lvlJc w:val="left"/>
      <w:lvlText w:val="%2."/>
      <w:numFmt w:val="decimal"/>
      <w:start w:val="11"/>
    </w:lvl>
  </w:abstractNum>
  <w:abstractNum w:abstractNumId="8">
    <w:nsid w:val="725A06FB"/>
    <w:multiLevelType w:val="hybridMultilevel"/>
    <w:lvl w:ilvl="0">
      <w:lvlJc w:val="left"/>
      <w:lvlText w:val="(%1)"/>
      <w:numFmt w:val="decimal"/>
      <w:start w:val="1"/>
    </w:lvl>
    <w:lvl w:ilvl="1">
      <w:lvlJc w:val="left"/>
      <w:lvlText w:val="%2"/>
      <w:numFmt w:val="decimal"/>
      <w:start w:val="1"/>
    </w:lvl>
  </w:abstractNum>
  <w:abstractNum w:abstractNumId="9">
    <w:nsid w:val="2CD89A32"/>
    <w:multiLevelType w:val="hybridMultilevel"/>
    <w:lvl w:ilvl="0">
      <w:lvlJc w:val="left"/>
      <w:lvlText w:val="%1."/>
      <w:numFmt w:val="decimal"/>
      <w:start w:val="1"/>
    </w:lvl>
  </w:abstractNum>
  <w:abstractNum w:abstractNumId="10">
    <w:nsid w:val="57E4CCAF"/>
    <w:multiLevelType w:val="hybridMultilevel"/>
    <w:lvl w:ilvl="0">
      <w:lvlJc w:val="left"/>
      <w:lvlText w:val="%1."/>
      <w:numFmt w:val="decimal"/>
      <w:start w:val="3"/>
    </w:lvl>
    <w:lvl w:ilvl="1">
      <w:lvlJc w:val="left"/>
      <w:lvlText w:val="%2."/>
      <w:numFmt w:val="decimal"/>
      <w:start w:val="7"/>
    </w:lvl>
  </w:abstractNum>
  <w:abstractNum w:abstractNumId="11">
    <w:nsid w:val="7A6D8D3C"/>
    <w:multiLevelType w:val="hybridMultilevel"/>
    <w:lvl w:ilvl="0">
      <w:lvlJc w:val="left"/>
      <w:lvlText w:val="%1"/>
      <w:numFmt w:val="decimal"/>
      <w:start w:val="1"/>
    </w:lvl>
    <w:lvl w:ilvl="1">
      <w:lvlJc w:val="left"/>
      <w:lvlText w:val="%2."/>
      <w:numFmt w:val="decimal"/>
      <w:start w:val="11"/>
    </w:lvl>
  </w:abstractNum>
  <w:abstractNum w:abstractNumId="12">
    <w:nsid w:val="4B588F54"/>
    <w:multiLevelType w:val="hybridMultilevel"/>
    <w:lvl w:ilvl="0">
      <w:lvlJc w:val="left"/>
      <w:lvlText w:val="(%1)"/>
      <w:numFmt w:val="decimal"/>
      <w:start w:val="1"/>
    </w:lvl>
    <w:lvl w:ilvl="1">
      <w:lvlJc w:val="left"/>
      <w:lvlText w:val="%2"/>
      <w:numFmt w:val="decimal"/>
      <w:start w:val="1"/>
    </w:lvl>
  </w:abstractNum>
  <w:abstractNum w:abstractNumId="13">
    <w:nsid w:val="542289EC"/>
    <w:multiLevelType w:val="hybridMultilevel"/>
    <w:lvl w:ilvl="0">
      <w:lvlJc w:val="left"/>
      <w:lvlText w:val="%1."/>
      <w:numFmt w:val="decimal"/>
      <w:start w:val="1"/>
    </w:lvl>
  </w:abstractNum>
  <w:abstractNum w:abstractNumId="14">
    <w:nsid w:val="6DE91B18"/>
    <w:multiLevelType w:val="hybridMultilevel"/>
    <w:lvl w:ilvl="0">
      <w:lvlJc w:val="left"/>
      <w:lvlText w:val="%1."/>
      <w:numFmt w:val="decimal"/>
      <w:start w:val="3"/>
    </w:lvl>
    <w:lvl w:ilvl="1">
      <w:lvlJc w:val="left"/>
      <w:lvlText w:val="%2."/>
      <w:numFmt w:val="decimal"/>
      <w:start w:val="7"/>
    </w:lvl>
  </w:abstractNum>
  <w:abstractNum w:abstractNumId="15">
    <w:nsid w:val="38437FDB"/>
    <w:multiLevelType w:val="hybridMultilevel"/>
    <w:lvl w:ilvl="0">
      <w:lvlJc w:val="left"/>
      <w:lvlText w:val="%1"/>
      <w:numFmt w:val="decimal"/>
      <w:start w:val="1"/>
    </w:lvl>
    <w:lvl w:ilvl="1">
      <w:lvlJc w:val="left"/>
      <w:lvlText w:val="%2."/>
      <w:numFmt w:val="decimal"/>
      <w:start w:val="11"/>
    </w:lvl>
  </w:abstractNum>
  <w:abstractNum w:abstractNumId="16">
    <w:nsid w:val="7644A45C"/>
    <w:multiLevelType w:val="hybridMultilevel"/>
    <w:lvl w:ilvl="0">
      <w:lvlJc w:val="left"/>
      <w:lvlText w:val="(%1)"/>
      <w:numFmt w:val="decimal"/>
      <w:start w:val="1"/>
    </w:lvl>
    <w:lvl w:ilvl="1">
      <w:lvlJc w:val="left"/>
      <w:lvlText w:val="%2"/>
      <w:numFmt w:val="decimal"/>
      <w:start w:val="1"/>
    </w:lvl>
  </w:abstractNum>
  <w:abstractNum w:abstractNumId="17">
    <w:nsid w:val="32FFF902"/>
    <w:multiLevelType w:val="hybridMultilevel"/>
    <w:lvl w:ilvl="0">
      <w:lvlJc w:val="left"/>
      <w:lvlText w:val="%1."/>
      <w:numFmt w:val="decimal"/>
      <w:start w:val="1"/>
    </w:lvl>
  </w:abstractNum>
  <w:abstractNum w:abstractNumId="18">
    <w:nsid w:val="684A481A"/>
    <w:multiLevelType w:val="hybridMultilevel"/>
    <w:lvl w:ilvl="0">
      <w:lvlJc w:val="left"/>
      <w:lvlText w:val="%1."/>
      <w:numFmt w:val="decimal"/>
      <w:start w:val="3"/>
    </w:lvl>
    <w:lvl w:ilvl="1">
      <w:lvlJc w:val="left"/>
      <w:lvlText w:val="%2."/>
      <w:numFmt w:val="decimal"/>
      <w:start w:val="7"/>
    </w:lvl>
  </w:abstractNum>
  <w:abstractNum w:abstractNumId="19">
    <w:nsid w:val="579478FE"/>
    <w:multiLevelType w:val="hybridMultilevel"/>
    <w:lvl w:ilvl="0">
      <w:lvlJc w:val="left"/>
      <w:lvlText w:val="%1"/>
      <w:numFmt w:val="decimal"/>
      <w:start w:val="1"/>
    </w:lvl>
    <w:lvl w:ilvl="1">
      <w:lvlJc w:val="left"/>
      <w:lvlText w:val="%2."/>
      <w:numFmt w:val="decimal"/>
      <w:start w:val="11"/>
    </w:lvl>
  </w:abstractNum>
  <w:abstractNum w:abstractNumId="20">
    <w:nsid w:val="749ABB43"/>
    <w:multiLevelType w:val="hybridMultilevel"/>
    <w:lvl w:ilvl="0">
      <w:lvlJc w:val="left"/>
      <w:lvlText w:val="(%1)"/>
      <w:numFmt w:val="decimal"/>
      <w:start w:val="1"/>
    </w:lvl>
    <w:lvl w:ilvl="1">
      <w:lvlJc w:val="left"/>
      <w:lvlText w:val="%2"/>
      <w:numFmt w:val="decimal"/>
      <w:start w:val="1"/>
    </w:lvl>
  </w:abstractNum>
  <w:abstractNum w:abstractNumId="21">
    <w:nsid w:val="3DC240FB"/>
    <w:multiLevelType w:val="hybridMultilevel"/>
    <w:lvl w:ilvl="0">
      <w:lvlJc w:val="left"/>
      <w:lvlText w:val="%1."/>
      <w:numFmt w:val="decimal"/>
      <w:start w:val="1"/>
    </w:lvl>
  </w:abstractNum>
  <w:abstractNum w:abstractNumId="22">
    <w:nsid w:val="1BA026FA"/>
    <w:multiLevelType w:val="hybridMultilevel"/>
    <w:lvl w:ilvl="0">
      <w:lvlJc w:val="left"/>
      <w:lvlText w:val="%1."/>
      <w:numFmt w:val="decimal"/>
      <w:start w:val="3"/>
    </w:lvl>
    <w:lvl w:ilvl="1">
      <w:lvlJc w:val="left"/>
      <w:lvlText w:val="%2."/>
      <w:numFmt w:val="decimal"/>
      <w:start w:val="7"/>
    </w:lvl>
  </w:abstractNum>
  <w:abstractNum w:abstractNumId="23">
    <w:nsid w:val="79A1DEAA"/>
    <w:multiLevelType w:val="hybridMultilevel"/>
    <w:lvl w:ilvl="0">
      <w:lvlJc w:val="left"/>
      <w:lvlText w:val="%1"/>
      <w:numFmt w:val="decimal"/>
      <w:start w:val="1"/>
    </w:lvl>
    <w:lvl w:ilvl="1">
      <w:lvlJc w:val="left"/>
      <w:lvlText w:val="%2."/>
      <w:numFmt w:val="decimal"/>
      <w:start w:val="11"/>
    </w:lvl>
  </w:abstractNum>
  <w:abstractNum w:abstractNumId="24">
    <w:nsid w:val="75C6C33A"/>
    <w:multiLevelType w:val="hybridMultilevel"/>
    <w:lvl w:ilvl="0">
      <w:lvlJc w:val="left"/>
      <w:lvlText w:val="(%1)"/>
      <w:numFmt w:val="decimal"/>
      <w:start w:val="1"/>
    </w:lvl>
    <w:lvl w:ilvl="1">
      <w:lvlJc w:val="left"/>
      <w:lvlText w:val="%2"/>
      <w:numFmt w:val="decimal"/>
      <w:start w:val="1"/>
    </w:lvl>
  </w:abstractNum>
  <w:abstractNum w:abstractNumId="25">
    <w:nsid w:val="12E685FB"/>
    <w:multiLevelType w:val="hybridMultilevel"/>
    <w:lvl w:ilvl="0">
      <w:lvlJc w:val="left"/>
      <w:lvlText w:val="%1."/>
      <w:numFmt w:val="decimal"/>
      <w:start w:val="1"/>
    </w:lvl>
  </w:abstractNum>
  <w:abstractNum w:abstractNumId="26">
    <w:nsid w:val="70C6A529"/>
    <w:multiLevelType w:val="hybridMultilevel"/>
    <w:lvl w:ilvl="0">
      <w:lvlJc w:val="left"/>
      <w:lvlText w:val="%1."/>
      <w:numFmt w:val="decimal"/>
      <w:start w:val="3"/>
    </w:lvl>
    <w:lvl w:ilvl="1">
      <w:lvlJc w:val="left"/>
      <w:lvlText w:val="%2."/>
      <w:numFmt w:val="decimal"/>
      <w:start w:val="7"/>
    </w:lvl>
  </w:abstractNum>
  <w:abstractNum w:abstractNumId="27">
    <w:nsid w:val="520EEDD1"/>
    <w:multiLevelType w:val="hybridMultilevel"/>
    <w:lvl w:ilvl="0">
      <w:lvlJc w:val="left"/>
      <w:lvlText w:val="%1"/>
      <w:numFmt w:val="decimal"/>
      <w:start w:val="1"/>
    </w:lvl>
    <w:lvl w:ilvl="1">
      <w:lvlJc w:val="left"/>
      <w:lvlText w:val="%2."/>
      <w:numFmt w:val="decimal"/>
      <w:start w:val="11"/>
    </w:lvl>
  </w:abstractNum>
  <w:abstractNum w:abstractNumId="28">
    <w:nsid w:val="374A3FE6"/>
    <w:multiLevelType w:val="hybridMultilevel"/>
    <w:lvl w:ilvl="0">
      <w:lvlJc w:val="left"/>
      <w:lvlText w:val="(%1)"/>
      <w:numFmt w:val="decimal"/>
      <w:start w:val="1"/>
    </w:lvl>
    <w:lvl w:ilvl="1">
      <w:lvlJc w:val="left"/>
      <w:lvlText w:val="%2"/>
      <w:numFmt w:val="decimal"/>
      <w:start w:val="1"/>
    </w:lvl>
  </w:abstractNum>
  <w:abstractNum w:abstractNumId="29">
    <w:nsid w:val="4F4EF005"/>
    <w:multiLevelType w:val="hybridMultilevel"/>
    <w:lvl w:ilvl="0">
      <w:lvlJc w:val="left"/>
      <w:lvlText w:val="%1."/>
      <w:numFmt w:val="decimal"/>
      <w:start w:val="1"/>
    </w:lvl>
  </w:abstractNum>
  <w:abstractNum w:abstractNumId="30">
    <w:nsid w:val="23F9C13C"/>
    <w:multiLevelType w:val="hybridMultilevel"/>
    <w:lvl w:ilvl="0">
      <w:lvlJc w:val="left"/>
      <w:lvlText w:val="%1."/>
      <w:numFmt w:val="decimal"/>
      <w:start w:val="3"/>
    </w:lvl>
    <w:lvl w:ilvl="1">
      <w:lvlJc w:val="left"/>
      <w:lvlText w:val="%2."/>
      <w:numFmt w:val="decimal"/>
      <w:start w:val="7"/>
    </w:lvl>
  </w:abstractNum>
  <w:abstractNum w:abstractNumId="31">
    <w:nsid w:val="649BB77C"/>
    <w:multiLevelType w:val="hybridMultilevel"/>
    <w:lvl w:ilvl="0">
      <w:lvlJc w:val="left"/>
      <w:lvlText w:val="%1"/>
      <w:numFmt w:val="decimal"/>
      <w:start w:val="1"/>
    </w:lvl>
    <w:lvl w:ilvl="1">
      <w:lvlJc w:val="left"/>
      <w:lvlText w:val="%2."/>
      <w:numFmt w:val="decimal"/>
      <w:start w:val="11"/>
    </w:lvl>
  </w:abstractNum>
  <w:abstractNum w:abstractNumId="32">
    <w:nsid w:val="275AC794"/>
    <w:multiLevelType w:val="hybridMultilevel"/>
    <w:lvl w:ilvl="0">
      <w:lvlJc w:val="left"/>
      <w:lvlText w:val="(%1)"/>
      <w:numFmt w:val="decimal"/>
      <w:start w:val="1"/>
    </w:lvl>
    <w:lvl w:ilvl="1">
      <w:lvlJc w:val="left"/>
      <w:lvlText w:val="%2"/>
      <w:numFmt w:val="decimal"/>
      <w:start w:val="1"/>
    </w:lvl>
  </w:abstractNum>
  <w:abstractNum w:abstractNumId="33">
    <w:nsid w:val="39386575"/>
    <w:multiLevelType w:val="hybridMultilevel"/>
    <w:lvl w:ilvl="0">
      <w:lvlJc w:val="left"/>
      <w:lvlText w:val="%1."/>
      <w:numFmt w:val="decimal"/>
      <w:start w:val="1"/>
    </w:lvl>
  </w:abstractNum>
  <w:abstractNum w:abstractNumId="34">
    <w:nsid w:val="1CF10FD8"/>
    <w:multiLevelType w:val="hybridMultilevel"/>
    <w:lvl w:ilvl="0">
      <w:lvlJc w:val="left"/>
      <w:lvlText w:val="%1."/>
      <w:numFmt w:val="decimal"/>
      <w:start w:val="2"/>
    </w:lvl>
  </w:abstractNum>
  <w:abstractNum w:abstractNumId="35">
    <w:nsid w:val="180115BE"/>
    <w:multiLevelType w:val="hybridMultilevel"/>
    <w:lvl w:ilvl="0">
      <w:lvlJc w:val="left"/>
      <w:lvlText w:val="%1."/>
      <w:numFmt w:val="decimal"/>
      <w:start w:val="3"/>
    </w:lvl>
  </w:abstractNum>
  <w:abstractNum w:abstractNumId="36">
    <w:nsid w:val="235BA861"/>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37">
    <w:nsid w:val="47398C89"/>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38">
    <w:nsid w:val="354FE9F9"/>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39">
    <w:nsid w:val="15B5AF5C"/>
    <w:multiLevelType w:val="hybridMultilevel"/>
    <w:lvl w:ilvl="0">
      <w:lvlJc w:val="left"/>
      <w:lvlText w:val="%1."/>
      <w:numFmt w:val="decimal"/>
      <w:start w:val="1"/>
    </w:lvl>
  </w:abstractNum>
  <w:abstractNum w:abstractNumId="40">
    <w:nsid w:val="741226BB"/>
    <w:multiLevelType w:val="hybridMultilevel"/>
    <w:lvl w:ilvl="0">
      <w:lvlJc w:val="left"/>
      <w:lvlText w:val="%1."/>
      <w:numFmt w:val="decimal"/>
      <w:start w:val="3"/>
    </w:lvl>
    <w:lvl w:ilvl="1">
      <w:lvlJc w:val="left"/>
      <w:lvlText w:val="%2."/>
      <w:numFmt w:val="decimal"/>
      <w:start w:val="7"/>
    </w:lvl>
  </w:abstractNum>
  <w:abstractNum w:abstractNumId="41">
    <w:nsid w:val="D34B6A8"/>
    <w:multiLevelType w:val="hybridMultilevel"/>
    <w:lvl w:ilvl="0">
      <w:lvlJc w:val="left"/>
      <w:lvlText w:val="%1"/>
      <w:numFmt w:val="decimal"/>
      <w:start w:val="1"/>
    </w:lvl>
    <w:lvl w:ilvl="1">
      <w:lvlJc w:val="left"/>
      <w:lvlText w:val="%2."/>
      <w:numFmt w:val="decimal"/>
      <w:start w:val="11"/>
    </w:lvl>
  </w:abstractNum>
  <w:abstractNum w:abstractNumId="42">
    <w:nsid w:val="10233C99"/>
    <w:multiLevelType w:val="hybridMultilevel"/>
    <w:lvl w:ilvl="0">
      <w:lvlJc w:val="left"/>
      <w:lvlText w:val="(%1)"/>
      <w:numFmt w:val="decimal"/>
      <w:start w:val="1"/>
    </w:lvl>
    <w:lvl w:ilvl="1">
      <w:lvlJc w:val="left"/>
      <w:lvlText w:val="%2"/>
      <w:numFmt w:val="decimal"/>
      <w:start w:val="1"/>
    </w:lvl>
  </w:abstractNum>
  <w:abstractNum w:abstractNumId="43">
    <w:nsid w:val="3F6AB60F"/>
    <w:multiLevelType w:val="hybridMultilevel"/>
    <w:lvl w:ilvl="0">
      <w:lvlJc w:val="left"/>
      <w:lvlText w:val="%1."/>
      <w:numFmt w:val="decimal"/>
      <w:start w:val="1"/>
    </w:lvl>
  </w:abstractNum>
  <w:abstractNum w:abstractNumId="44">
    <w:nsid w:val="61574095"/>
    <w:multiLevelType w:val="hybridMultilevel"/>
    <w:lvl w:ilvl="0">
      <w:lvlJc w:val="left"/>
      <w:lvlText w:val="%1."/>
      <w:numFmt w:val="decimal"/>
      <w:start w:val="3"/>
    </w:lvl>
    <w:lvl w:ilvl="1">
      <w:lvlJc w:val="left"/>
      <w:lvlText w:val="%2."/>
      <w:numFmt w:val="decimal"/>
      <w:start w:val="7"/>
    </w:lvl>
  </w:abstractNum>
  <w:abstractNum w:abstractNumId="45">
    <w:nsid w:val="7E0C57B1"/>
    <w:multiLevelType w:val="hybridMultilevel"/>
    <w:lvl w:ilvl="0">
      <w:lvlJc w:val="left"/>
      <w:lvlText w:val="%1"/>
      <w:numFmt w:val="decimal"/>
      <w:start w:val="1"/>
    </w:lvl>
    <w:lvl w:ilvl="1">
      <w:lvlJc w:val="left"/>
      <w:lvlText w:val="%2."/>
      <w:numFmt w:val="decimal"/>
      <w:start w:val="11"/>
    </w:lvl>
  </w:abstractNum>
  <w:abstractNum w:abstractNumId="46">
    <w:nsid w:val="77AE35EB"/>
    <w:multiLevelType w:val="hybridMultilevel"/>
    <w:lvl w:ilvl="0">
      <w:lvlJc w:val="left"/>
      <w:lvlText w:val="(%1)"/>
      <w:numFmt w:val="decimal"/>
      <w:start w:val="1"/>
    </w:lvl>
    <w:lvl w:ilvl="1">
      <w:lvlJc w:val="left"/>
      <w:lvlText w:val="%2"/>
      <w:numFmt w:val="decimal"/>
      <w:start w:val="1"/>
    </w:lvl>
  </w:abstractNum>
  <w:abstractNum w:abstractNumId="47">
    <w:nsid w:val="579BE4F1"/>
    <w:multiLevelType w:val="hybridMultilevel"/>
    <w:lvl w:ilvl="0">
      <w:lvlJc w:val="left"/>
      <w:lvlText w:val="%1."/>
      <w:numFmt w:val="decimal"/>
      <w:start w:val="1"/>
    </w:lvl>
  </w:abstractNum>
  <w:abstractNum w:abstractNumId="48">
    <w:nsid w:val="310C50B3"/>
    <w:multiLevelType w:val="hybridMultilevel"/>
    <w:lvl w:ilvl="0">
      <w:lvlJc w:val="left"/>
      <w:lvlText w:val="%1."/>
      <w:numFmt w:val="decimal"/>
      <w:start w:val="3"/>
    </w:lvl>
    <w:lvl w:ilvl="1">
      <w:lvlJc w:val="left"/>
      <w:lvlText w:val="%2."/>
      <w:numFmt w:val="decimal"/>
      <w:start w:val="7"/>
    </w:lvl>
  </w:abstractNum>
  <w:abstractNum w:abstractNumId="49">
    <w:nsid w:val="5FF87E05"/>
    <w:multiLevelType w:val="hybridMultilevel"/>
    <w:lvl w:ilvl="0">
      <w:lvlJc w:val="left"/>
      <w:lvlText w:val="%1"/>
      <w:numFmt w:val="decimal"/>
      <w:start w:val="1"/>
    </w:lvl>
    <w:lvl w:ilvl="1">
      <w:lvlJc w:val="left"/>
      <w:lvlText w:val="%2."/>
      <w:numFmt w:val="decimal"/>
      <w:start w:val="11"/>
    </w:lvl>
  </w:abstractNum>
  <w:abstractNum w:abstractNumId="50">
    <w:nsid w:val="2F305DEF"/>
    <w:multiLevelType w:val="hybridMultilevel"/>
    <w:lvl w:ilvl="0">
      <w:lvlJc w:val="left"/>
      <w:lvlText w:val="(%1)"/>
      <w:numFmt w:val="decimal"/>
      <w:start w:val="1"/>
    </w:lvl>
    <w:lvl w:ilvl="1">
      <w:lvlJc w:val="left"/>
      <w:lvlText w:val="%2"/>
      <w:numFmt w:val="decimal"/>
      <w:start w:val="1"/>
    </w:lvl>
  </w:abstractNum>
  <w:abstractNum w:abstractNumId="51">
    <w:nsid w:val="25A70BF7"/>
    <w:multiLevelType w:val="hybridMultilevel"/>
    <w:lvl w:ilvl="0">
      <w:lvlJc w:val="left"/>
      <w:lvlText w:val="%1."/>
      <w:numFmt w:val="decimal"/>
      <w:start w:val="1"/>
    </w:lvl>
  </w:abstractNum>
  <w:abstractNum w:abstractNumId="52">
    <w:nsid w:val="1DBABF00"/>
    <w:multiLevelType w:val="hybridMultilevel"/>
    <w:lvl w:ilvl="0">
      <w:lvlJc w:val="left"/>
      <w:lvlText w:val="%1."/>
      <w:numFmt w:val="decimal"/>
      <w:start w:val="3"/>
    </w:lvl>
    <w:lvl w:ilvl="1">
      <w:lvlJc w:val="left"/>
      <w:lvlText w:val="%2."/>
      <w:numFmt w:val="decimal"/>
      <w:start w:val="7"/>
    </w:lvl>
  </w:abstractNum>
  <w:abstractNum w:abstractNumId="53">
    <w:nsid w:val="4AD084E9"/>
    <w:multiLevelType w:val="hybridMultilevel"/>
    <w:lvl w:ilvl="0">
      <w:lvlJc w:val="left"/>
      <w:lvlText w:val="%1"/>
      <w:numFmt w:val="decimal"/>
      <w:start w:val="1"/>
    </w:lvl>
    <w:lvl w:ilvl="1">
      <w:lvlJc w:val="left"/>
      <w:lvlText w:val="%2."/>
      <w:numFmt w:val="decimal"/>
      <w:start w:val="11"/>
    </w:lvl>
  </w:abstractNum>
  <w:abstractNum w:abstractNumId="54">
    <w:nsid w:val="1F48EAA1"/>
    <w:multiLevelType w:val="hybridMultilevel"/>
    <w:lvl w:ilvl="0">
      <w:lvlJc w:val="left"/>
      <w:lvlText w:val="(%1)"/>
      <w:numFmt w:val="decimal"/>
      <w:start w:val="1"/>
    </w:lvl>
    <w:lvl w:ilvl="1">
      <w:lvlJc w:val="left"/>
      <w:lvlText w:val="%2"/>
      <w:numFmt w:val="decimal"/>
      <w:start w:val="1"/>
    </w:lvl>
  </w:abstractNum>
  <w:abstractNum w:abstractNumId="55">
    <w:nsid w:val="1381823A"/>
    <w:multiLevelType w:val="hybridMultilevel"/>
    <w:lvl w:ilvl="0">
      <w:lvlJc w:val="left"/>
      <w:lvlText w:val="%1."/>
      <w:numFmt w:val="decimal"/>
      <w:start w:val="1"/>
    </w:lvl>
  </w:abstractNum>
  <w:abstractNum w:abstractNumId="56">
    <w:nsid w:val="5DB70AE5"/>
    <w:multiLevelType w:val="hybridMultilevel"/>
    <w:lvl w:ilvl="0">
      <w:lvlJc w:val="left"/>
      <w:lvlText w:val="%1."/>
      <w:numFmt w:val="decimal"/>
      <w:start w:val="3"/>
    </w:lvl>
    <w:lvl w:ilvl="1">
      <w:lvlJc w:val="left"/>
      <w:lvlText w:val="%2."/>
      <w:numFmt w:val="decimal"/>
      <w:start w:val="7"/>
    </w:lvl>
  </w:abstractNum>
  <w:abstractNum w:abstractNumId="57">
    <w:nsid w:val="100F8FCA"/>
    <w:multiLevelType w:val="hybridMultilevel"/>
    <w:lvl w:ilvl="0">
      <w:lvlJc w:val="left"/>
      <w:lvlText w:val="%1"/>
      <w:numFmt w:val="decimal"/>
      <w:start w:val="1"/>
    </w:lvl>
    <w:lvl w:ilvl="1">
      <w:lvlJc w:val="left"/>
      <w:lvlText w:val="%2."/>
      <w:numFmt w:val="decimal"/>
      <w:start w:val="11"/>
    </w:lvl>
  </w:abstractNum>
  <w:abstractNum w:abstractNumId="58">
    <w:nsid w:val="6590700B"/>
    <w:multiLevelType w:val="hybridMultilevel"/>
    <w:lvl w:ilvl="0">
      <w:lvlJc w:val="left"/>
      <w:lvlText w:val="(%1)"/>
      <w:numFmt w:val="decimal"/>
      <w:start w:val="1"/>
    </w:lvl>
    <w:lvl w:ilvl="1">
      <w:lvlJc w:val="left"/>
      <w:lvlText w:val="%2"/>
      <w:numFmt w:val="decimal"/>
      <w:start w:val="1"/>
    </w:lvl>
  </w:abstractNum>
  <w:abstractNum w:abstractNumId="59">
    <w:nsid w:val="15014ACB"/>
    <w:multiLevelType w:val="hybridMultilevel"/>
    <w:lvl w:ilvl="0">
      <w:lvlJc w:val="left"/>
      <w:lvlText w:val="%1."/>
      <w:numFmt w:val="decimal"/>
      <w:start w:val="1"/>
    </w:lvl>
  </w:abstractNum>
  <w:abstractNum w:abstractNumId="60">
    <w:nsid w:val="5F5E7FD0"/>
    <w:multiLevelType w:val="hybridMultilevel"/>
    <w:lvl w:ilvl="0">
      <w:lvlJc w:val="left"/>
      <w:lvlText w:val="%1."/>
      <w:numFmt w:val="decimal"/>
      <w:start w:val="3"/>
    </w:lvl>
    <w:lvl w:ilvl="1">
      <w:lvlJc w:val="left"/>
      <w:lvlText w:val="%2."/>
      <w:numFmt w:val="decimal"/>
      <w:start w:val="7"/>
    </w:lvl>
  </w:abstractNum>
  <w:abstractNum w:abstractNumId="61">
    <w:nsid w:val="98A3148"/>
    <w:multiLevelType w:val="hybridMultilevel"/>
    <w:lvl w:ilvl="0">
      <w:lvlJc w:val="left"/>
      <w:lvlText w:val="%1"/>
      <w:numFmt w:val="decimal"/>
      <w:start w:val="1"/>
    </w:lvl>
    <w:lvl w:ilvl="1">
      <w:lvlJc w:val="left"/>
      <w:lvlText w:val="%2."/>
      <w:numFmt w:val="decimal"/>
      <w:start w:val="11"/>
    </w:lvl>
  </w:abstractNum>
  <w:abstractNum w:abstractNumId="62">
    <w:nsid w:val="799D0247"/>
    <w:multiLevelType w:val="hybridMultilevel"/>
    <w:lvl w:ilvl="0">
      <w:lvlJc w:val="left"/>
      <w:lvlText w:val="(%1)"/>
      <w:numFmt w:val="decimal"/>
      <w:start w:val="1"/>
    </w:lvl>
    <w:lvl w:ilvl="1">
      <w:lvlJc w:val="left"/>
      <w:lvlText w:val="%2"/>
      <w:numFmt w:val="decimal"/>
      <w:start w:val="1"/>
    </w:lvl>
  </w:abstractNum>
  <w:abstractNum w:abstractNumId="63">
    <w:nsid w:val="6B94764"/>
    <w:multiLevelType w:val="hybridMultilevel"/>
    <w:lvl w:ilvl="0">
      <w:lvlJc w:val="left"/>
      <w:lvlText w:val="%1."/>
      <w:numFmt w:val="decimal"/>
      <w:start w:val="1"/>
    </w:lvl>
  </w:abstractNum>
  <w:abstractNum w:abstractNumId="64">
    <w:nsid w:val="42C296BD"/>
    <w:multiLevelType w:val="hybridMultilevel"/>
    <w:lvl w:ilvl="0">
      <w:lvlJc w:val="left"/>
      <w:lvlText w:val="%1."/>
      <w:numFmt w:val="decimal"/>
      <w:start w:val="3"/>
    </w:lvl>
    <w:lvl w:ilvl="1">
      <w:lvlJc w:val="left"/>
      <w:lvlText w:val="%2."/>
      <w:numFmt w:val="decimal"/>
      <w:start w:val="7"/>
    </w:lvl>
  </w:abstractNum>
  <w:abstractNum w:abstractNumId="65">
    <w:nsid w:val="168E121F"/>
    <w:multiLevelType w:val="hybridMultilevel"/>
    <w:lvl w:ilvl="0">
      <w:lvlJc w:val="left"/>
      <w:lvlText w:val="%1"/>
      <w:numFmt w:val="decimal"/>
      <w:start w:val="1"/>
    </w:lvl>
    <w:lvl w:ilvl="1">
      <w:lvlJc w:val="left"/>
      <w:lvlText w:val="%2."/>
      <w:numFmt w:val="decimal"/>
      <w:start w:val="11"/>
    </w:lvl>
  </w:abstractNum>
  <w:abstractNum w:abstractNumId="66">
    <w:nsid w:val="1EBA5D23"/>
    <w:multiLevelType w:val="hybridMultilevel"/>
    <w:lvl w:ilvl="0">
      <w:lvlJc w:val="left"/>
      <w:lvlText w:val="(%1)"/>
      <w:numFmt w:val="decimal"/>
      <w:start w:val="1"/>
    </w:lvl>
    <w:lvl w:ilvl="1">
      <w:lvlJc w:val="left"/>
      <w:lvlText w:val="%2"/>
      <w:numFmt w:val="decimal"/>
      <w:start w:val="1"/>
    </w:lvl>
  </w:abstractNum>
  <w:abstractNum w:abstractNumId="67">
    <w:nsid w:val="661E3F1E"/>
    <w:multiLevelType w:val="hybridMultilevel"/>
    <w:lvl w:ilvl="0">
      <w:lvlJc w:val="left"/>
      <w:lvlText w:val="%1."/>
      <w:numFmt w:val="decimal"/>
      <w:start w:val="1"/>
    </w:lvl>
  </w:abstractNum>
  <w:abstractNum w:abstractNumId="68">
    <w:nsid w:val="5DC79EA8"/>
    <w:multiLevelType w:val="hybridMultilevel"/>
    <w:lvl w:ilvl="0">
      <w:lvlJc w:val="left"/>
      <w:lvlText w:val="%1."/>
      <w:numFmt w:val="decimal"/>
      <w:start w:val="3"/>
    </w:lvl>
    <w:lvl w:ilvl="1">
      <w:lvlJc w:val="left"/>
      <w:lvlText w:val="%2."/>
      <w:numFmt w:val="decimal"/>
      <w:start w:val="7"/>
    </w:lvl>
  </w:abstractNum>
  <w:abstractNum w:abstractNumId="69">
    <w:nsid w:val="540A471C"/>
    <w:multiLevelType w:val="hybridMultilevel"/>
    <w:lvl w:ilvl="0">
      <w:lvlJc w:val="left"/>
      <w:lvlText w:val="%1"/>
      <w:numFmt w:val="decimal"/>
      <w:start w:val="1"/>
    </w:lvl>
    <w:lvl w:ilvl="1">
      <w:lvlJc w:val="left"/>
      <w:lvlText w:val="%2."/>
      <w:numFmt w:val="decimal"/>
      <w:start w:val="11"/>
    </w:lvl>
  </w:abstractNum>
  <w:abstractNum w:abstractNumId="70">
    <w:nsid w:val="7BD3EE7B"/>
    <w:multiLevelType w:val="hybridMultilevel"/>
    <w:lvl w:ilvl="0">
      <w:lvlJc w:val="left"/>
      <w:lvlText w:val="(%1)"/>
      <w:numFmt w:val="decimal"/>
      <w:start w:val="1"/>
    </w:lvl>
    <w:lvl w:ilvl="1">
      <w:lvlJc w:val="left"/>
      <w:lvlText w:val="%2"/>
      <w:numFmt w:val="decimal"/>
      <w:start w:val="1"/>
    </w:lvl>
  </w:abstractNum>
  <w:abstractNum w:abstractNumId="71">
    <w:nsid w:val="51D9C564"/>
    <w:multiLevelType w:val="hybridMultilevel"/>
    <w:lvl w:ilvl="0">
      <w:lvlJc w:val="left"/>
      <w:lvlText w:val="%1."/>
      <w:numFmt w:val="decimal"/>
      <w:start w:val="1"/>
    </w:lvl>
  </w:abstractNum>
  <w:abstractNum w:abstractNumId="72">
    <w:nsid w:val="613EFDC5"/>
    <w:multiLevelType w:val="hybridMultilevel"/>
    <w:lvl w:ilvl="0">
      <w:lvlJc w:val="left"/>
      <w:lvlText w:val="%1."/>
      <w:numFmt w:val="decimal"/>
      <w:start w:val="3"/>
    </w:lvl>
    <w:lvl w:ilvl="1">
      <w:lvlJc w:val="left"/>
      <w:lvlText w:val="%2."/>
      <w:numFmt w:val="decimal"/>
      <w:start w:val="7"/>
    </w:lvl>
  </w:abstractNum>
  <w:abstractNum w:abstractNumId="73">
    <w:nsid w:val="BF72B14"/>
    <w:multiLevelType w:val="hybridMultilevel"/>
    <w:lvl w:ilvl="0">
      <w:lvlJc w:val="left"/>
      <w:lvlText w:val="%1"/>
      <w:numFmt w:val="decimal"/>
      <w:start w:val="1"/>
    </w:lvl>
    <w:lvl w:ilvl="1">
      <w:lvlJc w:val="left"/>
      <w:lvlText w:val="%2."/>
      <w:numFmt w:val="decimal"/>
      <w:start w:val="11"/>
    </w:lvl>
  </w:abstractNum>
  <w:abstractNum w:abstractNumId="74">
    <w:nsid w:val="11447B73"/>
    <w:multiLevelType w:val="hybridMultilevel"/>
    <w:lvl w:ilvl="0">
      <w:lvlJc w:val="left"/>
      <w:lvlText w:val="(%1)"/>
      <w:numFmt w:val="decimal"/>
      <w:start w:val="1"/>
    </w:lvl>
    <w:lvl w:ilvl="1">
      <w:lvlJc w:val="left"/>
      <w:lvlText w:val="%2"/>
      <w:numFmt w:val="decimal"/>
      <w:start w:val="1"/>
    </w:lvl>
  </w:abstractNum>
  <w:abstractNum w:abstractNumId="75">
    <w:nsid w:val="42963E5A"/>
    <w:multiLevelType w:val="hybridMultilevel"/>
    <w:lvl w:ilvl="0">
      <w:lvlJc w:val="left"/>
      <w:lvlText w:val="%1."/>
      <w:numFmt w:val="decimal"/>
      <w:start w:val="1"/>
    </w:lvl>
  </w:abstractNum>
  <w:abstractNum w:abstractNumId="76">
    <w:nsid w:val="A0382C5"/>
    <w:multiLevelType w:val="hybridMultilevel"/>
    <w:lvl w:ilvl="0">
      <w:lvlJc w:val="left"/>
      <w:lvlText w:val="%1."/>
      <w:numFmt w:val="decimal"/>
      <w:start w:val="3"/>
    </w:lvl>
    <w:lvl w:ilvl="1">
      <w:lvlJc w:val="left"/>
      <w:lvlText w:val="%2."/>
      <w:numFmt w:val="decimal"/>
      <w:start w:val="7"/>
    </w:lvl>
  </w:abstractNum>
  <w:abstractNum w:abstractNumId="77">
    <w:nsid w:val="8F2B15E"/>
    <w:multiLevelType w:val="hybridMultilevel"/>
    <w:lvl w:ilvl="0">
      <w:lvlJc w:val="left"/>
      <w:lvlText w:val="%1"/>
      <w:numFmt w:val="decimal"/>
      <w:start w:val="1"/>
    </w:lvl>
    <w:lvl w:ilvl="1">
      <w:lvlJc w:val="left"/>
      <w:lvlText w:val="%2."/>
      <w:numFmt w:val="decimal"/>
      <w:start w:val="11"/>
    </w:lvl>
  </w:abstractNum>
  <w:abstractNum w:abstractNumId="78">
    <w:nsid w:val="1A32234B"/>
    <w:multiLevelType w:val="hybridMultilevel"/>
    <w:lvl w:ilvl="0">
      <w:lvlJc w:val="left"/>
      <w:lvlText w:val="(%1)"/>
      <w:numFmt w:val="decimal"/>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2022-06-10T15:20:24Z</dcterms:created>
  <dcterms:modified xsi:type="dcterms:W3CDTF">2022-06-10T15:20:24Z</dcterms:modified>
</cp:coreProperties>
</file>