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3, 2020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989" w:right="339" w:bottom="1440" w:gutter="0" w:footer="0" w:header="0"/>
        </w:sectPr>
      </w:pPr>
    </w:p>
    <w:p>
      <w:pPr>
        <w:spacing w:after="0" w:line="138"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560"/>
        <w:spacing w:after="0"/>
        <w:rPr>
          <w:sz w:val="20"/>
          <w:szCs w:val="20"/>
          <w:color w:val="auto"/>
        </w:rPr>
      </w:pPr>
      <w:r>
        <w:rPr>
          <w:rFonts w:ascii="Arial" w:cs="Arial" w:eastAsia="Arial" w:hAnsi="Arial"/>
          <w:sz w:val="16"/>
          <w:szCs w:val="16"/>
          <w:b w:val="1"/>
          <w:bCs w:val="1"/>
          <w:color w:val="auto"/>
        </w:rPr>
        <w:t>001-38853</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26-1679911</w:t>
      </w:r>
    </w:p>
    <w:p>
      <w:pPr>
        <w:spacing w:after="0" w:line="43" w:lineRule="exact"/>
        <w:rPr>
          <w:sz w:val="24"/>
          <w:szCs w:val="24"/>
          <w:color w:val="auto"/>
        </w:rPr>
      </w:pPr>
    </w:p>
    <w:p>
      <w:pPr>
        <w:sectPr>
          <w:pgSz w:w="11900" w:h="16838" w:orient="portrait"/>
          <w:cols w:equalWidth="0" w:num="3">
            <w:col w:w="4500" w:space="720"/>
            <w:col w:w="2340" w:space="720"/>
            <w:col w:w="2960"/>
          </w:cols>
          <w:pgMar w:left="320" w:top="989" w:right="339" w:bottom="1440" w:gutter="0" w:footer="0" w:header="0"/>
          <w:type w:val="continuous"/>
        </w:sectPr>
      </w:pPr>
    </w:p>
    <w:p>
      <w:pPr>
        <w:jc w:val="center"/>
        <w:ind w:left="600"/>
        <w:spacing w:after="0"/>
        <w:rPr>
          <w:sz w:val="20"/>
          <w:szCs w:val="20"/>
          <w:color w:val="auto"/>
        </w:rPr>
      </w:pPr>
      <w:r>
        <w:rPr>
          <w:rFonts w:ascii="Arial" w:cs="Arial" w:eastAsia="Arial" w:hAnsi="Arial"/>
          <w:sz w:val="13"/>
          <w:szCs w:val="13"/>
          <w:b w:val="1"/>
          <w:bCs w:val="1"/>
          <w:color w:val="auto"/>
        </w:rPr>
        <w:t>(State or Other Jurisdiction</w:t>
      </w:r>
    </w:p>
    <w:p>
      <w:pPr>
        <w:jc w:val="center"/>
        <w:ind w:left="6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3"/>
          <w:szCs w:val="13"/>
          <w:b w:val="1"/>
          <w:bCs w:val="1"/>
          <w:color w:val="auto"/>
        </w:rPr>
        <w:t>(IRS Employer Identification No.)</w:t>
      </w:r>
    </w:p>
    <w:p>
      <w:pPr>
        <w:spacing w:after="0" w:line="277" w:lineRule="exact"/>
        <w:rPr>
          <w:sz w:val="24"/>
          <w:szCs w:val="24"/>
          <w:color w:val="auto"/>
        </w:rPr>
      </w:pPr>
    </w:p>
    <w:p>
      <w:pPr>
        <w:sectPr>
          <w:pgSz w:w="11900" w:h="16838" w:orient="portrait"/>
          <w:cols w:equalWidth="0" w:num="3">
            <w:col w:w="4480" w:space="720"/>
            <w:col w:w="1740" w:space="720"/>
            <w:col w:w="3580"/>
          </w:cols>
          <w:pgMar w:left="320" w:top="989" w:right="339" w:bottom="1440" w:gutter="0" w:footer="0" w:header="0"/>
          <w:type w:val="continuous"/>
        </w:sectPr>
      </w:pPr>
    </w:p>
    <w:p>
      <w:pPr>
        <w:jc w:val="center"/>
        <w:ind w:right="360"/>
        <w:spacing w:after="0"/>
        <w:rPr>
          <w:sz w:val="20"/>
          <w:szCs w:val="20"/>
          <w:color w:val="auto"/>
        </w:rPr>
      </w:pPr>
      <w:r>
        <w:rPr>
          <w:rFonts w:ascii="Arial" w:cs="Arial" w:eastAsia="Arial" w:hAnsi="Arial"/>
          <w:sz w:val="16"/>
          <w:szCs w:val="16"/>
          <w:b w:val="1"/>
          <w:bCs w:val="1"/>
          <w:color w:val="auto"/>
        </w:rPr>
        <w:t>333 Oyster Point Boulevard</w:t>
      </w:r>
    </w:p>
    <w:p>
      <w:pPr>
        <w:spacing w:after="0" w:line="50" w:lineRule="exact"/>
        <w:rPr>
          <w:sz w:val="24"/>
          <w:szCs w:val="24"/>
          <w:color w:val="auto"/>
        </w:rPr>
      </w:pPr>
    </w:p>
    <w:p>
      <w:pPr>
        <w:jc w:val="center"/>
        <w:ind w:right="360"/>
        <w:spacing w:after="0"/>
        <w:rPr>
          <w:sz w:val="20"/>
          <w:szCs w:val="20"/>
          <w:color w:val="auto"/>
        </w:rPr>
      </w:pPr>
      <w:r>
        <w:rPr>
          <w:rFonts w:ascii="Arial" w:cs="Arial" w:eastAsia="Arial" w:hAnsi="Arial"/>
          <w:sz w:val="17"/>
          <w:szCs w:val="17"/>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3080"/>
        <w:spacing w:after="0"/>
        <w:rPr>
          <w:sz w:val="20"/>
          <w:szCs w:val="20"/>
          <w:color w:val="auto"/>
        </w:rPr>
      </w:pPr>
      <w:r>
        <w:rPr>
          <w:rFonts w:ascii="Arial" w:cs="Arial" w:eastAsia="Arial" w:hAnsi="Arial"/>
          <w:sz w:val="16"/>
          <w:szCs w:val="16"/>
          <w:b w:val="1"/>
          <w:bCs w:val="1"/>
          <w:color w:val="auto"/>
        </w:rPr>
        <w:t>94080</w:t>
      </w:r>
    </w:p>
    <w:p>
      <w:pPr>
        <w:spacing w:after="0" w:line="50" w:lineRule="exact"/>
        <w:rPr>
          <w:sz w:val="24"/>
          <w:szCs w:val="24"/>
          <w:color w:val="auto"/>
        </w:rPr>
      </w:pPr>
    </w:p>
    <w:p>
      <w:pPr>
        <w:sectPr>
          <w:pgSz w:w="11900" w:h="16838" w:orient="portrait"/>
          <w:cols w:equalWidth="0" w:num="2">
            <w:col w:w="6980" w:space="720"/>
            <w:col w:w="3540"/>
          </w:cols>
          <w:pgMar w:left="320" w:top="989" w:right="339" w:bottom="1440" w:gutter="0" w:footer="0" w:header="0"/>
          <w:type w:val="continuous"/>
        </w:sectPr>
      </w:pPr>
    </w:p>
    <w:p>
      <w:pPr>
        <w:ind w:left="20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980"/>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6880" w:space="720"/>
            <w:col w:w="3640"/>
          </w:cols>
          <w:pgMar w:left="320" w:top="989"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243-5555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96"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740" w:hanging="54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740" w:hanging="54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740" w:hanging="54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740" w:hanging="54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Trading</w:t>
            </w:r>
          </w:p>
        </w:tc>
        <w:tc>
          <w:tcPr>
            <w:tcW w:w="5020" w:type="dxa"/>
            <w:vAlign w:val="bottom"/>
          </w:tcPr>
          <w:p>
            <w:pPr>
              <w:spacing w:after="0"/>
              <w:rPr>
                <w:sz w:val="12"/>
                <w:szCs w:val="12"/>
                <w:color w:val="auto"/>
              </w:rPr>
            </w:pPr>
          </w:p>
        </w:tc>
      </w:tr>
      <w:tr>
        <w:trPr>
          <w:trHeight w:val="185"/>
        </w:trPr>
        <w:tc>
          <w:tcPr>
            <w:tcW w:w="4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Symbol(s)</w:t>
            </w: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4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40" w:type="dxa"/>
            <w:vAlign w:val="bottom"/>
          </w:tcPr>
          <w:p>
            <w:pPr>
              <w:spacing w:after="0"/>
              <w:rPr>
                <w:sz w:val="19"/>
                <w:szCs w:val="19"/>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5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489585</wp:posOffset>
            </wp:positionV>
            <wp:extent cx="71748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 w:name="page2"/>
    <w:bookmarkEnd w:id="1"/>
    <w:p>
      <w:pPr>
        <w:ind w:right="52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345" w:lineRule="exact"/>
        <w:rPr>
          <w:sz w:val="20"/>
          <w:szCs w:val="20"/>
          <w:color w:val="auto"/>
        </w:rPr>
      </w:pPr>
    </w:p>
    <w:p>
      <w:pPr>
        <w:ind w:firstLine="8"/>
        <w:spacing w:after="0" w:line="246" w:lineRule="auto"/>
        <w:tabs>
          <w:tab w:leader="none" w:pos="89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On March 3, 2020, Aetna Wun Trombley notified NGM Biopharmaceuticals,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of her decision to resign as the Company’s President and Chief Operating Officer effective as of March 13, 2020 to pursue an opportunity with an undisclosed privately held company. Dr. Trombley will continue with the Company on a consulting basis for an interim period to help on strategic topics and to provide operational continuity during the transition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748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603" w:right="479" w:bottom="1440" w:gutter="0" w:footer="0" w:header="0"/>
        </w:sectPr>
      </w:pPr>
    </w:p>
    <w:bookmarkStart w:id="2" w:name="page3"/>
    <w:bookmarkEnd w:id="2"/>
    <w:p>
      <w:pPr>
        <w:ind w:left="800"/>
        <w:spacing w:after="0"/>
        <w:rPr>
          <w:sz w:val="20"/>
          <w:szCs w:val="20"/>
          <w:color w:val="auto"/>
        </w:rPr>
      </w:pPr>
      <w:r>
        <w:rPr>
          <w:rFonts w:ascii="Arial" w:cs="Arial" w:eastAsia="Arial" w:hAnsi="Arial"/>
          <w:sz w:val="20"/>
          <w:szCs w:val="20"/>
          <w:color w:val="auto"/>
        </w:rPr>
        <w:t>.</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NGM Biopharmaceuticals, Inc.</w:t>
      </w:r>
    </w:p>
    <w:p>
      <w:pPr>
        <w:spacing w:after="0" w:line="397"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By: /s/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10160</wp:posOffset>
            </wp:positionV>
            <wp:extent cx="2657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01"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Valerie Pierce</w:t>
      </w:r>
    </w:p>
    <w:p>
      <w:pPr>
        <w:spacing w:after="0" w:line="16" w:lineRule="exact"/>
        <w:rPr>
          <w:sz w:val="20"/>
          <w:szCs w:val="20"/>
          <w:color w:val="auto"/>
        </w:rPr>
      </w:pPr>
    </w:p>
    <w:p>
      <w:pPr>
        <w:ind w:left="5180"/>
        <w:spacing w:after="0"/>
        <w:rPr>
          <w:sz w:val="20"/>
          <w:szCs w:val="20"/>
          <w:color w:val="auto"/>
        </w:rPr>
      </w:pPr>
      <w:r>
        <w:rPr>
          <w:rFonts w:ascii="Arial" w:cs="Arial" w:eastAsia="Arial" w:hAnsi="Arial"/>
          <w:sz w:val="20"/>
          <w:szCs w:val="20"/>
          <w:i w:val="1"/>
          <w:iCs w:val="1"/>
          <w:color w:val="auto"/>
        </w:rPr>
        <w:t>Senior Vice President and General Counsel</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March 9, 2020</w:t>
      </w:r>
    </w:p>
    <w:sectPr>
      <w:pgSz w:w="11900" w:h="16838" w:orient="portrait"/>
      <w:cols w:equalWidth="0" w:num="1">
        <w:col w:w="11020"/>
      </w:cols>
      <w:pgMar w:left="320" w:top="852"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2020-03-09T15:34:28Z</dcterms:created>
  <dcterms:modified xsi:type="dcterms:W3CDTF">2020-03-09T15:34:28Z</dcterms:modified>
</cp:coreProperties>
</file>