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JIN-LONG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53" w:lineRule="exact"/>
        <w:rPr>
          <w:sz w:val="24"/>
          <w:szCs w:val="24"/>
          <w:color w:val="auto"/>
        </w:rPr>
      </w:pPr>
    </w:p>
    <w:p>
      <w:pPr>
        <w:sectPr>
          <w:pgSz w:w="11900" w:h="16838" w:orient="portrait"/>
          <w:cols w:equalWidth="0" w:num="3">
            <w:col w:w="3200" w:space="720"/>
            <w:col w:w="3540" w:space="275"/>
            <w:col w:w="3345"/>
          </w:cols>
          <w:pgMar w:left="460" w:top="219" w:right="359" w:bottom="1440" w:gutter="0" w:footer="0" w:header="0"/>
          <w:type w:val="continuous"/>
        </w:sectPr>
      </w:pP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17,387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977,618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7,613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970,005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May 15, 2020.</w:t>
      </w:r>
    </w:p>
    <w:p>
      <w:pPr>
        <w:spacing w:after="0" w:line="5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$17.28 to $17.98.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58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$18.00 to $18.94. The reporting person has provided to the issuer, and undertakes to provide to the staff of the Commission or any security holder of the issuer, upon request, full information regarding the number of shares sold at each separate price within the range.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09/03/2020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2020-09-03T15:25:47Z</dcterms:created>
  <dcterms:modified xsi:type="dcterms:W3CDTF">2020-09-03T15:25:47Z</dcterms:modified>
</cp:coreProperties>
</file>