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10"/>
            <w:vMerge w:val="continue"/>
          </w:tcPr>
          <w:p>
            <w:pPr>
              <w:spacing w:after="0" w:line="20" w:lineRule="exact"/>
              <w:rPr>
                <w:sz w:val="1"/>
                <w:szCs w:val="1"/>
                <w:color w:val="auto"/>
              </w:rPr>
            </w:pPr>
          </w:p>
        </w:tc>
        <w:tc>
          <w:tcPr>
            <w:tcW w:w="38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10"/>
            <w:vMerge w:val="continue"/>
          </w:tcPr>
          <w:p>
            <w:pPr>
              <w:spacing w:after="0"/>
              <w:rPr>
                <w:sz w:val="12"/>
                <w:szCs w:val="12"/>
                <w:color w:val="auto"/>
              </w:rPr>
            </w:pPr>
          </w:p>
        </w:tc>
        <w:tc>
          <w:tcPr>
            <w:tcW w:w="3860" w:type="dxa"/>
            <w:vAlign w:val="bottom"/>
            <w:gridSpan w:val="8"/>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2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 or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8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02/26/2020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3,751</w:t>
            </w:r>
            <w:r>
              <w:rPr>
                <w:rFonts w:ascii="Arial" w:cs="Arial" w:eastAsia="Arial" w:hAnsi="Arial"/>
                <w:sz w:val="22"/>
                <w:szCs w:val="22"/>
                <w:color w:val="008000"/>
                <w:w w:val="82"/>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18</w:t>
            </w:r>
            <w:r>
              <w:rPr>
                <w:rFonts w:ascii="Arial" w:cs="Arial" w:eastAsia="Arial" w:hAnsi="Arial"/>
                <w:sz w:val="22"/>
                <w:szCs w:val="22"/>
                <w:color w:val="008000"/>
                <w:w w:val="83"/>
                <w:vertAlign w:val="superscript"/>
              </w:rPr>
              <w:t>(1)</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302,573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02/27/2020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33,896</w:t>
            </w:r>
            <w:r>
              <w:rPr>
                <w:rFonts w:ascii="Arial" w:cs="Arial" w:eastAsia="Arial" w:hAnsi="Arial"/>
                <w:sz w:val="22"/>
                <w:szCs w:val="22"/>
                <w:color w:val="008000"/>
                <w:w w:val="84"/>
                <w:vertAlign w:val="superscript"/>
              </w:rPr>
              <w:t>(4)</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336,469</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02/28/2020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37,800</w:t>
            </w:r>
            <w:r>
              <w:rPr>
                <w:rFonts w:ascii="Arial" w:cs="Arial" w:eastAsia="Arial" w:hAnsi="Arial"/>
                <w:sz w:val="22"/>
                <w:szCs w:val="22"/>
                <w:color w:val="008000"/>
                <w:w w:val="84"/>
                <w:vertAlign w:val="superscript"/>
              </w:rPr>
              <w:t>(5)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374,269</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(6)</w:t>
            </w:r>
          </w:p>
        </w:tc>
        <w:tc>
          <w:tcPr>
            <w:tcW w:w="1180" w:type="dxa"/>
            <w:vAlign w:val="bottom"/>
            <w:tcBorders>
              <w:bottom w:val="single" w:sz="8" w:color="2C2C2C"/>
            </w:tcBorders>
            <w:gridSpan w:val="2"/>
          </w:tcPr>
          <w:p>
            <w:pPr>
              <w:ind w:left="2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(7)(8)(9)(10)(11)(12)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w w:val="87"/>
              </w:rPr>
              <w:t>15,000</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87"/>
                <w:vertAlign w:val="subscript"/>
              </w:rPr>
              <w:t>D</w:t>
            </w:r>
            <w:r>
              <w:rPr>
                <w:rFonts w:ascii="Arial" w:cs="Arial" w:eastAsia="Arial" w:hAnsi="Arial"/>
                <w:sz w:val="11"/>
                <w:szCs w:val="11"/>
                <w:color w:val="008000"/>
                <w:w w:val="87"/>
              </w:rPr>
              <w:t>(13)</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14"/>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jc w:val="center"/>
              <w:spacing w:after="0"/>
              <w:rPr>
                <w:sz w:val="20"/>
                <w:szCs w:val="20"/>
                <w:color w:val="auto"/>
              </w:rPr>
            </w:pPr>
            <w:r>
              <w:rPr>
                <w:rFonts w:ascii="Arial" w:cs="Arial" w:eastAsia="Arial" w:hAnsi="Arial"/>
                <w:sz w:val="18"/>
                <w:szCs w:val="18"/>
                <w:color w:val="0000FF"/>
                <w:w w:val="87"/>
              </w:rPr>
              <w:t>94158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gridSpan w:val="3"/>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COLUMN GROUP III-A,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3"/>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0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3803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1,762 shares of Common Stock held directly by The Column Group III, LP ("TCG III LP") and 1,989 shares of Common Stock held directly by The Column Group III-A, LP ("TCG III-A LP").</w:t>
      </w:r>
    </w:p>
    <w:p>
      <w:pPr>
        <w:spacing w:after="0" w:line="64" w:lineRule="exact"/>
        <w:rPr>
          <w:rFonts w:ascii="Arial" w:cs="Arial" w:eastAsia="Arial" w:hAnsi="Arial"/>
          <w:sz w:val="12"/>
          <w:szCs w:val="12"/>
          <w:color w:val="008000"/>
        </w:rPr>
      </w:pPr>
    </w:p>
    <w:p>
      <w:pPr>
        <w:jc w:val="both"/>
        <w:ind w:left="20" w:right="4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15,919 shares of Common Stock held directly by TCG III LP and 17,977 shares of Common Stock held directly by TCG III-A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17,752 shares of Common Stock held directly by TCG III LP and 20,048 shares of Common Stock held directly by TCG III-A LP.</w:t>
      </w:r>
    </w:p>
    <w:p>
      <w:pPr>
        <w:spacing w:after="0" w:line="41"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02/28/2020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6"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2020-02-28T18:36:53Z</dcterms:created>
  <dcterms:modified xsi:type="dcterms:W3CDTF">2020-02-28T18:36:53Z</dcterms:modified>
</cp:coreProperties>
</file>