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663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632575"/>
                    </a:xfrm>
                    <a:prstGeom prst="rect">
                      <a:avLst/>
                    </a:prstGeom>
                    <a:noFill/>
                  </pic:spPr>
                </pic:pic>
              </a:graphicData>
            </a:graphic>
          </wp:anchor>
        </w:drawing>
      </w:r>
    </w:p>
    <w:p>
      <w:pPr>
        <w:spacing w:after="0" w:line="35" w:lineRule="exact"/>
        <w:rPr>
          <w:sz w:val="24"/>
          <w:szCs w:val="24"/>
          <w:color w:val="auto"/>
        </w:rPr>
      </w:pPr>
    </w:p>
    <w:p>
      <w:pPr>
        <w:sectPr>
          <w:pgSz w:w="11900" w:h="16861" w:orient="portrait"/>
          <w:cols w:equalWidth="0" w:num="2">
            <w:col w:w="2260" w:space="520"/>
            <w:col w:w="8740"/>
          </w:cols>
          <w:pgMar w:left="240" w:top="221"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20" w:type="dxa"/>
            <w:vAlign w:val="bottom"/>
            <w:gridSpan w:val="5"/>
          </w:tcPr>
          <w:p>
            <w:pPr>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300" w:type="dxa"/>
            <w:vAlign w:val="bottom"/>
          </w:tcPr>
          <w:p>
            <w:pPr>
              <w:spacing w:after="0"/>
              <w:rPr>
                <w:sz w:val="21"/>
                <w:szCs w:val="21"/>
                <w:color w:val="auto"/>
              </w:rPr>
            </w:pPr>
          </w:p>
        </w:tc>
        <w:tc>
          <w:tcPr>
            <w:tcW w:w="3580" w:type="dxa"/>
            <w:vAlign w:val="bottom"/>
            <w:gridSpan w:val="3"/>
          </w:tcPr>
          <w:p>
            <w:pPr>
              <w:ind w:left="1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Svennilson Peter</w:t>
              </w:r>
            </w:hyperlink>
          </w:p>
        </w:tc>
        <w:tc>
          <w:tcPr>
            <w:tcW w:w="1300" w:type="dxa"/>
            <w:vAlign w:val="bottom"/>
          </w:tcPr>
          <w:p>
            <w:pPr>
              <w:spacing w:after="0"/>
              <w:rPr>
                <w:sz w:val="15"/>
                <w:szCs w:val="15"/>
                <w:color w:val="auto"/>
              </w:rPr>
            </w:pPr>
          </w:p>
        </w:tc>
        <w:tc>
          <w:tcPr>
            <w:tcW w:w="3580" w:type="dxa"/>
            <w:vAlign w:val="bottom"/>
            <w:gridSpan w:val="3"/>
          </w:tcPr>
          <w:p>
            <w:pPr>
              <w:ind w:left="1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NGM BIOPHARMACEUTICALS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3580" w:type="dxa"/>
            <w:vAlign w:val="bottom"/>
            <w:gridSpan w:val="3"/>
            <w:vMerge w:val="restart"/>
          </w:tcPr>
          <w:p>
            <w:pPr>
              <w:ind w:left="16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3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4880" w:type="dxa"/>
            <w:vAlign w:val="bottom"/>
            <w:gridSpan w:val="4"/>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 w:right="760" w:hanging="2"/>
        <w:spacing w:after="0" w:line="237"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41" w:val="left"/>
          <w:tab w:leader="none" w:pos="1841" w:val="left"/>
          <w:tab w:leader="none" w:pos="216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0"/>
          <w:szCs w:val="20"/>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6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99" w:lineRule="exact"/>
        <w:rPr>
          <w:sz w:val="20"/>
          <w:szCs w:val="20"/>
          <w:color w:val="auto"/>
        </w:rPr>
      </w:pPr>
    </w:p>
    <w:p>
      <w:pPr>
        <w:sectPr>
          <w:pgSz w:w="11900" w:h="16861" w:orient="portrait"/>
          <w:cols w:equalWidth="0" w:num="2">
            <w:col w:w="7480" w:space="558"/>
            <w:col w:w="3482"/>
          </w:cols>
          <w:pgMar w:left="240" w:top="221" w:right="139" w:bottom="0" w:gutter="0" w:footer="0" w:header="0"/>
          <w:type w:val="continuous"/>
        </w:sectPr>
      </w:pPr>
    </w:p>
    <w:tbl>
      <w:tblPr>
        <w:tblLayout w:type="fixed"/>
        <w:tblInd w:w="0" w:type="dxa"/>
        <w:tblCellMar>
          <w:top w:w="0" w:type="dxa"/>
          <w:left w:w="0" w:type="dxa"/>
          <w:bottom w:w="0" w:type="dxa"/>
          <w:right w:w="0" w:type="dxa"/>
        </w:tblCellMar>
      </w:tblP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4"/>
            <w:vMerge w:val="restart"/>
          </w:tcPr>
          <w:p>
            <w:pPr>
              <w:ind w:left="20"/>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7"/>
            <w:vMerge w:val="continue"/>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SUITE 500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5"/>
          </w:tcPr>
          <w:p>
            <w:pPr>
              <w:ind w:left="360"/>
              <w:spacing w:after="0"/>
              <w:rPr>
                <w:sz w:val="20"/>
                <w:szCs w:val="20"/>
                <w:color w:val="auto"/>
              </w:rPr>
            </w:pPr>
            <w:r>
              <w:rPr>
                <w:rFonts w:ascii="Arial" w:cs="Arial" w:eastAsia="Arial" w:hAnsi="Arial"/>
                <w:sz w:val="17"/>
                <w:szCs w:val="17"/>
                <w:color w:val="0000FF"/>
              </w:rPr>
              <w:t>04/08/2019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0"/>
                <w:szCs w:val="10"/>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80" w:type="dxa"/>
            <w:vAlign w:val="bottom"/>
            <w:gridSpan w:val="8"/>
            <w:vMerge w:val="continue"/>
          </w:tcPr>
          <w:p>
            <w:pPr>
              <w:spacing w:after="0"/>
              <w:rPr>
                <w:sz w:val="7"/>
                <w:szCs w:val="7"/>
                <w:color w:val="auto"/>
              </w:rPr>
            </w:pPr>
          </w:p>
        </w:tc>
        <w:tc>
          <w:tcPr>
            <w:tcW w:w="400" w:type="dxa"/>
            <w:vAlign w:val="bottom"/>
          </w:tcPr>
          <w:p>
            <w:pPr>
              <w:spacing w:after="0"/>
              <w:rPr>
                <w:sz w:val="7"/>
                <w:szCs w:val="7"/>
                <w:color w:val="auto"/>
              </w:rPr>
            </w:pPr>
          </w:p>
        </w:tc>
        <w:tc>
          <w:tcPr>
            <w:tcW w:w="35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94158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4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00" w:type="dxa"/>
            <w:vAlign w:val="bottom"/>
            <w:gridSpan w:val="6"/>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1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gridSpan w:val="2"/>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440" w:type="dxa"/>
            <w:vAlign w:val="bottom"/>
            <w:tcBorders>
              <w:bottom w:val="single" w:sz="8" w:color="2C2C2C"/>
            </w:tcBorders>
            <w:gridSpan w:val="3"/>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80" w:type="dxa"/>
            <w:vAlign w:val="bottom"/>
            <w:tcBorders>
              <w:bottom w:val="single" w:sz="8" w:color="2C2C2C"/>
            </w:tcBorders>
            <w:gridSpan w:val="5"/>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4"/>
                <w:szCs w:val="14"/>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w w:val="95"/>
              </w:rPr>
              <w:t>6. Ownership</w:t>
            </w:r>
          </w:p>
        </w:tc>
        <w:tc>
          <w:tcPr>
            <w:tcW w:w="1420" w:type="dxa"/>
            <w:vAlign w:val="bottom"/>
            <w:gridSpan w:val="4"/>
          </w:tcPr>
          <w:p>
            <w:pPr>
              <w:ind w:left="2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00"/>
              <w:spacing w:after="0" w:line="126"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80"/>
              <w:spacing w:after="0" w:line="126" w:lineRule="exact"/>
              <w:rPr>
                <w:sz w:val="20"/>
                <w:szCs w:val="20"/>
                <w:color w:val="auto"/>
              </w:rPr>
            </w:pPr>
            <w:r>
              <w:rPr>
                <w:rFonts w:ascii="Arial" w:cs="Arial" w:eastAsia="Arial" w:hAnsi="Arial"/>
                <w:sz w:val="12"/>
                <w:szCs w:val="12"/>
                <w:b w:val="1"/>
                <w:bCs w:val="1"/>
                <w:color w:val="auto"/>
              </w:rPr>
              <w:t>Form: Direct</w:t>
            </w:r>
          </w:p>
        </w:tc>
        <w:tc>
          <w:tcPr>
            <w:tcW w:w="1420" w:type="dxa"/>
            <w:vAlign w:val="bottom"/>
            <w:gridSpan w:val="4"/>
          </w:tcPr>
          <w:p>
            <w:pPr>
              <w:ind w:left="200"/>
              <w:spacing w:after="0" w:line="126"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4"/>
          </w:tcPr>
          <w:p>
            <w:pPr>
              <w:ind w:left="6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2340" w:type="dxa"/>
            <w:vAlign w:val="bottom"/>
            <w:gridSpan w:val="5"/>
          </w:tcPr>
          <w:p>
            <w:pPr>
              <w:ind w:left="180"/>
              <w:spacing w:after="0" w:line="129"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Owned Following</w:t>
            </w:r>
          </w:p>
        </w:tc>
        <w:tc>
          <w:tcPr>
            <w:tcW w:w="9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40" w:type="dxa"/>
            <w:vAlign w:val="bottom"/>
            <w:gridSpan w:val="3"/>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gridSpan w:val="4"/>
          </w:tcPr>
          <w:p>
            <w:pPr>
              <w:ind w:left="700"/>
              <w:spacing w:after="0"/>
              <w:rPr>
                <w:sz w:val="20"/>
                <w:szCs w:val="20"/>
                <w:color w:val="auto"/>
              </w:rPr>
            </w:pPr>
            <w:r>
              <w:rPr>
                <w:rFonts w:ascii="Arial" w:cs="Arial" w:eastAsia="Arial" w:hAnsi="Arial"/>
                <w:sz w:val="17"/>
                <w:szCs w:val="17"/>
                <w:color w:val="0000FF"/>
              </w:rPr>
              <w:t>04/08/2019</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w:t>
            </w:r>
          </w:p>
        </w:tc>
        <w:tc>
          <w:tcPr>
            <w:tcW w:w="920" w:type="dxa"/>
            <w:vAlign w:val="bottom"/>
          </w:tcPr>
          <w:p>
            <w:pPr>
              <w:jc w:val="center"/>
              <w:spacing w:after="0"/>
              <w:rPr>
                <w:sz w:val="20"/>
                <w:szCs w:val="20"/>
                <w:color w:val="auto"/>
              </w:rPr>
            </w:pPr>
            <w:r>
              <w:rPr>
                <w:rFonts w:ascii="Arial" w:cs="Arial" w:eastAsia="Arial" w:hAnsi="Arial"/>
                <w:sz w:val="17"/>
                <w:szCs w:val="17"/>
                <w:color w:val="0000FF"/>
                <w:w w:val="88"/>
              </w:rPr>
              <w:t>20,000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Pr>
          <w:p>
            <w:pPr>
              <w:jc w:val="center"/>
              <w:ind w:left="2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center"/>
              <w:ind w:right="41"/>
              <w:spacing w:after="0"/>
              <w:rPr>
                <w:sz w:val="20"/>
                <w:szCs w:val="20"/>
                <w:color w:val="auto"/>
              </w:rPr>
            </w:pPr>
            <w:r>
              <w:rPr>
                <w:rFonts w:ascii="Arial" w:cs="Arial" w:eastAsia="Arial" w:hAnsi="Arial"/>
                <w:sz w:val="17"/>
                <w:szCs w:val="17"/>
                <w:color w:val="0000FF"/>
                <w:w w:val="88"/>
              </w:rPr>
              <w:t>20,000</w:t>
            </w:r>
          </w:p>
        </w:tc>
        <w:tc>
          <w:tcPr>
            <w:tcW w:w="920" w:type="dxa"/>
            <w:vAlign w:val="bottom"/>
          </w:tcPr>
          <w:p>
            <w:pPr>
              <w:ind w:left="540"/>
              <w:spacing w:after="0"/>
              <w:rPr>
                <w:sz w:val="20"/>
                <w:szCs w:val="20"/>
                <w:color w:val="auto"/>
              </w:rPr>
            </w:pPr>
            <w:r>
              <w:rPr>
                <w:rFonts w:ascii="Arial" w:cs="Arial" w:eastAsia="Arial" w:hAnsi="Arial"/>
                <w:sz w:val="17"/>
                <w:szCs w:val="17"/>
                <w:color w:val="0000FF"/>
              </w:rPr>
              <w:t>D</w:t>
            </w: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gridSpan w:val="4"/>
          </w:tcPr>
          <w:p>
            <w:pPr>
              <w:ind w:left="700"/>
              <w:spacing w:after="0"/>
              <w:rPr>
                <w:sz w:val="20"/>
                <w:szCs w:val="20"/>
                <w:color w:val="auto"/>
              </w:rPr>
            </w:pPr>
            <w:r>
              <w:rPr>
                <w:rFonts w:ascii="Arial" w:cs="Arial" w:eastAsia="Arial" w:hAnsi="Arial"/>
                <w:sz w:val="17"/>
                <w:szCs w:val="17"/>
                <w:color w:val="0000FF"/>
              </w:rPr>
              <w:t>04/08/2019</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w:t>
            </w:r>
          </w:p>
        </w:tc>
        <w:tc>
          <w:tcPr>
            <w:tcW w:w="920" w:type="dxa"/>
            <w:vAlign w:val="bottom"/>
          </w:tcPr>
          <w:p>
            <w:pPr>
              <w:jc w:val="center"/>
              <w:spacing w:after="0"/>
              <w:rPr>
                <w:sz w:val="20"/>
                <w:szCs w:val="20"/>
                <w:color w:val="auto"/>
              </w:rPr>
            </w:pPr>
            <w:r>
              <w:rPr>
                <w:rFonts w:ascii="Arial" w:cs="Arial" w:eastAsia="Arial" w:hAnsi="Arial"/>
                <w:sz w:val="17"/>
                <w:szCs w:val="17"/>
                <w:color w:val="0000FF"/>
                <w:w w:val="86"/>
              </w:rPr>
              <w:t>1,875,000</w:t>
            </w:r>
            <w:r>
              <w:rPr>
                <w:rFonts w:ascii="Arial" w:cs="Arial" w:eastAsia="Arial" w:hAnsi="Arial"/>
                <w:sz w:val="21"/>
                <w:szCs w:val="21"/>
                <w:color w:val="008000"/>
                <w:w w:val="86"/>
                <w:vertAlign w:val="superscript"/>
              </w:rPr>
              <w:t>(1)</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Pr>
          <w:p>
            <w:pPr>
              <w:jc w:val="center"/>
              <w:ind w:left="2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center"/>
              <w:ind w:right="61"/>
              <w:spacing w:after="0"/>
              <w:rPr>
                <w:sz w:val="20"/>
                <w:szCs w:val="20"/>
                <w:color w:val="auto"/>
              </w:rPr>
            </w:pPr>
            <w:r>
              <w:rPr>
                <w:rFonts w:ascii="Arial" w:cs="Arial" w:eastAsia="Arial" w:hAnsi="Arial"/>
                <w:sz w:val="17"/>
                <w:szCs w:val="17"/>
                <w:color w:val="0000FF"/>
                <w:w w:val="89"/>
              </w:rPr>
              <w:t>2,350,957</w:t>
            </w:r>
          </w:p>
        </w:tc>
        <w:tc>
          <w:tcPr>
            <w:tcW w:w="920" w:type="dxa"/>
            <w:vAlign w:val="bottom"/>
          </w:tcPr>
          <w:p>
            <w:pPr>
              <w:ind w:left="560"/>
              <w:spacing w:after="0"/>
              <w:rPr>
                <w:sz w:val="20"/>
                <w:szCs w:val="20"/>
                <w:color w:val="auto"/>
              </w:rPr>
            </w:pPr>
            <w:r>
              <w:rPr>
                <w:rFonts w:ascii="Arial" w:cs="Arial" w:eastAsia="Arial" w:hAnsi="Arial"/>
                <w:sz w:val="17"/>
                <w:szCs w:val="17"/>
                <w:color w:val="0000FF"/>
              </w:rPr>
              <w:t>I</w:t>
            </w:r>
          </w:p>
        </w:tc>
        <w:tc>
          <w:tcPr>
            <w:tcW w:w="1420" w:type="dxa"/>
            <w:vAlign w:val="bottom"/>
            <w:gridSpan w:val="4"/>
          </w:tcPr>
          <w:p>
            <w:pPr>
              <w:ind w:left="200"/>
              <w:spacing w:after="0"/>
              <w:rPr>
                <w:sz w:val="20"/>
                <w:szCs w:val="20"/>
                <w:color w:val="auto"/>
              </w:rPr>
            </w:pPr>
            <w:r>
              <w:rPr>
                <w:rFonts w:ascii="Arial" w:cs="Arial" w:eastAsia="Arial" w:hAnsi="Arial"/>
                <w:sz w:val="17"/>
                <w:szCs w:val="17"/>
                <w:color w:val="0000FF"/>
              </w:rPr>
              <w:t>See 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gridSpan w:val="4"/>
            <w:vMerge w:val="restart"/>
          </w:tcPr>
          <w:p>
            <w:pPr>
              <w:ind w:left="700"/>
              <w:spacing w:after="0"/>
              <w:rPr>
                <w:sz w:val="20"/>
                <w:szCs w:val="20"/>
                <w:color w:val="auto"/>
              </w:rPr>
            </w:pPr>
            <w:r>
              <w:rPr>
                <w:rFonts w:ascii="Arial" w:cs="Arial" w:eastAsia="Arial" w:hAnsi="Arial"/>
                <w:sz w:val="17"/>
                <w:szCs w:val="17"/>
                <w:color w:val="0000FF"/>
              </w:rPr>
              <w:t>04/08/2019</w:t>
            </w: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0000FF"/>
              </w:rPr>
              <w:t>C</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13,093,134</w:t>
            </w:r>
          </w:p>
        </w:tc>
        <w:tc>
          <w:tcPr>
            <w:tcW w:w="5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top w:val="single" w:sz="8" w:color="2C2C2C"/>
            </w:tcBorders>
            <w:vMerge w:val="restart"/>
          </w:tcPr>
          <w:p>
            <w:pPr>
              <w:jc w:val="center"/>
              <w:ind w:left="28"/>
              <w:spacing w:after="0"/>
              <w:rPr>
                <w:sz w:val="20"/>
                <w:szCs w:val="20"/>
                <w:color w:val="auto"/>
              </w:rPr>
            </w:pPr>
            <w:r>
              <w:rPr>
                <w:rFonts w:ascii="Arial" w:cs="Arial" w:eastAsia="Arial" w:hAnsi="Arial"/>
                <w:sz w:val="11"/>
                <w:szCs w:val="11"/>
                <w:color w:val="008000"/>
              </w:rPr>
              <w:t>(3)</w:t>
            </w:r>
          </w:p>
        </w:tc>
        <w:tc>
          <w:tcPr>
            <w:tcW w:w="16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3"/>
            <w:vMerge w:val="restart"/>
          </w:tcPr>
          <w:p>
            <w:pPr>
              <w:jc w:val="center"/>
              <w:ind w:left="56"/>
              <w:spacing w:after="0"/>
              <w:rPr>
                <w:sz w:val="20"/>
                <w:szCs w:val="20"/>
                <w:color w:val="auto"/>
              </w:rPr>
            </w:pPr>
            <w:r>
              <w:rPr>
                <w:rFonts w:ascii="Arial" w:cs="Arial" w:eastAsia="Arial" w:hAnsi="Arial"/>
                <w:sz w:val="17"/>
                <w:szCs w:val="17"/>
                <w:color w:val="0000FF"/>
                <w:w w:val="89"/>
              </w:rPr>
              <w:t>15,444,091</w:t>
            </w:r>
          </w:p>
        </w:tc>
        <w:tc>
          <w:tcPr>
            <w:tcW w:w="920" w:type="dxa"/>
            <w:vAlign w:val="bottom"/>
            <w:tcBorders>
              <w:top w:val="single" w:sz="8" w:color="2C2C2C"/>
            </w:tcBorders>
            <w:vMerge w:val="restart"/>
          </w:tcPr>
          <w:p>
            <w:pPr>
              <w:ind w:left="560"/>
              <w:spacing w:after="0"/>
              <w:rPr>
                <w:sz w:val="20"/>
                <w:szCs w:val="20"/>
                <w:color w:val="auto"/>
              </w:rPr>
            </w:pPr>
            <w:r>
              <w:rPr>
                <w:rFonts w:ascii="Arial" w:cs="Arial" w:eastAsia="Arial" w:hAnsi="Arial"/>
                <w:sz w:val="17"/>
                <w:szCs w:val="17"/>
                <w:color w:val="0000FF"/>
              </w:rPr>
              <w:t>I</w:t>
            </w:r>
          </w:p>
        </w:tc>
        <w:tc>
          <w:tcPr>
            <w:tcW w:w="680" w:type="dxa"/>
            <w:vAlign w:val="bottom"/>
            <w:tcBorders>
              <w:top w:val="single" w:sz="8" w:color="2C2C2C"/>
            </w:tcBorders>
          </w:tcPr>
          <w:p>
            <w:pPr>
              <w:ind w:left="200"/>
              <w:spacing w:after="0"/>
              <w:rPr>
                <w:sz w:val="20"/>
                <w:szCs w:val="20"/>
                <w:color w:val="auto"/>
              </w:rPr>
            </w:pPr>
            <w:r>
              <w:rPr>
                <w:rFonts w:ascii="Arial" w:cs="Arial" w:eastAsia="Arial" w:hAnsi="Arial"/>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gridSpan w:val="4"/>
            <w:vMerge w:val="restart"/>
          </w:tcPr>
          <w:p>
            <w:pPr>
              <w:ind w:left="200"/>
              <w:spacing w:after="0" w:line="266" w:lineRule="exact"/>
              <w:rPr>
                <w:sz w:val="20"/>
                <w:szCs w:val="20"/>
                <w:color w:val="auto"/>
              </w:rPr>
            </w:pPr>
            <w:r>
              <w:rPr>
                <w:rFonts w:ascii="Arial" w:cs="Arial" w:eastAsia="Arial" w:hAnsi="Arial"/>
                <w:sz w:val="30"/>
                <w:szCs w:val="30"/>
                <w:color w:val="0000FF"/>
                <w:w w:val="95"/>
                <w:vertAlign w:val="subscript"/>
              </w:rPr>
              <w:t>Footnotes</w:t>
            </w:r>
            <w:r>
              <w:rPr>
                <w:rFonts w:ascii="Arial" w:cs="Arial" w:eastAsia="Arial" w:hAnsi="Arial"/>
                <w:sz w:val="10"/>
                <w:szCs w:val="10"/>
                <w:color w:val="008000"/>
                <w:w w:val="95"/>
              </w:rPr>
              <w:t>(1)(2)(4)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80" w:type="dxa"/>
            <w:vAlign w:val="bottom"/>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86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1"/>
              <w:spacing w:after="0" w:line="129"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Derivative 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9"/>
              </w:rPr>
              <w:t>Disposed 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(Instr. 3, 4 and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jc w:val="center"/>
              <w:ind w:left="117"/>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(3)</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300"/>
              <w:spacing w:after="0"/>
              <w:rPr>
                <w:sz w:val="20"/>
                <w:szCs w:val="20"/>
                <w:color w:val="auto"/>
              </w:rPr>
            </w:pPr>
            <w:r>
              <w:rPr>
                <w:rFonts w:ascii="Arial" w:cs="Arial" w:eastAsia="Arial" w:hAnsi="Arial"/>
                <w:sz w:val="13"/>
                <w:szCs w:val="13"/>
                <w:color w:val="0000FF"/>
                <w:w w:val="89"/>
              </w:rPr>
              <w:t>12,000,000</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(3)</w:t>
            </w:r>
          </w:p>
        </w:tc>
        <w:tc>
          <w:tcPr>
            <w:tcW w:w="920" w:type="dxa"/>
            <w:vAlign w:val="bottom"/>
          </w:tcPr>
          <w:p>
            <w:pPr>
              <w:jc w:val="center"/>
              <w:ind w:left="137"/>
              <w:spacing w:after="0" w:line="125" w:lineRule="exact"/>
              <w:rPr>
                <w:sz w:val="20"/>
                <w:szCs w:val="20"/>
                <w:color w:val="auto"/>
              </w:rPr>
            </w:pPr>
            <w:r>
              <w:rPr>
                <w:rFonts w:ascii="Arial" w:cs="Arial" w:eastAsia="Arial" w:hAnsi="Arial"/>
                <w:sz w:val="11"/>
                <w:szCs w:val="11"/>
                <w:color w:val="008000"/>
                <w:w w:val="88"/>
              </w:rPr>
              <w:t>(3)</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6,000,000</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gridSpan w:val="3"/>
          </w:tcPr>
          <w:p>
            <w:pPr>
              <w:ind w:left="60"/>
              <w:spacing w:after="0" w:line="158"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(3)</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280"/>
              <w:spacing w:after="0"/>
              <w:rPr>
                <w:sz w:val="20"/>
                <w:szCs w:val="20"/>
                <w:color w:val="auto"/>
              </w:rPr>
            </w:pPr>
            <w:r>
              <w:rPr>
                <w:rFonts w:ascii="Arial" w:cs="Arial" w:eastAsia="Arial" w:hAnsi="Arial"/>
                <w:sz w:val="13"/>
                <w:szCs w:val="13"/>
                <w:color w:val="0000FF"/>
                <w:w w:val="89"/>
              </w:rPr>
              <w:t>8,408,933</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(3)</w:t>
            </w:r>
          </w:p>
        </w:tc>
        <w:tc>
          <w:tcPr>
            <w:tcW w:w="920" w:type="dxa"/>
            <w:vAlign w:val="bottom"/>
          </w:tcPr>
          <w:p>
            <w:pPr>
              <w:jc w:val="center"/>
              <w:ind w:left="137"/>
              <w:spacing w:after="0" w:line="125" w:lineRule="exact"/>
              <w:rPr>
                <w:sz w:val="20"/>
                <w:szCs w:val="20"/>
                <w:color w:val="auto"/>
              </w:rPr>
            </w:pPr>
            <w:r>
              <w:rPr>
                <w:rFonts w:ascii="Arial" w:cs="Arial" w:eastAsia="Arial" w:hAnsi="Arial"/>
                <w:sz w:val="11"/>
                <w:szCs w:val="11"/>
                <w:color w:val="008000"/>
                <w:w w:val="88"/>
              </w:rPr>
              <w:t>(3)</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4,204,467</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gridSpan w:val="3"/>
          </w:tcPr>
          <w:p>
            <w:pPr>
              <w:ind w:left="60"/>
              <w:spacing w:after="0" w:line="158"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(3)</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280"/>
              <w:spacing w:after="0"/>
              <w:rPr>
                <w:sz w:val="20"/>
                <w:szCs w:val="20"/>
                <w:color w:val="auto"/>
              </w:rPr>
            </w:pPr>
            <w:r>
              <w:rPr>
                <w:rFonts w:ascii="Arial" w:cs="Arial" w:eastAsia="Arial" w:hAnsi="Arial"/>
                <w:sz w:val="13"/>
                <w:szCs w:val="13"/>
                <w:color w:val="0000FF"/>
                <w:w w:val="89"/>
              </w:rPr>
              <w:t>2,377,334</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(3)</w:t>
            </w:r>
          </w:p>
        </w:tc>
        <w:tc>
          <w:tcPr>
            <w:tcW w:w="920" w:type="dxa"/>
            <w:vAlign w:val="bottom"/>
          </w:tcPr>
          <w:p>
            <w:pPr>
              <w:jc w:val="center"/>
              <w:ind w:left="137"/>
              <w:spacing w:after="0" w:line="125" w:lineRule="exact"/>
              <w:rPr>
                <w:sz w:val="20"/>
                <w:szCs w:val="20"/>
                <w:color w:val="auto"/>
              </w:rPr>
            </w:pPr>
            <w:r>
              <w:rPr>
                <w:rFonts w:ascii="Arial" w:cs="Arial" w:eastAsia="Arial" w:hAnsi="Arial"/>
                <w:sz w:val="11"/>
                <w:szCs w:val="11"/>
                <w:color w:val="008000"/>
                <w:w w:val="88"/>
              </w:rPr>
              <w:t>(3)</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1,188,667</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0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gridSpan w:val="3"/>
          </w:tcPr>
          <w:p>
            <w:pPr>
              <w:ind w:left="60"/>
              <w:spacing w:after="0" w:line="158"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Convertible</w:t>
            </w:r>
          </w:p>
        </w:tc>
        <w:tc>
          <w:tcPr>
            <w:tcW w:w="620" w:type="dxa"/>
            <w:vAlign w:val="bottom"/>
          </w:tcPr>
          <w:p>
            <w:pPr>
              <w:ind w:left="320"/>
              <w:spacing w:after="0" w:line="125" w:lineRule="exact"/>
              <w:rPr>
                <w:sz w:val="20"/>
                <w:szCs w:val="20"/>
                <w:color w:val="auto"/>
              </w:rPr>
            </w:pPr>
            <w:r>
              <w:rPr>
                <w:rFonts w:ascii="Arial" w:cs="Arial" w:eastAsia="Arial" w:hAnsi="Arial"/>
                <w:sz w:val="11"/>
                <w:szCs w:val="11"/>
                <w:color w:val="008000"/>
              </w:rPr>
              <w:t>(3)</w:t>
            </w:r>
          </w:p>
        </w:tc>
        <w:tc>
          <w:tcPr>
            <w:tcW w:w="1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04/08/2019</w:t>
            </w:r>
          </w:p>
        </w:tc>
        <w:tc>
          <w:tcPr>
            <w:tcW w:w="1100" w:type="dxa"/>
            <w:vAlign w:val="bottom"/>
          </w:tcPr>
          <w:p>
            <w:pPr>
              <w:spacing w:after="0"/>
              <w:rPr>
                <w:sz w:val="10"/>
                <w:szCs w:val="10"/>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0"/>
                <w:szCs w:val="10"/>
                <w:color w:val="auto"/>
              </w:rPr>
            </w:pPr>
          </w:p>
        </w:tc>
        <w:tc>
          <w:tcPr>
            <w:tcW w:w="980" w:type="dxa"/>
            <w:vAlign w:val="bottom"/>
            <w:gridSpan w:val="3"/>
            <w:vMerge w:val="restart"/>
          </w:tcPr>
          <w:p>
            <w:pPr>
              <w:jc w:val="center"/>
              <w:ind w:left="280"/>
              <w:spacing w:after="0"/>
              <w:rPr>
                <w:sz w:val="20"/>
                <w:szCs w:val="20"/>
                <w:color w:val="auto"/>
              </w:rPr>
            </w:pPr>
            <w:r>
              <w:rPr>
                <w:rFonts w:ascii="Arial" w:cs="Arial" w:eastAsia="Arial" w:hAnsi="Arial"/>
                <w:sz w:val="13"/>
                <w:szCs w:val="13"/>
                <w:color w:val="0000FF"/>
                <w:w w:val="89"/>
              </w:rPr>
              <w:t>3,400,000</w:t>
            </w:r>
          </w:p>
        </w:tc>
        <w:tc>
          <w:tcPr>
            <w:tcW w:w="620" w:type="dxa"/>
            <w:vAlign w:val="bottom"/>
          </w:tcPr>
          <w:p>
            <w:pPr>
              <w:ind w:left="360"/>
              <w:spacing w:after="0" w:line="125" w:lineRule="exact"/>
              <w:rPr>
                <w:sz w:val="20"/>
                <w:szCs w:val="20"/>
                <w:color w:val="auto"/>
              </w:rPr>
            </w:pPr>
            <w:r>
              <w:rPr>
                <w:rFonts w:ascii="Arial" w:cs="Arial" w:eastAsia="Arial" w:hAnsi="Arial"/>
                <w:sz w:val="11"/>
                <w:szCs w:val="11"/>
                <w:color w:val="008000"/>
              </w:rPr>
              <w:t>(3)</w:t>
            </w:r>
          </w:p>
        </w:tc>
        <w:tc>
          <w:tcPr>
            <w:tcW w:w="920" w:type="dxa"/>
            <w:vAlign w:val="bottom"/>
          </w:tcPr>
          <w:p>
            <w:pPr>
              <w:jc w:val="center"/>
              <w:ind w:left="137"/>
              <w:spacing w:after="0" w:line="125" w:lineRule="exact"/>
              <w:rPr>
                <w:sz w:val="20"/>
                <w:szCs w:val="20"/>
                <w:color w:val="auto"/>
              </w:rPr>
            </w:pPr>
            <w:r>
              <w:rPr>
                <w:rFonts w:ascii="Arial" w:cs="Arial" w:eastAsia="Arial" w:hAnsi="Arial"/>
                <w:sz w:val="11"/>
                <w:szCs w:val="11"/>
                <w:color w:val="008000"/>
                <w:w w:val="88"/>
              </w:rPr>
              <w:t>(3)</w:t>
            </w:r>
          </w:p>
        </w:tc>
        <w:tc>
          <w:tcPr>
            <w:tcW w:w="560" w:type="dxa"/>
            <w:vAlign w:val="bottom"/>
          </w:tcPr>
          <w:p>
            <w:pPr>
              <w:ind w:left="60"/>
              <w:spacing w:after="0" w:line="125" w:lineRule="exact"/>
              <w:rPr>
                <w:sz w:val="20"/>
                <w:szCs w:val="20"/>
                <w:color w:val="auto"/>
              </w:rPr>
            </w:pPr>
            <w:r>
              <w:rPr>
                <w:rFonts w:ascii="Arial" w:cs="Arial" w:eastAsia="Arial" w:hAnsi="Arial"/>
                <w:sz w:val="13"/>
                <w:szCs w:val="13"/>
                <w:color w:val="0000FF"/>
                <w:w w:val="90"/>
              </w:rPr>
              <w:t>Common</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0000FF"/>
                <w:w w:val="87"/>
              </w:rPr>
              <w:t>1,700,000</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8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80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gridSpan w:val="3"/>
          </w:tcPr>
          <w:p>
            <w:pPr>
              <w:ind w:left="60"/>
              <w:spacing w:after="0" w:line="169" w:lineRule="exact"/>
              <w:rPr>
                <w:sz w:val="20"/>
                <w:szCs w:val="20"/>
                <w:color w:val="auto"/>
              </w:rPr>
            </w:pPr>
            <w:r>
              <w:rPr>
                <w:rFonts w:ascii="Arial" w:cs="Arial" w:eastAsia="Arial" w:hAnsi="Arial"/>
                <w:sz w:val="12"/>
                <w:szCs w:val="12"/>
                <w:color w:val="0000FF"/>
              </w:rPr>
              <w:t>Footnote</w:t>
            </w:r>
            <w:r>
              <w:rPr>
                <w:rFonts w:ascii="Arial" w:cs="Arial" w:eastAsia="Arial" w:hAnsi="Arial"/>
                <w:sz w:val="19"/>
                <w:szCs w:val="19"/>
                <w:color w:val="008000"/>
                <w:vertAlign w:val="superscript"/>
              </w:rPr>
              <w:t>(8)</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jc w:val="both"/>
        <w:ind w:left="40" w:right="220" w:firstLine="2"/>
        <w:spacing w:after="0" w:line="26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937,500 shares held directly by Ponoi Capital, LP ("Ponoi LP") and 937,500 shares held directly by Ponoi Capital II, LP ("Ponoi II LP"). The securities directly held by Ponoi LP are indirectly held by Ponoi Management, LLC ("Ponoi LLC"), the general partner of Ponoi LP. The securities directly held by Ponoi II LP are indirectly held by Ponoi II Management, LLC ("Ponoi II LLC"), the general partner of Ponoi II LP. The managing partners of Ponoi LLC and Ponoi II LLC are David Goeddel, Peter Svennilson and Tim Kutzkey. The managing partners of Ponoi LLC and Ponoi II LLC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Arial" w:cs="Arial" w:eastAsia="Arial" w:hAnsi="Arial"/>
          <w:sz w:val="12"/>
          <w:szCs w:val="12"/>
          <w:color w:val="008000"/>
        </w:rPr>
      </w:pPr>
    </w:p>
    <w:p>
      <w:pPr>
        <w:ind w:left="40" w:right="180" w:firstLine="2"/>
        <w:spacing w:after="0" w:line="25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100,000 shares beneficially owned by The Column Group GP, LP ("TCG GP"), 275,957 shares beneficially owned by The Column Group II, LP ("TCG II LP"), and 100,000 shares beneficially owned by The Column Group Management, LP ("TCGM LP"). The Reporting Person disclaims beneficial ownership of the securities except to the extent of his pecuniary interest therein. The securities directly held by TCG II LP are indirectly held by The Column Group II GP, LP ("TCG II GP") the general partner of TCG II LP. TCG II GP shares voting and dispositive power with respect to these shares. The individual managing partners of TCG GP, TCG II GP and TCGM LP are Peter Svennilson and David Goeddel, who may be deemed to have shared voting, investment and dispositive power with respect to these shares. Each individual managing partner disclaims beneficial ownership of these shares, except to the extent of their pecuniary interest in such shares.</w:t>
      </w:r>
    </w:p>
    <w:p>
      <w:pPr>
        <w:spacing w:after="0" w:line="20" w:lineRule="exact"/>
        <w:rPr>
          <w:rFonts w:ascii="Arial" w:cs="Arial" w:eastAsia="Arial" w:hAnsi="Arial"/>
          <w:sz w:val="12"/>
          <w:szCs w:val="12"/>
          <w:color w:val="008000"/>
        </w:rPr>
      </w:pPr>
    </w:p>
    <w:p>
      <w:pPr>
        <w:ind w:left="40" w:right="2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Every two shares of Series A preferred stock, Series B preferred stock, Series C preferred stock and Series D preferred stock automatically converted into one share of common stock in connection with the closing of the issuer's initial public offering. These shares have no expiration date.</w:t>
      </w:r>
    </w:p>
    <w:p>
      <w:pPr>
        <w:spacing w:after="0" w:line="25" w:lineRule="exact"/>
        <w:rPr>
          <w:rFonts w:ascii="Arial" w:cs="Arial" w:eastAsia="Arial" w:hAnsi="Arial"/>
          <w:sz w:val="13"/>
          <w:szCs w:val="13"/>
          <w:color w:val="008000"/>
        </w:rPr>
      </w:pPr>
    </w:p>
    <w:p>
      <w:pPr>
        <w:ind w:left="40" w:right="280" w:firstLine="2"/>
        <w:spacing w:after="0" w:line="26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11,103,333 shares beneficially owned by TCG LP and 1,989,801 shares beneficially owned by TCG II LP. The securities directly held by TCG LP are indirectly held by TCG GP, the general partner of TCG LP. TCG GP shares voting and dispositive power with respect to these shares. The individual managing partners of TCG GP are Peter Svennilson and David Goeddel, who may be deemed to have shared voting, investment and dispositive power with respect to these shares. The Reporting Person disclaims beneficial ownership of the securities except to the extent of his pecuniary interest therein.</w:t>
      </w:r>
    </w:p>
    <w:p>
      <w:pPr>
        <w:spacing w:after="0" w:line="15"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6,000,000 shares beneficially owned by The Column Group, LP ("TCG LP"). The Reporting Person disclaims beneficial ownership of the securities except to the extent of his pecuniary interest therein.</w:t>
      </w:r>
    </w:p>
    <w:p>
      <w:pPr>
        <w:spacing w:after="0" w:line="55" w:lineRule="exact"/>
        <w:rPr>
          <w:rFonts w:ascii="Arial" w:cs="Arial" w:eastAsia="Arial" w:hAnsi="Arial"/>
          <w:sz w:val="12"/>
          <w:szCs w:val="12"/>
          <w:color w:val="008000"/>
        </w:rPr>
      </w:pPr>
    </w:p>
    <w:p>
      <w:pPr>
        <w:ind w:left="40" w:right="42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604,467 shares beneficially owned by TCG II LP and 3,600,000 shares beneficially owned by TCG LP. The Reporting Person disclaims beneficial ownership of the securities except to the extent of his pecuniary interest therein.</w:t>
      </w:r>
    </w:p>
    <w:p>
      <w:pPr>
        <w:spacing w:after="0" w:line="25" w:lineRule="exact"/>
        <w:rPr>
          <w:rFonts w:ascii="Arial" w:cs="Arial" w:eastAsia="Arial" w:hAnsi="Arial"/>
          <w:sz w:val="13"/>
          <w:szCs w:val="13"/>
          <w:color w:val="008000"/>
        </w:rPr>
      </w:pPr>
    </w:p>
    <w:p>
      <w:pPr>
        <w:ind w:left="40" w:right="48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18,667 shares beneficially owned by TCG II LP and 1,170,000 shares beneficially owned by TCG LP. The Reporting Person disclaims beneficial ownership of the securities except to the extent of his pecuniary interest therein.</w:t>
      </w:r>
    </w:p>
    <w:p>
      <w:pPr>
        <w:spacing w:after="0" w:line="25" w:lineRule="exact"/>
        <w:rPr>
          <w:rFonts w:ascii="Arial" w:cs="Arial" w:eastAsia="Arial" w:hAnsi="Arial"/>
          <w:sz w:val="13"/>
          <w:szCs w:val="13"/>
          <w:color w:val="008000"/>
        </w:rPr>
      </w:pPr>
    </w:p>
    <w:p>
      <w:pPr>
        <w:ind w:left="40" w:right="42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1,366,667 shares beneficially owned by TCG II LP and 333,333 shares beneficially owned by TCG LP. The Reporting Person disclaims beneficial ownership of the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William J. Rieflin, Attorney-</w:t>
            </w:r>
          </w:p>
        </w:tc>
        <w:tc>
          <w:tcPr>
            <w:tcW w:w="8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6"/>
              </w:rPr>
              <w:t>04/10/2019</w:t>
            </w:r>
          </w:p>
        </w:tc>
        <w:tc>
          <w:tcPr>
            <w:tcW w:w="0" w:type="dxa"/>
            <w:vAlign w:val="bottom"/>
          </w:tcPr>
          <w:p>
            <w:pPr>
              <w:spacing w:after="0"/>
              <w:rPr>
                <w:sz w:val="1"/>
                <w:szCs w:val="1"/>
                <w:color w:val="auto"/>
              </w:rPr>
            </w:pPr>
          </w:p>
        </w:tc>
      </w:tr>
      <w:tr>
        <w:trPr>
          <w:trHeight w:val="83"/>
        </w:trPr>
        <w:tc>
          <w:tcPr>
            <w:tcW w:w="222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1" w:orient="portrait"/>
          <w:cols w:equalWidth="0" w:num="1">
            <w:col w:w="11520"/>
          </w:cols>
          <w:pgMar w:left="240" w:top="221"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73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2019-12-24T04:24:23Z</dcterms:created>
  <dcterms:modified xsi:type="dcterms:W3CDTF">2019-12-24T04:24:23Z</dcterms:modified>
</cp:coreProperties>
</file>