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85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85510"/>
                    </a:xfrm>
                    <a:prstGeom prst="rect">
                      <a:avLst/>
                    </a:prstGeom>
                    <a:noFill/>
                  </pic:spPr>
                </pic:pic>
              </a:graphicData>
            </a:graphic>
          </wp:anchor>
        </w:drawing>
      </w:r>
    </w:p>
    <w:p>
      <w:pPr>
        <w:spacing w:after="0" w:line="32" w:lineRule="exact"/>
        <w:rPr>
          <w:sz w:val="24"/>
          <w:szCs w:val="24"/>
          <w:color w:val="auto"/>
        </w:rPr>
      </w:pPr>
    </w:p>
    <w:p>
      <w:pPr>
        <w:sectPr>
          <w:pgSz w:w="11900" w:h="1686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Svennilson Peter</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07/24/2019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68"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1200" w:type="dxa"/>
            <w:vAlign w:val="bottom"/>
            <w:tcBorders>
              <w:top w:val="single" w:sz="8" w:color="9A9A9A"/>
            </w:tcBorders>
          </w:tcPr>
          <w:p>
            <w:pPr>
              <w:spacing w:after="0"/>
              <w:rPr>
                <w:sz w:val="12"/>
                <w:szCs w:val="12"/>
                <w:color w:val="auto"/>
              </w:rPr>
            </w:pPr>
          </w:p>
        </w:tc>
        <w:tc>
          <w:tcPr>
            <w:tcW w:w="14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66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7"/>
              </w:rPr>
              <w:t>4. If Amendment, Date of Original Filed (Month/Day/Year)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60" w:type="dxa"/>
            <w:vAlign w:val="bottom"/>
            <w:gridSpan w:val="6"/>
          </w:tcPr>
          <w:p>
            <w:pPr>
              <w:ind w:left="30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880" w:type="dxa"/>
            <w:vAlign w:val="bottom"/>
          </w:tcPr>
          <w:p>
            <w:pPr>
              <w:spacing w:after="0"/>
              <w:rPr>
                <w:sz w:val="20"/>
                <w:szCs w:val="20"/>
                <w:color w:val="auto"/>
              </w:rPr>
            </w:pPr>
          </w:p>
        </w:tc>
        <w:tc>
          <w:tcPr>
            <w:tcW w:w="1200" w:type="dxa"/>
            <w:vAlign w:val="bottom"/>
            <w:vMerge w:val="restart"/>
          </w:tcPr>
          <w:p>
            <w:pPr>
              <w:ind w:left="140"/>
              <w:spacing w:after="0"/>
              <w:rPr>
                <w:sz w:val="20"/>
                <w:szCs w:val="20"/>
                <w:color w:val="auto"/>
              </w:rPr>
            </w:pPr>
            <w:r>
              <w:rPr>
                <w:rFonts w:ascii="Arial" w:cs="Arial" w:eastAsia="Arial" w:hAnsi="Arial"/>
                <w:sz w:val="18"/>
                <w:szCs w:val="18"/>
                <w:color w:val="0000FF"/>
              </w:rPr>
              <w:t>94158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5"/>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tcPr>
          <w:p>
            <w:pPr>
              <w:ind w:left="14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2920" w:type="dxa"/>
            <w:vAlign w:val="bottom"/>
            <w:tcBorders>
              <w:bottom w:val="single" w:sz="8" w:color="2C2C2C"/>
            </w:tcBorders>
            <w:gridSpan w:val="6"/>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18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4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20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6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3"/>
              </w:rPr>
              <w:t>Code</w:t>
            </w: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V</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0000FF"/>
              </w:rPr>
              <w:t>07/24/2019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Arial" w:cs="Arial" w:eastAsia="Arial" w:hAnsi="Arial"/>
                <w:sz w:val="18"/>
                <w:szCs w:val="18"/>
                <w:color w:val="0000FF"/>
                <w:w w:val="84"/>
              </w:rPr>
              <w:t>29,054</w:t>
            </w:r>
            <w:r>
              <w:rPr>
                <w:rFonts w:ascii="Arial" w:cs="Arial" w:eastAsia="Arial" w:hAnsi="Arial"/>
                <w:sz w:val="22"/>
                <w:szCs w:val="22"/>
                <w:color w:val="008000"/>
                <w:w w:val="84"/>
                <w:vertAlign w:val="superscript"/>
              </w:rPr>
              <w:t>(1)</w:t>
            </w:r>
          </w:p>
        </w:tc>
        <w:tc>
          <w:tcPr>
            <w:tcW w:w="5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13.5094</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6"/>
              </w:rPr>
              <w:t>15,842,859</w:t>
            </w:r>
          </w:p>
        </w:tc>
        <w:tc>
          <w:tcPr>
            <w:tcW w:w="900" w:type="dxa"/>
            <w:vAlign w:val="bottom"/>
          </w:tcPr>
          <w:p>
            <w:pPr>
              <w:jc w:val="center"/>
              <w:ind w:right="13"/>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0000FF"/>
              </w:rPr>
              <w:t>07/25/2019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Arial" w:cs="Arial" w:eastAsia="Arial" w:hAnsi="Arial"/>
                <w:sz w:val="18"/>
                <w:szCs w:val="18"/>
                <w:color w:val="0000FF"/>
                <w:w w:val="84"/>
              </w:rPr>
              <w:t>30,753</w:t>
            </w:r>
            <w:r>
              <w:rPr>
                <w:rFonts w:ascii="Arial" w:cs="Arial" w:eastAsia="Arial" w:hAnsi="Arial"/>
                <w:sz w:val="22"/>
                <w:szCs w:val="22"/>
                <w:color w:val="008000"/>
                <w:w w:val="84"/>
                <w:vertAlign w:val="superscript"/>
              </w:rPr>
              <w:t>(8)</w:t>
            </w:r>
          </w:p>
        </w:tc>
        <w:tc>
          <w:tcPr>
            <w:tcW w:w="5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13.3741</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6"/>
              </w:rPr>
              <w:t>15,873,612</w:t>
            </w:r>
          </w:p>
        </w:tc>
        <w:tc>
          <w:tcPr>
            <w:tcW w:w="900" w:type="dxa"/>
            <w:vAlign w:val="bottom"/>
          </w:tcPr>
          <w:p>
            <w:pPr>
              <w:jc w:val="center"/>
              <w:ind w:right="13"/>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0000FF"/>
              </w:rPr>
              <w:t>07/26/2019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Arial" w:cs="Arial" w:eastAsia="Arial" w:hAnsi="Arial"/>
                <w:sz w:val="18"/>
                <w:szCs w:val="18"/>
                <w:color w:val="0000FF"/>
                <w:w w:val="84"/>
              </w:rPr>
              <w:t>30,059</w:t>
            </w:r>
            <w:r>
              <w:rPr>
                <w:rFonts w:ascii="Arial" w:cs="Arial" w:eastAsia="Arial" w:hAnsi="Arial"/>
                <w:sz w:val="22"/>
                <w:szCs w:val="22"/>
                <w:color w:val="008000"/>
                <w:w w:val="84"/>
                <w:vertAlign w:val="superscript"/>
              </w:rPr>
              <w:t>(9)</w:t>
            </w:r>
          </w:p>
        </w:tc>
        <w:tc>
          <w:tcPr>
            <w:tcW w:w="5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13.5944</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4"/>
              </w:rPr>
              <w:t>15,903,671</w:t>
            </w:r>
            <w:r>
              <w:rPr>
                <w:rFonts w:ascii="Arial" w:cs="Arial" w:eastAsia="Arial" w:hAnsi="Arial"/>
                <w:sz w:val="22"/>
                <w:szCs w:val="22"/>
                <w:color w:val="008000"/>
                <w:w w:val="84"/>
                <w:vertAlign w:val="superscript"/>
              </w:rPr>
              <w:t>(10)</w:t>
            </w:r>
          </w:p>
        </w:tc>
        <w:tc>
          <w:tcPr>
            <w:tcW w:w="900" w:type="dxa"/>
            <w:vAlign w:val="bottom"/>
          </w:tcPr>
          <w:p>
            <w:pPr>
              <w:jc w:val="center"/>
              <w:ind w:right="13"/>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gridSpan w:val="2"/>
          </w:tcPr>
          <w:p>
            <w:pPr>
              <w:jc w:val="center"/>
              <w:ind w:right="53"/>
              <w:spacing w:after="0"/>
              <w:rPr>
                <w:sz w:val="20"/>
                <w:szCs w:val="20"/>
                <w:color w:val="auto"/>
              </w:rPr>
            </w:pPr>
            <w:r>
              <w:rPr>
                <w:rFonts w:ascii="Arial" w:cs="Arial" w:eastAsia="Arial" w:hAnsi="Arial"/>
                <w:sz w:val="18"/>
                <w:szCs w:val="18"/>
                <w:color w:val="0000FF"/>
                <w:w w:val="87"/>
              </w:rPr>
              <w:t>20,000</w:t>
            </w:r>
          </w:p>
        </w:tc>
        <w:tc>
          <w:tcPr>
            <w:tcW w:w="9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gridSpan w:val="3"/>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0" w:type="dxa"/>
            <w:vAlign w:val="bottom"/>
            <w:gridSpan w:val="14"/>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1040" w:type="dxa"/>
            <w:vAlign w:val="bottom"/>
            <w:gridSpan w:val="3"/>
          </w:tcPr>
          <w:p>
            <w:pPr>
              <w:ind w:left="20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gridSpan w:val="3"/>
          </w:tcPr>
          <w:p>
            <w:pPr>
              <w:ind w:left="18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2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40" w:type="dxa"/>
            <w:vAlign w:val="bottom"/>
            <w:gridSpan w:val="4"/>
          </w:tcPr>
          <w:p>
            <w:pPr>
              <w:ind w:left="280"/>
              <w:spacing w:after="0" w:line="135" w:lineRule="exact"/>
              <w:rPr>
                <w:sz w:val="20"/>
                <w:szCs w:val="20"/>
                <w:color w:val="auto"/>
              </w:rPr>
            </w:pPr>
            <w:r>
              <w:rPr>
                <w:rFonts w:ascii="Arial" w:cs="Arial" w:eastAsia="Arial" w:hAnsi="Arial"/>
                <w:sz w:val="12"/>
                <w:szCs w:val="12"/>
                <w:b w:val="1"/>
                <w:bCs w:val="1"/>
                <w:color w:val="auto"/>
              </w:rPr>
              <w:t>(Month/Day/Year)  8)</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80" w:type="dxa"/>
            <w:vAlign w:val="bottom"/>
            <w:gridSpan w:val="5"/>
          </w:tcPr>
          <w:p>
            <w:pPr>
              <w:ind w:left="180"/>
              <w:spacing w:after="0" w:line="135" w:lineRule="exact"/>
              <w:rPr>
                <w:sz w:val="20"/>
                <w:szCs w:val="20"/>
                <w:color w:val="auto"/>
              </w:rPr>
            </w:pPr>
            <w:r>
              <w:rPr>
                <w:rFonts w:ascii="Arial" w:cs="Arial" w:eastAsia="Arial" w:hAnsi="Arial"/>
                <w:sz w:val="12"/>
                <w:szCs w:val="12"/>
                <w:b w:val="1"/>
                <w:bCs w:val="1"/>
                <w:color w:val="auto"/>
              </w:rPr>
              <w:t>Security (Instr. 3</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Number</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jc w:val="center"/>
              <w:ind w:right="512"/>
              <w:spacing w:after="0" w:line="135" w:lineRule="exact"/>
              <w:rPr>
                <w:sz w:val="20"/>
                <w:szCs w:val="20"/>
                <w:color w:val="auto"/>
              </w:rPr>
            </w:pPr>
            <w:r>
              <w:rPr>
                <w:rFonts w:ascii="Arial" w:cs="Arial" w:eastAsia="Arial" w:hAnsi="Arial"/>
                <w:sz w:val="12"/>
                <w:szCs w:val="12"/>
                <w:b w:val="1"/>
                <w:bCs w:val="1"/>
                <w:color w:val="auto"/>
              </w:rPr>
              <w:t>Expiration</w:t>
            </w:r>
          </w:p>
        </w:tc>
        <w:tc>
          <w:tcPr>
            <w:tcW w:w="1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14,527 shares held directly by Ponoi Capital, LP ("Ponoi LP") and 14,527 shares held directly by Ponoi Capital II, LP ("Ponoi II LP").</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15,377 shares held directly by Ponoi LP and 15,376 shares held directly by Ponoi II LP.</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15,029 shares held directly by Ponoi LP and 15,030 shares held directly by Ponoi II LP.</w:t>
      </w:r>
    </w:p>
    <w:p>
      <w:pPr>
        <w:spacing w:after="0" w:line="41" w:lineRule="exact"/>
        <w:rPr>
          <w:rFonts w:ascii="Arial" w:cs="Arial" w:eastAsia="Arial" w:hAnsi="Arial"/>
          <w:sz w:val="14"/>
          <w:szCs w:val="14"/>
          <w:color w:val="008000"/>
        </w:rPr>
      </w:pPr>
    </w:p>
    <w:p>
      <w:pPr>
        <w:ind w:left="40" w:right="180" w:firstLine="9"/>
        <w:spacing w:after="0" w:line="27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1,167,290 shares of Common Stock held directly by Ponoi LP and 1,167,290 shares of Common Stock held directly by Ponoi II LP. The Reporting Person disclaims beneficial ownership of the securities except to the extent of his pecuniary interest therein.</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07/26/2019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68" w:orient="portrait"/>
          <w:cols w:equalWidth="0" w:num="1">
            <w:col w:w="11420"/>
          </w:cols>
          <w:pgMar w:left="240" w:top="226" w:right="2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07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2019-12-24T08:44:40Z</dcterms:created>
  <dcterms:modified xsi:type="dcterms:W3CDTF">2019-12-24T08:44:40Z</dcterms:modified>
</cp:coreProperties>
</file>