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876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87603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4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GOEDDEL DAVID V</w:t>
              </w:r>
            </w:hyperlink>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NGM BIOPHARMACEUTICALS INC </w:t>
              </w:r>
            </w:hyperlink>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tc>
        <w:tc>
          <w:tcPr>
            <w:tcW w:w="3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tcBorders>
              <w:top w:val="single" w:sz="8" w:color="0000EE"/>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4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00" w:type="dxa"/>
            <w:vAlign w:val="bottom"/>
          </w:tcPr>
          <w:p>
            <w:pPr>
              <w:spacing w:after="0"/>
              <w:rPr>
                <w:sz w:val="19"/>
                <w:szCs w:val="19"/>
                <w:color w:val="auto"/>
              </w:rPr>
            </w:pPr>
          </w:p>
        </w:tc>
        <w:tc>
          <w:tcPr>
            <w:tcW w:w="35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06/02/2022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40" w:type="dxa"/>
            <w:vAlign w:val="bottom"/>
            <w:gridSpan w:val="3"/>
            <w:vMerge w:val="continue"/>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5"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2"/>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540" w:type="dxa"/>
            <w:vAlign w:val="bottom"/>
            <w:gridSpan w:val="7"/>
            <w:vMerge w:val="continue"/>
          </w:tcPr>
          <w:p>
            <w:pPr>
              <w:spacing w:after="0"/>
              <w:rPr>
                <w:sz w:val="8"/>
                <w:szCs w:val="8"/>
                <w:color w:val="auto"/>
              </w:rPr>
            </w:pPr>
          </w:p>
        </w:tc>
        <w:tc>
          <w:tcPr>
            <w:tcW w:w="376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9"/>
                <w:szCs w:val="19"/>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9"/>
                <w:szCs w:val="1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4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0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4100" w:type="dxa"/>
            <w:vAlign w:val="bottom"/>
            <w:tcBorders>
              <w:bottom w:val="single" w:sz="8" w:color="2C2C2C"/>
            </w:tcBorders>
            <w:gridSpan w:val="9"/>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5"/>
                <w:szCs w:val="15"/>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21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00" w:type="dxa"/>
            <w:vAlign w:val="bottom"/>
          </w:tcPr>
          <w:p>
            <w:pPr>
              <w:spacing w:after="0"/>
              <w:rPr>
                <w:sz w:val="11"/>
                <w:szCs w:val="11"/>
                <w:color w:val="auto"/>
              </w:rPr>
            </w:pP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Following</w:t>
            </w:r>
          </w:p>
        </w:tc>
        <w:tc>
          <w:tcPr>
            <w:tcW w:w="560" w:type="dxa"/>
            <w:vAlign w:val="bottom"/>
          </w:tcPr>
          <w:p>
            <w:pPr>
              <w:spacing w:after="0"/>
              <w:rPr>
                <w:sz w:val="13"/>
                <w:szCs w:val="13"/>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4"/>
            <w:vMerge w:val="restart"/>
          </w:tcPr>
          <w:p>
            <w:pPr>
              <w:ind w:left="12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8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38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06/02/2022</w:t>
            </w: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Pr>
          <w:p>
            <w:pPr>
              <w:spacing w:after="0"/>
              <w:rPr>
                <w:sz w:val="21"/>
                <w:szCs w:val="21"/>
                <w:color w:val="auto"/>
              </w:rPr>
            </w:pPr>
          </w:p>
        </w:tc>
        <w:tc>
          <w:tcPr>
            <w:tcW w:w="74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33,071</w:t>
            </w:r>
          </w:p>
        </w:tc>
        <w:tc>
          <w:tcPr>
            <w:tcW w:w="3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w w:val="97"/>
              </w:rPr>
              <w:t>A</w:t>
            </w:r>
          </w:p>
        </w:tc>
        <w:tc>
          <w:tcPr>
            <w:tcW w:w="1080" w:type="dxa"/>
            <w:vAlign w:val="bottom"/>
            <w:gridSpan w:val="4"/>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13.0333</w:t>
            </w:r>
            <w:r>
              <w:rPr>
                <w:rFonts w:ascii="Times New Roman" w:cs="Times New Roman" w:eastAsia="Times New Roman" w:hAnsi="Times New Roman"/>
                <w:sz w:val="22"/>
                <w:szCs w:val="22"/>
                <w:color w:val="008000"/>
                <w:vertAlign w:val="superscript"/>
              </w:rPr>
              <w:t>(1)</w:t>
            </w:r>
          </w:p>
        </w:tc>
        <w:tc>
          <w:tcPr>
            <w:tcW w:w="40" w:type="dxa"/>
            <w:vAlign w:val="bottom"/>
          </w:tcPr>
          <w:p>
            <w:pPr>
              <w:spacing w:after="0"/>
              <w:rPr>
                <w:sz w:val="21"/>
                <w:szCs w:val="21"/>
                <w:color w:val="auto"/>
              </w:rPr>
            </w:pPr>
          </w:p>
        </w:tc>
        <w:tc>
          <w:tcPr>
            <w:tcW w:w="11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1,698,493</w:t>
            </w:r>
          </w:p>
        </w:tc>
        <w:tc>
          <w:tcPr>
            <w:tcW w:w="320" w:type="dxa"/>
            <w:vAlign w:val="bottom"/>
          </w:tcPr>
          <w:p>
            <w:pPr>
              <w:spacing w:after="0"/>
              <w:rPr>
                <w:sz w:val="21"/>
                <w:szCs w:val="21"/>
                <w:color w:val="auto"/>
              </w:rPr>
            </w:pPr>
          </w:p>
        </w:tc>
        <w:tc>
          <w:tcPr>
            <w:tcW w:w="500" w:type="dxa"/>
            <w:vAlign w:val="bottom"/>
            <w:vMerge w:val="restart"/>
          </w:tcPr>
          <w:p>
            <w:pPr>
              <w:jc w:val="center"/>
              <w:ind w:right="30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8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60" w:type="dxa"/>
            <w:vAlign w:val="bottom"/>
            <w:tcBorders>
              <w:top w:val="single" w:sz="8" w:color="2C2C2C"/>
            </w:tcBorders>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06/02/2022</w:t>
            </w:r>
          </w:p>
        </w:tc>
        <w:tc>
          <w:tcPr>
            <w:tcW w:w="9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right"/>
              <w:ind w:right="71"/>
              <w:spacing w:after="0"/>
              <w:rPr>
                <w:sz w:val="20"/>
                <w:szCs w:val="20"/>
                <w:color w:val="auto"/>
              </w:rPr>
            </w:pPr>
            <w:r>
              <w:rPr>
                <w:rFonts w:ascii="Times New Roman" w:cs="Times New Roman" w:eastAsia="Times New Roman" w:hAnsi="Times New Roman"/>
                <w:sz w:val="17"/>
                <w:szCs w:val="17"/>
                <w:color w:val="0000FF"/>
              </w:rPr>
              <w:t>1,129</w:t>
            </w:r>
          </w:p>
        </w:tc>
        <w:tc>
          <w:tcPr>
            <w:tcW w:w="360" w:type="dxa"/>
            <w:vAlign w:val="bottom"/>
            <w:tcBorders>
              <w:top w:val="single" w:sz="8" w:color="2C2C2C"/>
            </w:tcBorders>
            <w:vMerge w:val="restart"/>
          </w:tcPr>
          <w:p>
            <w:pPr>
              <w:ind w:left="220"/>
              <w:spacing w:after="0"/>
              <w:rPr>
                <w:sz w:val="20"/>
                <w:szCs w:val="20"/>
                <w:color w:val="auto"/>
              </w:rPr>
            </w:pPr>
            <w:r>
              <w:rPr>
                <w:rFonts w:ascii="Times New Roman" w:cs="Times New Roman" w:eastAsia="Times New Roman" w:hAnsi="Times New Roman"/>
                <w:sz w:val="17"/>
                <w:szCs w:val="17"/>
                <w:color w:val="0000FF"/>
                <w:w w:val="97"/>
              </w:rPr>
              <w:t>A</w:t>
            </w:r>
          </w:p>
        </w:tc>
        <w:tc>
          <w:tcPr>
            <w:tcW w:w="1080" w:type="dxa"/>
            <w:vAlign w:val="bottom"/>
            <w:tcBorders>
              <w:top w:val="single" w:sz="8" w:color="2C2C2C"/>
            </w:tcBorders>
            <w:gridSpan w:val="4"/>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13.0333</w:t>
            </w:r>
            <w:r>
              <w:rPr>
                <w:rFonts w:ascii="Times New Roman" w:cs="Times New Roman" w:eastAsia="Times New Roman" w:hAnsi="Times New Roman"/>
                <w:sz w:val="22"/>
                <w:szCs w:val="22"/>
                <w:color w:val="008000"/>
                <w:vertAlign w:val="superscript"/>
              </w:rPr>
              <w:t>(1)</w:t>
            </w: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w w:val="98"/>
              </w:rPr>
              <w:t>57,965</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8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11,103,333</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858,035</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968,990</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2,265,758</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1,298,908</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1,298,908</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100,000</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100,000</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90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320" w:type="dxa"/>
            <w:vAlign w:val="bottom"/>
            <w:tcBorders>
              <w:top w:val="single" w:sz="8" w:color="2C2C2C"/>
            </w:tcBorders>
          </w:tcPr>
          <w:p>
            <w:pPr>
              <w:spacing w:after="0"/>
              <w:rPr>
                <w:sz w:val="23"/>
                <w:szCs w:val="23"/>
                <w:color w:val="auto"/>
              </w:rPr>
            </w:pPr>
          </w:p>
        </w:tc>
        <w:tc>
          <w:tcPr>
            <w:tcW w:w="48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ind w:right="40"/>
              <w:spacing w:after="0"/>
              <w:rPr>
                <w:sz w:val="20"/>
                <w:szCs w:val="20"/>
                <w:color w:val="auto"/>
              </w:rPr>
            </w:pPr>
            <w:r>
              <w:rPr>
                <w:rFonts w:ascii="Times New Roman" w:cs="Times New Roman" w:eastAsia="Times New Roman" w:hAnsi="Times New Roman"/>
                <w:sz w:val="17"/>
                <w:szCs w:val="17"/>
                <w:color w:val="0000FF"/>
                <w:w w:val="98"/>
              </w:rPr>
              <w:t>80,000</w:t>
            </w:r>
          </w:p>
        </w:tc>
        <w:tc>
          <w:tcPr>
            <w:tcW w:w="32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jc w:val="center"/>
              <w:ind w:right="306"/>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110,000</w:t>
            </w:r>
          </w:p>
        </w:tc>
        <w:tc>
          <w:tcPr>
            <w:tcW w:w="320" w:type="dxa"/>
            <w:vAlign w:val="bottom"/>
          </w:tcPr>
          <w:p>
            <w:pPr>
              <w:spacing w:after="0"/>
              <w:rPr>
                <w:sz w:val="21"/>
                <w:szCs w:val="21"/>
                <w:color w:val="auto"/>
              </w:rPr>
            </w:pPr>
          </w:p>
        </w:tc>
        <w:tc>
          <w:tcPr>
            <w:tcW w:w="500" w:type="dxa"/>
            <w:vAlign w:val="bottom"/>
            <w:vMerge w:val="restart"/>
          </w:tcPr>
          <w:p>
            <w:pPr>
              <w:jc w:val="center"/>
              <w:ind w:right="30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4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0" w:type="dxa"/>
            <w:vAlign w:val="bottom"/>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$13.02 to $13.48,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(1) to this Form 4.</w:t>
      </w:r>
    </w:p>
    <w:p>
      <w:pPr>
        <w:sectPr>
          <w:pgSz w:w="11900" w:h="16838" w:orient="portrait"/>
          <w:cols w:equalWidth="0" w:num="1">
            <w:col w:w="11080"/>
          </w:cols>
          <w:pgMar w:left="460" w:top="219" w:right="359" w:bottom="0" w:gutter="0" w:footer="0" w:header="0"/>
          <w:type w:val="continuous"/>
        </w:sectPr>
      </w:pPr>
    </w:p>
    <w:bookmarkStart w:id="1" w:name="page2"/>
    <w:bookmarkEnd w:id="1"/>
    <w:p>
      <w:pPr>
        <w:ind w:right="20" w:firstLine="7"/>
        <w:spacing w:after="0" w:line="244"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David Goeddel, a member of the issuer's board of directors, Peter Svennilson and Tim Kutzkey (collectively,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right="180" w:firstLine="7"/>
        <w:spacing w:after="0" w:line="244"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right="1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and investment power with respect to these securities. The managing partners of TCG GP are the Reporting Person, a member of the issuer's board of directors and Peter Svennilson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the Reporting Person, a member of the issuer's board of directors, Peter Svennilson and Tim Kutzkey (collectively, the "TCG III Managing Partners"). The TCG III GP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80" w:firstLine="7"/>
        <w:spacing w:after="0" w:line="248"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III GP Managing Partners. The TCG III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176"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jc w:val="both"/>
        <w:ind w:right="20"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and investment power with respect to these securities. The managing partners of Ponoi LLC are the Ponoi Managing Partners. The TCG III Managing Partners may be deemed to share voting and investment power with respect to such securities. Ponoi LLC and the each of the TCG III Managing Partners disclaims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2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partners of Ponoi II LLC are the TCG III Managing Partners. The TCG III Managing Partners may be deemed to share voting and investment power with respect to such securities. Ponoi II LLC and the each of the TCG III Managing Partners disclaims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200"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partners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Partners. The TCG Managing Partners may be</w:t>
      </w:r>
    </w:p>
    <w:p>
      <w:pPr>
        <w:spacing w:after="0" w:line="11" w:lineRule="exact"/>
        <w:rPr>
          <w:rFonts w:ascii="Times New Roman" w:cs="Times New Roman" w:eastAsia="Times New Roman" w:hAnsi="Times New Roman"/>
          <w:sz w:val="13"/>
          <w:szCs w:val="13"/>
          <w:color w:val="008000"/>
        </w:rPr>
      </w:pPr>
    </w:p>
    <w:p>
      <w:pPr>
        <w:ind w:right="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deemed to share voting and investment power with respect to such securities. Each of the TCG Managing Partners disclaim beneficial ownership of these securities, except to the extent of their respective pecuniary interest in such securities.</w:t>
      </w:r>
    </w:p>
    <w:p>
      <w:pPr>
        <w:spacing w:after="0" w:line="21"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David V. Goeddel and Alena Z. Goeddel 2004 Trust for which the Reporting Person and Alena Z. Goeddel serve as co-trustee.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James Evangelista,</w:t>
            </w:r>
          </w:p>
        </w:tc>
        <w:tc>
          <w:tcPr>
            <w:tcW w:w="5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06/06/2022</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2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2022-06-06T15:42:20Z</dcterms:created>
  <dcterms:modified xsi:type="dcterms:W3CDTF">2022-06-06T15:42:20Z</dcterms:modified>
</cp:coreProperties>
</file>