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Arial" w:cs="Arial" w:eastAsia="Arial" w:hAnsi="Arial"/>
          <w:sz w:val="18"/>
          <w:szCs w:val="18"/>
          <w:color w:val="auto"/>
        </w:rPr>
        <w:t>Filed Pursuant to Rule 424(b)(5)</w:t>
      </w:r>
    </w:p>
    <w:p>
      <w:pPr>
        <w:jc w:val="right"/>
        <w:spacing w:after="0"/>
        <w:rPr>
          <w:sz w:val="20"/>
          <w:szCs w:val="20"/>
          <w:color w:val="auto"/>
        </w:rPr>
      </w:pPr>
      <w:r>
        <w:rPr>
          <w:rFonts w:ascii="Arial" w:cs="Arial" w:eastAsia="Arial" w:hAnsi="Arial"/>
          <w:sz w:val="18"/>
          <w:szCs w:val="18"/>
          <w:color w:val="auto"/>
        </w:rPr>
        <w:t>Registration No. 333-238991</w:t>
      </w:r>
    </w:p>
    <w:p>
      <w:pPr>
        <w:spacing w:after="0" w:line="122"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Prospectus</w:t>
      </w:r>
    </w:p>
    <w:p>
      <w:pPr>
        <w:spacing w:after="0" w:line="194"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$150,000,000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2665730</wp:posOffset>
            </wp:positionH>
            <wp:positionV relativeFrom="paragraph">
              <wp:posOffset>182245</wp:posOffset>
            </wp:positionV>
            <wp:extent cx="1663065"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NGM Biopharmaceuticals, Inc.</w:t>
      </w:r>
    </w:p>
    <w:p>
      <w:pPr>
        <w:spacing w:after="0" w:line="220"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Common Stock</w:t>
      </w:r>
    </w:p>
    <w:p>
      <w:pPr>
        <w:spacing w:after="0" w:line="257" w:lineRule="exact"/>
        <w:rPr>
          <w:sz w:val="24"/>
          <w:szCs w:val="24"/>
          <w:color w:val="auto"/>
        </w:rPr>
      </w:pPr>
    </w:p>
    <w:p>
      <w:pPr>
        <w:ind w:left="4" w:right="200"/>
        <w:spacing w:after="0" w:line="239" w:lineRule="auto"/>
        <w:rPr>
          <w:sz w:val="20"/>
          <w:szCs w:val="20"/>
          <w:color w:val="auto"/>
        </w:rPr>
      </w:pPr>
      <w:r>
        <w:rPr>
          <w:rFonts w:ascii="Arial" w:cs="Arial" w:eastAsia="Arial" w:hAnsi="Arial"/>
          <w:sz w:val="18"/>
          <w:szCs w:val="18"/>
          <w:color w:val="auto"/>
        </w:rPr>
        <w:t>We have entered into an Open Market Sale Agreement</w:t>
      </w:r>
      <w:r>
        <w:rPr>
          <w:rFonts w:ascii="Arial" w:cs="Arial" w:eastAsia="Arial" w:hAnsi="Arial"/>
          <w:sz w:val="15"/>
          <w:szCs w:val="15"/>
          <w:color w:val="auto"/>
        </w:rPr>
        <w:t>SM</w:t>
      </w:r>
      <w:r>
        <w:rPr>
          <w:rFonts w:ascii="Arial" w:cs="Arial" w:eastAsia="Arial" w:hAnsi="Arial"/>
          <w:sz w:val="18"/>
          <w:szCs w:val="18"/>
          <w:color w:val="auto"/>
        </w:rPr>
        <w:t>, or the sales agreement, with Jefferies LLC, or Jefferies, relating to the sale of shares of our common stock offered by this prospectus. In accordance with the terms of the sales agreement, we may offer and sell shares of our common stock having an aggregate offering price of up to $150,000,000 from time to time through Jefferies, acting as our sales agent.</w:t>
      </w:r>
    </w:p>
    <w:p>
      <w:pPr>
        <w:spacing w:after="0" w:line="204" w:lineRule="exact"/>
        <w:rPr>
          <w:sz w:val="24"/>
          <w:szCs w:val="24"/>
          <w:color w:val="auto"/>
        </w:rPr>
      </w:pPr>
    </w:p>
    <w:p>
      <w:pPr>
        <w:ind w:left="4" w:right="100"/>
        <w:spacing w:after="0" w:line="246" w:lineRule="auto"/>
        <w:rPr>
          <w:sz w:val="20"/>
          <w:szCs w:val="20"/>
          <w:color w:val="auto"/>
        </w:rPr>
      </w:pPr>
      <w:r>
        <w:rPr>
          <w:rFonts w:ascii="Arial" w:cs="Arial" w:eastAsia="Arial" w:hAnsi="Arial"/>
          <w:sz w:val="18"/>
          <w:szCs w:val="18"/>
          <w:color w:val="auto"/>
        </w:rPr>
        <w:t>Our common stock is listed on The Nasdaq Global Select Market under the symbol “NGM.” On June 15, 2020, the last reported sale price of our common stock was $21.58 per share.</w:t>
      </w:r>
    </w:p>
    <w:p>
      <w:pPr>
        <w:spacing w:after="0" w:line="197" w:lineRule="exact"/>
        <w:rPr>
          <w:sz w:val="24"/>
          <w:szCs w:val="24"/>
          <w:color w:val="auto"/>
        </w:rPr>
      </w:pPr>
    </w:p>
    <w:p>
      <w:pPr>
        <w:ind w:left="4"/>
        <w:spacing w:after="0"/>
        <w:rPr>
          <w:sz w:val="20"/>
          <w:szCs w:val="20"/>
          <w:color w:val="auto"/>
        </w:rPr>
      </w:pPr>
      <w:r>
        <w:rPr>
          <w:rFonts w:ascii="Arial" w:cs="Arial" w:eastAsia="Arial" w:hAnsi="Arial"/>
          <w:sz w:val="17"/>
          <w:szCs w:val="17"/>
          <w:color w:val="auto"/>
        </w:rPr>
        <w:t>Sales of our shares, if any, under this prospectus may be made in sales deemed to be an “at the market offering” as defined in Rule 415(a)</w:t>
      </w:r>
    </w:p>
    <w:p>
      <w:pPr>
        <w:spacing w:after="0" w:line="7" w:lineRule="exact"/>
        <w:rPr>
          <w:sz w:val="24"/>
          <w:szCs w:val="24"/>
          <w:color w:val="auto"/>
        </w:rPr>
      </w:pPr>
    </w:p>
    <w:p>
      <w:pPr>
        <w:ind w:left="4" w:right="60" w:hanging="4"/>
        <w:spacing w:after="0" w:line="238" w:lineRule="auto"/>
        <w:tabs>
          <w:tab w:leader="none" w:pos="27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promulgated under the Securities Act of 1933, as amended, or the Securities Act. Jefferies is not required to sell any specific number or dollar amount of securities, but will act as a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205" w:lineRule="exact"/>
        <w:rPr>
          <w:sz w:val="24"/>
          <w:szCs w:val="24"/>
          <w:color w:val="auto"/>
        </w:rPr>
      </w:pPr>
    </w:p>
    <w:p>
      <w:pPr>
        <w:ind w:left="4" w:right="80"/>
        <w:spacing w:after="0" w:line="237" w:lineRule="auto"/>
        <w:rPr>
          <w:sz w:val="20"/>
          <w:szCs w:val="20"/>
          <w:color w:val="auto"/>
        </w:rPr>
      </w:pPr>
      <w:r>
        <w:rPr>
          <w:rFonts w:ascii="Arial" w:cs="Arial" w:eastAsia="Arial" w:hAnsi="Arial"/>
          <w:sz w:val="18"/>
          <w:szCs w:val="18"/>
          <w:color w:val="auto"/>
        </w:rPr>
        <w:t>Jefferies will be entitled to compensation under the terms of the sales agreement at a fixed commission rate of up to 3.0% of the gross sales price per share sold under the sales agreement. See “Plan of Distribution” beginning on page 17 for additional information regarding Jefferies’ compensation. In connection with the sale of common stock on our behalf, Jefferies will be deemed to be an “underwriter” within the meaning of the Securities Act and the compensation of Jefferies will be deemed to be underwriting commissions or discounts. We have also agreed to provide indemnification to Jefferies against certain liabilities, including liabilities under the Securities Act or the Securities Exchange Act of 1934, as amended, or the Exchange Act. See section titled “Plan of Distribution” on page 17 of this prospectus.</w:t>
      </w:r>
    </w:p>
    <w:p>
      <w:pPr>
        <w:spacing w:after="0" w:line="181" w:lineRule="exact"/>
        <w:rPr>
          <w:sz w:val="24"/>
          <w:szCs w:val="24"/>
          <w:color w:val="auto"/>
        </w:rPr>
      </w:pPr>
    </w:p>
    <w:p>
      <w:pPr>
        <w:ind w:left="4" w:right="440"/>
        <w:spacing w:after="0" w:line="247"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Before making an investment decision, please read the information contained in and incorporated by reference under the heading “</w:t>
      </w:r>
      <w:hyperlink w:anchor="page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4 of this prospectus, and under similar headings in the other documents that we have filed or that are filed after the date hereof and incorporated by reference into this prospectus</w:t>
      </w:r>
      <w:r>
        <w:rPr>
          <w:rFonts w:ascii="Arial" w:cs="Arial" w:eastAsia="Arial" w:hAnsi="Arial"/>
          <w:sz w:val="18"/>
          <w:szCs w:val="18"/>
          <w:b w:val="1"/>
          <w:bCs w:val="1"/>
          <w:i w:val="1"/>
          <w:iCs w:val="1"/>
          <w:color w:val="auto"/>
        </w:rPr>
        <w:t>.</w:t>
      </w:r>
    </w:p>
    <w:p>
      <w:pPr>
        <w:spacing w:after="0" w:line="196" w:lineRule="exact"/>
        <w:rPr>
          <w:sz w:val="24"/>
          <w:szCs w:val="24"/>
          <w:color w:val="auto"/>
        </w:rPr>
      </w:pPr>
    </w:p>
    <w:p>
      <w:pPr>
        <w:ind w:left="4" w:right="80"/>
        <w:spacing w:after="0" w:line="24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7"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Jefferies</w:t>
      </w: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Prospectus dated June 16, 2020.</w:t>
      </w:r>
    </w:p>
    <w:p>
      <w:pPr>
        <w:sectPr>
          <w:pgSz w:w="11900" w:h="16838" w:orient="portrait"/>
          <w:cols w:equalWidth="0" w:num="1">
            <w:col w:w="11024"/>
          </w:cols>
          <w:pgMar w:left="436" w:top="242" w:right="4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ABOUT THIS PROSPECTUS</w:t>
              </w:r>
            </w:hyperlink>
          </w:p>
        </w:tc>
        <w:tc>
          <w:tcPr>
            <w:tcW w:w="3020" w:type="dxa"/>
            <w:vAlign w:val="bottom"/>
          </w:tcPr>
          <w:p>
            <w:pPr>
              <w:spacing w:after="0"/>
              <w:rPr>
                <w:sz w:val="17"/>
                <w:szCs w:val="17"/>
                <w:color w:val="auto"/>
              </w:rPr>
            </w:pP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PROSPECTUS SUMMARY</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RISK FACTORS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SPECIAL NOTE REGARDING FORWARD-LOOKING STATEMENTS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USE OF PROCEEDS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3">
              <w:r>
                <w:rPr>
                  <w:rFonts w:ascii="Arial" w:cs="Arial" w:eastAsia="Arial" w:hAnsi="Arial"/>
                  <w:sz w:val="17"/>
                  <w:szCs w:val="17"/>
                  <w:u w:val="single" w:color="auto"/>
                  <w:color w:val="0000EE"/>
                </w:rPr>
                <w:t>DILUTION</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DESCRIPTION OF CAPITAL STOCK</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PLAN OF DISTRIBUTION</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LEGAL MATTERS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EXPERTS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WHERE YOU CAN FIND ADDITIONAL INFORMATION</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INCORPORATION OF CERTAIN INFORMATION BY REFERENCE</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6"/>
        </w:trPr>
        <w:tc>
          <w:tcPr>
            <w:tcW w:w="80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THIS PROSPECTUS</w:t>
      </w:r>
    </w:p>
    <w:p>
      <w:pPr>
        <w:spacing w:after="0" w:line="336"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This prospectus is part of a registration statement that we have filed with the Securities and Exchange Commission, or SEC, utilizing a “shelf” registration process. Under the shelf registration statement, we may, from time to time, offer and sell, either individually or in combination, in one or more offerings shares of our common stock, preferred stock, debt securities and warrants, including common stock or preferred stock upon conversion of debt securities, common stock upon conversion of preferred stock, or common stock, preferred stock or debt securities upon the exercise of warrants, having an aggregate offering price of up to $400,000,000. Under this prospectus, we may offer and sell shares of our common stock having an aggregate offering price of up to $150,000,000 from time to time at prices and on terms to be determined by market conditions at the time of offering.</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prospectus describes the terms of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into this prospectus), the statement in the document having the later date modifies or supersedes the earlier statement.</w:t>
      </w:r>
    </w:p>
    <w:p>
      <w:pPr>
        <w:spacing w:after="0" w:line="14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have not, and Jefferies has not, authorized anyone to provide any information other than that contained or incorporated by reference in this prospectus or in any free writing prospectus that we have authorized for use in connection with this offering. We and Jefferies take no responsibility for, and can provide no assurance as to the reliability of, any other information that others may give you. This prospectus does not constitute an offer to sell, or a solicitation of an offer to purchase, the securities offered by this prospectus in any jurisdiction to or from any person to whom or from whom it is unlawful to make such offer or solicitation of an offer in such jurisdiction. The information appearing in this prospectus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or any related free writing prospectus, or any sale of shares of our common stock. Our business, financial condition, results of operations and prospects may have changed since those dates. It is important for you to read and consider all information contained in this prospectus and any free writing prospectus that we have authorized for use in connection with this offering, including the documents incorporated by reference herein and therein, in making your investment decision. You should also read and consider the information in the documents to which we have referred you in the sections titled “Where You Can Find Additional Information” and “Incorporation of Certain Information by Reference” in this prospectus.</w:t>
      </w:r>
    </w:p>
    <w:p>
      <w:pPr>
        <w:spacing w:after="0" w:line="15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data and industry statistics and forecasts presented in this prospectus and the documents incorporated herein by reference, these estimates involve risks and uncertainties and are subject to change based on various factors, including those discussed under the heading “Risk Factors” contained in this prospectus and any related free writing prospectus, and under similar headings in the other documents that are incorporated by reference into this prospectus. Accordingly, investors should not place undue reliance on this information.</w:t>
      </w:r>
    </w:p>
    <w:p>
      <w:pPr>
        <w:spacing w:after="0" w:line="151"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ectPr>
          <w:pgSz w:w="11900" w:h="16838" w:orient="portrait"/>
          <w:cols w:equalWidth="0" w:num="1">
            <w:col w:w="11000"/>
          </w:cols>
          <w:pgMar w:left="440" w:top="265" w:right="45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5916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5916930"/>
                    </a:xfrm>
                    <a:prstGeom prst="rect">
                      <a:avLst/>
                    </a:prstGeom>
                    <a:noFill/>
                  </pic:spPr>
                </pic:pic>
              </a:graphicData>
            </a:graphic>
          </wp:anchor>
        </w:drawing>
        <w:t>PROSPECTUS SUMMARY</w:t>
      </w:r>
    </w:p>
    <w:p>
      <w:pPr>
        <w:spacing w:after="0" w:line="31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and any related free writing prospectus, including the risks of investing in our securities discussed under the heading “Risk Factors” contained in this prospectus and any related free writing prospectus, and under similar headings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NGM Biopharmaceuticals,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We are a biopharmaceutical company focused on developing novel therapeutics based on our scientific understanding of key biological pathways underlying cardio-metabolic, liver, oncologic and ophthalmic diseases. These diseases represent leading causes of morbidity and mortality and a significant burden for healthcare systems. Since the commencement of our operations in 2008, we have generated a robust portfolio of product candidates. We have created this portfolio using our research and drug discovery approach that employs unbiased,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vivo</w:t>
      </w:r>
      <w:r>
        <w:rPr>
          <w:rFonts w:ascii="Arial" w:cs="Arial" w:eastAsia="Arial" w:hAnsi="Arial"/>
          <w:sz w:val="17"/>
          <w:szCs w:val="17"/>
          <w:color w:val="auto"/>
        </w:rPr>
        <w:t>-based discovery to identify proprietary insights into critical biological processes. We combine this approach with our protein and</w:t>
      </w:r>
      <w:r>
        <w:rPr>
          <w:rFonts w:ascii="Arial" w:cs="Arial" w:eastAsia="Arial" w:hAnsi="Arial"/>
          <w:sz w:val="17"/>
          <w:szCs w:val="17"/>
          <w:i w:val="1"/>
          <w:iCs w:val="1"/>
          <w:color w:val="auto"/>
        </w:rPr>
        <w:t xml:space="preserve"> </w:t>
      </w:r>
      <w:r>
        <w:rPr>
          <w:rFonts w:ascii="Arial" w:cs="Arial" w:eastAsia="Arial" w:hAnsi="Arial"/>
          <w:sz w:val="17"/>
          <w:szCs w:val="17"/>
          <w:color w:val="auto"/>
        </w:rPr>
        <w:t>antibody engineering expertise to find the appropriate modality to enhance each product candidate’s therapeutic potential.</w:t>
      </w:r>
    </w:p>
    <w:p>
      <w:pPr>
        <w:spacing w:after="0" w:line="15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most advanced programs are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Our five most advanced proprietary product candidates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520"/>
          </w:cols>
          <w:pgMar w:left="620" w:top="454" w:right="7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076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076450"/>
                    </a:xfrm>
                    <a:prstGeom prst="rect">
                      <a:avLst/>
                    </a:prstGeom>
                    <a:noFill/>
                  </pic:spPr>
                </pic:pic>
              </a:graphicData>
            </a:graphic>
          </wp:anchor>
        </w:drawing>
        <w:t>Corporate Information</w:t>
      </w:r>
    </w:p>
    <w:p>
      <w:pPr>
        <w:spacing w:after="0" w:line="8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 The contents of and information accessible through our website are not incorporated into this prospectus and our reference to the URL for our website is intended to be an inactive textual reference only.</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used in this prospectus, “NGM Biopharmaceuticals”, “NGM”, “we”, “us” and “our” refer to NGM Biopharmaceuticals, Inc. and its wholly-owned subsidiary taken as a whole. 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 We do not intend our use or display of other companies’ trademarks or trade names to imply a relationship with, or endorsement or sponsorship of us by, any other companies or products.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is currently listed on The Nasdaq Global Select Market under the symbol “NGM.”</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620"/>
          </w:cols>
          <w:pgMar w:left="620" w:top="454" w:right="659" w:bottom="1440" w:gutter="0" w:footer="0" w:header="0"/>
        </w:sectPr>
      </w:pPr>
    </w:p>
    <w:bookmarkStart w:id="5" w:name="page6"/>
    <w:bookmarkEnd w:id="5"/>
    <w:p>
      <w:pPr>
        <w:spacing w:after="0" w:line="200" w:lineRule="exact"/>
        <w:rPr>
          <w:sz w:val="20"/>
          <w:szCs w:val="20"/>
          <w:color w:val="auto"/>
        </w:rPr>
      </w:pPr>
    </w:p>
    <w:p>
      <w:pPr>
        <w:spacing w:after="0" w:line="384" w:lineRule="exact"/>
        <w:rPr>
          <w:sz w:val="20"/>
          <w:szCs w:val="20"/>
          <w:color w:val="auto"/>
        </w:rPr>
      </w:pPr>
    </w:p>
    <w:p>
      <w:pPr>
        <w:ind w:left="180" w:right="1140"/>
        <w:spacing w:after="0" w:line="508" w:lineRule="auto"/>
        <w:rPr>
          <w:sz w:val="20"/>
          <w:szCs w:val="20"/>
          <w:color w:val="auto"/>
        </w:rPr>
      </w:pPr>
      <w:r>
        <w:rPr>
          <w:rFonts w:ascii="Arial" w:cs="Arial" w:eastAsia="Arial" w:hAnsi="Arial"/>
          <w:sz w:val="17"/>
          <w:szCs w:val="17"/>
          <w:color w:val="auto"/>
        </w:rPr>
        <w:t>Common stock offered by us Manner of offering</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-330835</wp:posOffset>
            </wp:positionV>
            <wp:extent cx="7149465" cy="259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9080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having an aggregate offering price of up to $150,000,000.</w:t>
      </w:r>
    </w:p>
    <w:p>
      <w:pPr>
        <w:spacing w:after="0" w:line="210"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“At-the-market” offering that may be made from time to time through our sales agent, Jefferies. See “Plan of Distribution” on page 17 of this prospectus.</w:t>
      </w:r>
    </w:p>
    <w:p>
      <w:pPr>
        <w:spacing w:after="0" w:line="185"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auto"/>
        </w:rPr>
        <w:t>We currently expect to use the net proceeds from this offering for working capital and other general corporate purposes, which may include funding research and development, general and administrative activities and capital expenditures.</w:t>
      </w:r>
    </w:p>
    <w:p>
      <w:pPr>
        <w:spacing w:after="0" w:line="181" w:lineRule="exact"/>
        <w:rPr>
          <w:sz w:val="20"/>
          <w:szCs w:val="20"/>
          <w:color w:val="auto"/>
        </w:rPr>
      </w:pPr>
    </w:p>
    <w:p>
      <w:pPr>
        <w:sectPr>
          <w:pgSz w:w="11900" w:h="16838" w:orient="portrait"/>
          <w:cols w:equalWidth="0" w:num="2">
            <w:col w:w="3500" w:space="720"/>
            <w:col w:w="6800"/>
          </w:cols>
          <w:pgMar w:left="440" w:top="454"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3600" w:type="dxa"/>
            <w:vAlign w:val="bottom"/>
          </w:tcPr>
          <w:p>
            <w:pPr>
              <w:ind w:left="180"/>
              <w:spacing w:after="0"/>
              <w:rPr>
                <w:sz w:val="20"/>
                <w:szCs w:val="20"/>
                <w:color w:val="auto"/>
              </w:rPr>
            </w:pPr>
            <w:r>
              <w:rPr>
                <w:rFonts w:ascii="Arial" w:cs="Arial" w:eastAsia="Arial" w:hAnsi="Arial"/>
                <w:sz w:val="17"/>
                <w:szCs w:val="17"/>
                <w:color w:val="auto"/>
              </w:rPr>
              <w:t>Risk factors</w:t>
            </w:r>
          </w:p>
        </w:tc>
        <w:tc>
          <w:tcPr>
            <w:tcW w:w="7420" w:type="dxa"/>
            <w:vAlign w:val="bottom"/>
          </w:tcPr>
          <w:p>
            <w:pPr>
              <w:ind w:left="620"/>
              <w:spacing w:after="0"/>
              <w:rPr>
                <w:sz w:val="20"/>
                <w:szCs w:val="20"/>
                <w:color w:val="auto"/>
              </w:rPr>
            </w:pPr>
            <w:r>
              <w:rPr>
                <w:rFonts w:ascii="Arial" w:cs="Arial" w:eastAsia="Arial" w:hAnsi="Arial"/>
                <w:sz w:val="17"/>
                <w:szCs w:val="17"/>
                <w:color w:val="auto"/>
              </w:rPr>
              <w:t>Investing in our common stock involves significant risks. See “Risk Factors” beginning</w:t>
            </w:r>
          </w:p>
        </w:tc>
      </w:tr>
      <w:tr>
        <w:trPr>
          <w:trHeight w:val="189"/>
        </w:trPr>
        <w:tc>
          <w:tcPr>
            <w:tcW w:w="3600" w:type="dxa"/>
            <w:vAlign w:val="bottom"/>
          </w:tcPr>
          <w:p>
            <w:pPr>
              <w:spacing w:after="0"/>
              <w:rPr>
                <w:sz w:val="16"/>
                <w:szCs w:val="16"/>
                <w:color w:val="auto"/>
              </w:rPr>
            </w:pPr>
          </w:p>
        </w:tc>
        <w:tc>
          <w:tcPr>
            <w:tcW w:w="7420" w:type="dxa"/>
            <w:vAlign w:val="bottom"/>
          </w:tcPr>
          <w:p>
            <w:pPr>
              <w:ind w:left="620"/>
              <w:spacing w:after="0" w:line="189" w:lineRule="exact"/>
              <w:rPr>
                <w:sz w:val="20"/>
                <w:szCs w:val="20"/>
                <w:color w:val="auto"/>
              </w:rPr>
            </w:pPr>
            <w:r>
              <w:rPr>
                <w:rFonts w:ascii="Arial" w:cs="Arial" w:eastAsia="Arial" w:hAnsi="Arial"/>
                <w:sz w:val="17"/>
                <w:szCs w:val="17"/>
                <w:color w:val="auto"/>
              </w:rPr>
              <w:t>on page 4 of this prospectus, and under similar headings in documents incorporated by</w:t>
            </w:r>
          </w:p>
        </w:tc>
      </w:tr>
      <w:tr>
        <w:trPr>
          <w:trHeight w:val="189"/>
        </w:trPr>
        <w:tc>
          <w:tcPr>
            <w:tcW w:w="3600" w:type="dxa"/>
            <w:vAlign w:val="bottom"/>
          </w:tcPr>
          <w:p>
            <w:pPr>
              <w:spacing w:after="0"/>
              <w:rPr>
                <w:sz w:val="16"/>
                <w:szCs w:val="16"/>
                <w:color w:val="auto"/>
              </w:rPr>
            </w:pPr>
          </w:p>
        </w:tc>
        <w:tc>
          <w:tcPr>
            <w:tcW w:w="7420" w:type="dxa"/>
            <w:vAlign w:val="bottom"/>
          </w:tcPr>
          <w:p>
            <w:pPr>
              <w:ind w:left="620"/>
              <w:spacing w:after="0" w:line="189" w:lineRule="exact"/>
              <w:rPr>
                <w:sz w:val="20"/>
                <w:szCs w:val="20"/>
                <w:color w:val="auto"/>
              </w:rPr>
            </w:pPr>
            <w:r>
              <w:rPr>
                <w:rFonts w:ascii="Arial" w:cs="Arial" w:eastAsia="Arial" w:hAnsi="Arial"/>
                <w:sz w:val="17"/>
                <w:szCs w:val="17"/>
                <w:color w:val="auto"/>
              </w:rPr>
              <w:t>reference into this prospectus, for a discussion of factors you should consider before</w:t>
            </w:r>
          </w:p>
        </w:tc>
      </w:tr>
      <w:tr>
        <w:trPr>
          <w:trHeight w:val="205"/>
        </w:trPr>
        <w:tc>
          <w:tcPr>
            <w:tcW w:w="3600" w:type="dxa"/>
            <w:vAlign w:val="bottom"/>
          </w:tcPr>
          <w:p>
            <w:pPr>
              <w:spacing w:after="0"/>
              <w:rPr>
                <w:sz w:val="17"/>
                <w:szCs w:val="17"/>
                <w:color w:val="auto"/>
              </w:rPr>
            </w:pPr>
          </w:p>
        </w:tc>
        <w:tc>
          <w:tcPr>
            <w:tcW w:w="7420" w:type="dxa"/>
            <w:vAlign w:val="bottom"/>
          </w:tcPr>
          <w:p>
            <w:pPr>
              <w:ind w:left="620"/>
              <w:spacing w:after="0"/>
              <w:rPr>
                <w:sz w:val="20"/>
                <w:szCs w:val="20"/>
                <w:color w:val="auto"/>
              </w:rPr>
            </w:pPr>
            <w:r>
              <w:rPr>
                <w:rFonts w:ascii="Arial" w:cs="Arial" w:eastAsia="Arial" w:hAnsi="Arial"/>
                <w:sz w:val="17"/>
                <w:szCs w:val="17"/>
                <w:color w:val="auto"/>
              </w:rPr>
              <w:t>buying shares of our common stock.</w:t>
            </w:r>
          </w:p>
        </w:tc>
      </w:tr>
      <w:tr>
        <w:trPr>
          <w:trHeight w:val="392"/>
        </w:trPr>
        <w:tc>
          <w:tcPr>
            <w:tcW w:w="3600" w:type="dxa"/>
            <w:vAlign w:val="bottom"/>
          </w:tcPr>
          <w:p>
            <w:pPr>
              <w:ind w:left="180"/>
              <w:spacing w:after="0"/>
              <w:rPr>
                <w:sz w:val="20"/>
                <w:szCs w:val="20"/>
                <w:color w:val="auto"/>
              </w:rPr>
            </w:pPr>
            <w:r>
              <w:rPr>
                <w:rFonts w:ascii="Arial" w:cs="Arial" w:eastAsia="Arial" w:hAnsi="Arial"/>
                <w:sz w:val="17"/>
                <w:szCs w:val="17"/>
                <w:color w:val="auto"/>
              </w:rPr>
              <w:t>Nasdaq Global Select Market symbol</w:t>
            </w:r>
          </w:p>
        </w:tc>
        <w:tc>
          <w:tcPr>
            <w:tcW w:w="7420" w:type="dxa"/>
            <w:vAlign w:val="bottom"/>
          </w:tcPr>
          <w:p>
            <w:pPr>
              <w:ind w:left="620"/>
              <w:spacing w:after="0"/>
              <w:rPr>
                <w:sz w:val="20"/>
                <w:szCs w:val="20"/>
                <w:color w:val="auto"/>
              </w:rPr>
            </w:pPr>
            <w:r>
              <w:rPr>
                <w:rFonts w:ascii="Arial" w:cs="Arial" w:eastAsia="Arial" w:hAnsi="Arial"/>
                <w:sz w:val="17"/>
                <w:szCs w:val="17"/>
                <w:color w:val="auto"/>
              </w:rPr>
              <w:t>“NGM”</w:t>
            </w:r>
          </w:p>
        </w:tc>
      </w:tr>
      <w:tr>
        <w:trPr>
          <w:trHeight w:val="244"/>
        </w:trPr>
        <w:tc>
          <w:tcPr>
            <w:tcW w:w="3600" w:type="dxa"/>
            <w:vAlign w:val="bottom"/>
            <w:tcBorders>
              <w:bottom w:val="single" w:sz="8" w:color="auto"/>
            </w:tcBorders>
          </w:tcPr>
          <w:p>
            <w:pPr>
              <w:spacing w:after="0"/>
              <w:rPr>
                <w:sz w:val="21"/>
                <w:szCs w:val="21"/>
                <w:color w:val="auto"/>
              </w:rPr>
            </w:pPr>
          </w:p>
        </w:tc>
        <w:tc>
          <w:tcPr>
            <w:tcW w:w="7420" w:type="dxa"/>
            <w:vAlign w:val="bottom"/>
            <w:tcBorders>
              <w:bottom w:val="single" w:sz="8" w:color="auto"/>
            </w:tcBorders>
          </w:tcPr>
          <w:p>
            <w:pPr>
              <w:spacing w:after="0"/>
              <w:rPr>
                <w:sz w:val="21"/>
                <w:szCs w:val="21"/>
                <w:color w:val="auto"/>
              </w:rPr>
            </w:pPr>
          </w:p>
        </w:tc>
      </w:tr>
      <w:tr>
        <w:trPr>
          <w:trHeight w:val="585"/>
        </w:trPr>
        <w:tc>
          <w:tcPr>
            <w:tcW w:w="3600" w:type="dxa"/>
            <w:vAlign w:val="bottom"/>
          </w:tcPr>
          <w:p>
            <w:pPr>
              <w:spacing w:after="0"/>
              <w:rPr>
                <w:sz w:val="24"/>
                <w:szCs w:val="24"/>
                <w:color w:val="auto"/>
              </w:rPr>
            </w:pPr>
          </w:p>
        </w:tc>
        <w:tc>
          <w:tcPr>
            <w:tcW w:w="7420" w:type="dxa"/>
            <w:vAlign w:val="bottom"/>
          </w:tcPr>
          <w:p>
            <w:pPr>
              <w:ind w:left="1860"/>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020"/>
          </w:cols>
          <w:pgMar w:left="440" w:top="454" w:right="4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RISK FACTORS</w:t>
      </w:r>
    </w:p>
    <w:p>
      <w:pPr>
        <w:spacing w:after="0" w:line="336"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Investing in our common stock involves a high degree of risk. Before deciding whether to invest in our common stock, you should consider carefully the risks and uncertainties described below and under the heading “Risk Factors” contained in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incur immediate and substantial dilution as a result of this offering.</w:t>
      </w:r>
    </w:p>
    <w:p>
      <w:pPr>
        <w:spacing w:after="0" w:line="95"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offering price per share of our common stock in this offering may exceed the net tangible book value per share of our common stock outstanding prior to this offering. Assuming that an aggregate of 6,950,880 shares of our common stock are sold at a price of $21.58 per share, the last reported sale price of our common stock on The Nasdaq Global Select Market on June 15, 2020, for aggregate gross proceeds of $150.0 million, and after deducting commissions and estimated offering expenses payable by us, you would experience immediate dilution of $15.39 per share, representing the difference between our as adjusted net tangible book value per share as of March 31, 2020, after giving effect to this offering, and the assumed public offering price. The exercise of outstanding stock options and vesting of restricted stock units could result in further dilution of your investment. See “Dilution” beginning on page 10 of this prospectus for a more detailed description of the dilution to new investors in this offering.</w:t>
      </w:r>
    </w:p>
    <w:p>
      <w:pPr>
        <w:spacing w:after="0" w:line="183"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b w:val="1"/>
          <w:bCs w:val="1"/>
          <w:i w:val="1"/>
          <w:iCs w:val="1"/>
          <w:color w:val="auto"/>
        </w:rPr>
        <w:t>We will have broad discretion in the use of proceeds from this offering and may invest or spend the proceeds in ways with which you do not agree and in ways that may not yield a return.</w:t>
      </w:r>
    </w:p>
    <w:p>
      <w:pPr>
        <w:spacing w:after="0" w:line="3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will have broad discretion over the use of proceeds from this offering. You may not agree with our decisions, and our use of the proceeds may not yield any return on your investment in us. Our failure to apply the net proceeds of this offering effectively could result in financial losses that could materially impair our ability to pursue our growth strategy, cause the price of our common stock to decline, delay development of our products or require us to raise additional capital.</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experience future dilution as a result of future equity offerings.</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order to raise additional capital, we may offer additional shares of our common stock or other securities convertible into or exchangeable for our common stock in the future.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00"/>
          </w:cols>
          <w:pgMar w:left="440" w:top="265" w:right="45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market price of our stock has been and may continue to be volatile, and you could lose all or part of your investment</w:t>
      </w:r>
    </w:p>
    <w:p>
      <w:pPr>
        <w:spacing w:after="0" w:line="8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 xml:space="preserve">The market price for our common stock has fluctuated significantly from time to time, for example, varying between a high of $23.39 on May 12, 2020 and a low of $8.81 on October 7, 2019. The trading price of our common stock has been and may continue to be highly volatile and subject to wide fluctuations in response to various factors, some of which we cannot control. In addition to the factors discussed in this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w:t>
      </w:r>
      <w:r>
        <w:rPr>
          <w:rFonts w:ascii="Arial" w:cs="Arial" w:eastAsia="Arial" w:hAnsi="Arial"/>
          <w:sz w:val="17"/>
          <w:szCs w:val="17"/>
          <w:color w:val="auto"/>
        </w:rPr>
        <w:t>section, these factors include:</w:t>
      </w:r>
    </w:p>
    <w:p>
      <w:pPr>
        <w:spacing w:after="0" w:line="190" w:lineRule="exact"/>
        <w:rPr>
          <w:sz w:val="20"/>
          <w:szCs w:val="20"/>
          <w:color w:val="auto"/>
        </w:rPr>
      </w:pPr>
    </w:p>
    <w:p>
      <w:pPr>
        <w:ind w:left="860" w:hanging="432"/>
        <w:spacing w:after="0" w:line="243" w:lineRule="auto"/>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developments associated with our collaboration with Merck Sharp &amp; Dohme Corp., or Merck including any non-renewal, termination or other change in our relationship with Merck;</w:t>
      </w:r>
    </w:p>
    <w:p>
      <w:pPr>
        <w:spacing w:after="0" w:line="22"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success of competitive products or technologies;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regulatory actions with respect to our product candidates or our competitors’ product candidates or products;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results of clinical trials of our product candidates or those of our competitors;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our growth rate relative to our competitors;</w:t>
      </w:r>
    </w:p>
    <w:p>
      <w:pPr>
        <w:spacing w:after="0" w:line="34" w:lineRule="exact"/>
        <w:rPr>
          <w:rFonts w:ascii="MS PGothic" w:cs="MS PGothic" w:eastAsia="MS PGothic" w:hAnsi="MS PGothic"/>
          <w:sz w:val="13"/>
          <w:szCs w:val="13"/>
          <w:color w:val="auto"/>
        </w:rPr>
      </w:pPr>
    </w:p>
    <w:p>
      <w:pPr>
        <w:ind w:left="860" w:right="860" w:hanging="432"/>
        <w:spacing w:after="0" w:line="243" w:lineRule="auto"/>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announcements by us or our competitors or collaborators of significant acquisitions, strategic collaborations, joint ventures, collaborations or capital commitments;</w:t>
      </w:r>
    </w:p>
    <w:p>
      <w:pPr>
        <w:spacing w:after="0" w:line="22"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regulatory, legal or payor developments in the United States and other countries;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developments or disputes concerning patent applications, issued patents or other proprietary rights;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recruitment or departure of key personnel;</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level of expenses related to any of our product candidates or clinical development programs;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results of our efforts to in-license or acquire additional product candidates or products;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variations in our financial results or those of companies that are perceived to be similar to us;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fluctuations in the valuation of companies perceived by investors to be comparable to us;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share price and volume fluctuations attributable to inconsistent trading volume levels of our shares;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announcement or expectation of additional financing efforts;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sales of our common stock by us, our insiders or our other stockholders;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changes in the structure of healthcare payment systems;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market conditions in the pharmaceutical and biotechnology sectors; and</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general economic, industry and market conditions.</w:t>
      </w:r>
    </w:p>
    <w:p>
      <w:pPr>
        <w:spacing w:after="0" w:line="15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could have a dramatic and material adverse impact on the market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95"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80"/>
          </w:cols>
          <w:pgMar w:left="440" w:top="262" w:right="47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do not intend to pay dividends on our common stock so any returns will be limited to the value of our stock.</w:t>
      </w:r>
    </w:p>
    <w:p>
      <w:pPr>
        <w:spacing w:after="0" w:line="8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800"/>
          </w:cols>
          <w:pgMar w:left="440" w:top="262" w:right="6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SPECIAL NOTE REGARDING FORWARD-LOOKING STATEMENTS</w:t>
      </w:r>
    </w:p>
    <w:p>
      <w:pPr>
        <w:spacing w:after="0" w:line="33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88" w:lineRule="exact"/>
        <w:rPr>
          <w:sz w:val="20"/>
          <w:szCs w:val="20"/>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success, cost and timing of our product development activities and clinical trials;</w:t>
      </w:r>
    </w:p>
    <w:p>
      <w:pPr>
        <w:spacing w:after="0" w:line="34" w:lineRule="exact"/>
        <w:rPr>
          <w:rFonts w:ascii="MS PGothic" w:cs="MS PGothic" w:eastAsia="MS PGothic" w:hAnsi="MS PGothic"/>
          <w:sz w:val="13"/>
          <w:szCs w:val="13"/>
          <w:color w:val="auto"/>
        </w:rPr>
      </w:pPr>
    </w:p>
    <w:p>
      <w:pPr>
        <w:ind w:left="860" w:right="160" w:hanging="432"/>
        <w:spacing w:after="0" w:line="238" w:lineRule="auto"/>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or our partners’ ability to obtain and maintain regulatory approval for aldafermin (NGM282), NGM313 (MK-3655), NGM120, NGM621, NGM395 and any of our future product candidates, and any related restrictions, limitations, and/or warnings in the label of an approved product candidate;</w:t>
      </w:r>
    </w:p>
    <w:p>
      <w:pPr>
        <w:spacing w:after="0" w:line="25" w:lineRule="exact"/>
        <w:rPr>
          <w:rFonts w:ascii="MS PGothic" w:cs="MS PGothic" w:eastAsia="MS PGothic" w:hAnsi="MS PGothic"/>
          <w:sz w:val="13"/>
          <w:szCs w:val="13"/>
          <w:color w:val="auto"/>
        </w:rPr>
      </w:pPr>
    </w:p>
    <w:p>
      <w:pPr>
        <w:ind w:left="860" w:right="100" w:hanging="432"/>
        <w:spacing w:after="0" w:line="243" w:lineRule="auto"/>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belief that aldafermin may have the potential to be a treatment for non-alcoholic steatohepatitis, or NASH, patients with moderate to advanced fibrosis;</w:t>
      </w:r>
    </w:p>
    <w:p>
      <w:pPr>
        <w:spacing w:after="0" w:line="22" w:lineRule="exact"/>
        <w:rPr>
          <w:rFonts w:ascii="MS PGothic" w:cs="MS PGothic" w:eastAsia="MS PGothic" w:hAnsi="MS PGothic"/>
          <w:sz w:val="13"/>
          <w:szCs w:val="13"/>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belief regarding the impact of our product candidate side effects and our ability to effectively manage these side effects;</w:t>
      </w:r>
    </w:p>
    <w:p>
      <w:pPr>
        <w:spacing w:after="0" w:line="34" w:lineRule="exact"/>
        <w:rPr>
          <w:rFonts w:ascii="MS PGothic" w:cs="MS PGothic" w:eastAsia="MS PGothic" w:hAnsi="MS PGothic"/>
          <w:sz w:val="13"/>
          <w:szCs w:val="13"/>
          <w:color w:val="auto"/>
        </w:rPr>
      </w:pPr>
    </w:p>
    <w:p>
      <w:pPr>
        <w:ind w:left="860" w:hanging="432"/>
        <w:spacing w:after="0" w:line="243" w:lineRule="auto"/>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belief that MK-3655 (formerly NGM313) may have the potential to be a treatment for NASH patients with early to moderate fibrosis with or without type 2 diabetes;</w:t>
      </w:r>
    </w:p>
    <w:p>
      <w:pPr>
        <w:spacing w:after="0" w:line="22" w:lineRule="exact"/>
        <w:rPr>
          <w:rFonts w:ascii="MS PGothic" w:cs="MS PGothic" w:eastAsia="MS PGothic" w:hAnsi="MS PGothic"/>
          <w:sz w:val="13"/>
          <w:szCs w:val="13"/>
          <w:color w:val="auto"/>
        </w:rPr>
      </w:pPr>
    </w:p>
    <w:p>
      <w:pPr>
        <w:ind w:left="860" w:right="260" w:hanging="432"/>
        <w:spacing w:after="0" w:line="243" w:lineRule="auto"/>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potential renewal of our research collaboration, product development and license agreement with Merck and the possibility that Merck will decide to exercise its option to license certain programs upon our completion of a proof-of-concept study in humans;</w:t>
      </w:r>
    </w:p>
    <w:p>
      <w:pPr>
        <w:spacing w:after="0" w:line="22" w:lineRule="exact"/>
        <w:rPr>
          <w:rFonts w:ascii="MS PGothic" w:cs="MS PGothic" w:eastAsia="MS PGothic" w:hAnsi="MS PGothic"/>
          <w:sz w:val="13"/>
          <w:szCs w:val="13"/>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ability to obtain funding for our operations;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commercialization of our product candidates, if approved;</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plans to research, develop and commercialize our product candidates;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ability to attract additional collaborators with development, regulatory and commercialization expertise;</w:t>
      </w:r>
    </w:p>
    <w:p>
      <w:pPr>
        <w:spacing w:after="0" w:line="34" w:lineRule="exact"/>
        <w:rPr>
          <w:rFonts w:ascii="MS PGothic" w:cs="MS PGothic" w:eastAsia="MS PGothic" w:hAnsi="MS PGothic"/>
          <w:sz w:val="13"/>
          <w:szCs w:val="13"/>
          <w:color w:val="auto"/>
        </w:rPr>
      </w:pPr>
    </w:p>
    <w:p>
      <w:pPr>
        <w:ind w:left="860" w:hanging="432"/>
        <w:spacing w:after="0" w:line="243" w:lineRule="auto"/>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current and future agreements with third parties in connection with the commercialization of aldafermin, NGM313, NGM120, NGM621, NGM395 or any other future approved product;</w:t>
      </w:r>
    </w:p>
    <w:p>
      <w:pPr>
        <w:spacing w:after="0" w:line="22" w:lineRule="exact"/>
        <w:rPr>
          <w:rFonts w:ascii="MS PGothic" w:cs="MS PGothic" w:eastAsia="MS PGothic" w:hAnsi="MS PGothic"/>
          <w:sz w:val="13"/>
          <w:szCs w:val="13"/>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34" w:lineRule="exact"/>
        <w:rPr>
          <w:rFonts w:ascii="MS PGothic" w:cs="MS PGothic" w:eastAsia="MS PGothic" w:hAnsi="MS PGothic"/>
          <w:sz w:val="13"/>
          <w:szCs w:val="13"/>
          <w:color w:val="auto"/>
        </w:rPr>
      </w:pPr>
    </w:p>
    <w:p>
      <w:pPr>
        <w:ind w:left="860" w:right="740" w:hanging="432"/>
        <w:spacing w:after="0" w:line="243" w:lineRule="auto"/>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rate and degree of market acceptance of our product candidates, as well as the reimbursement coverage for our product candidates;</w:t>
      </w:r>
    </w:p>
    <w:p>
      <w:pPr>
        <w:spacing w:after="0" w:line="22" w:lineRule="exact"/>
        <w:rPr>
          <w:rFonts w:ascii="MS PGothic" w:cs="MS PGothic" w:eastAsia="MS PGothic" w:hAnsi="MS PGothic"/>
          <w:sz w:val="13"/>
          <w:szCs w:val="13"/>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regulatory developments in the United States and foreign countries;</w:t>
      </w:r>
    </w:p>
    <w:p>
      <w:pPr>
        <w:spacing w:after="0" w:line="34" w:lineRule="exact"/>
        <w:rPr>
          <w:rFonts w:ascii="MS PGothic" w:cs="MS PGothic" w:eastAsia="MS PGothic" w:hAnsi="MS PGothic"/>
          <w:sz w:val="13"/>
          <w:szCs w:val="13"/>
          <w:color w:val="auto"/>
        </w:rPr>
      </w:pPr>
    </w:p>
    <w:p>
      <w:pPr>
        <w:ind w:left="860" w:hanging="432"/>
        <w:spacing w:after="0" w:line="243" w:lineRule="auto"/>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performance of, and our ability to obtain sufficient supply of clinical trial materials in a timely manner from, third-party suppliers and manufacturers;</w:t>
      </w:r>
    </w:p>
    <w:p>
      <w:pPr>
        <w:spacing w:after="0" w:line="22" w:lineRule="exact"/>
        <w:rPr>
          <w:rFonts w:ascii="MS PGothic" w:cs="MS PGothic" w:eastAsia="MS PGothic" w:hAnsi="MS PGothic"/>
          <w:sz w:val="13"/>
          <w:szCs w:val="13"/>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ability to attract and retain key scientific, development and management personnel;</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estimates regarding future expenses, revenue, capital requirements and needs for additional financing;</w:t>
      </w:r>
    </w:p>
    <w:p>
      <w:pPr>
        <w:spacing w:after="0" w:line="34" w:lineRule="exact"/>
        <w:rPr>
          <w:rFonts w:ascii="MS PGothic" w:cs="MS PGothic" w:eastAsia="MS PGothic" w:hAnsi="MS PGothic"/>
          <w:sz w:val="13"/>
          <w:szCs w:val="13"/>
          <w:color w:val="auto"/>
        </w:rPr>
      </w:pPr>
    </w:p>
    <w:p>
      <w:pPr>
        <w:ind w:left="860" w:right="300" w:hanging="432"/>
        <w:spacing w:after="0" w:line="243" w:lineRule="auto"/>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period during which we qualify as an emerging growth company under the Jumpstart Our Business Startups Act of 2012, as amended;</w:t>
      </w:r>
    </w:p>
    <w:p>
      <w:pPr>
        <w:spacing w:after="0" w:line="22" w:lineRule="exact"/>
        <w:rPr>
          <w:rFonts w:ascii="MS PGothic" w:cs="MS PGothic" w:eastAsia="MS PGothic" w:hAnsi="MS PGothic"/>
          <w:sz w:val="13"/>
          <w:szCs w:val="13"/>
          <w:color w:val="auto"/>
        </w:rPr>
      </w:pPr>
    </w:p>
    <w:p>
      <w:pPr>
        <w:ind w:left="860" w:right="820" w:hanging="432"/>
        <w:spacing w:after="0" w:line="243" w:lineRule="auto"/>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expectations regarding our ability to obtain, maintain, protect and enforce intellectual property protection for our product candidates; and</w:t>
      </w:r>
    </w:p>
    <w:p>
      <w:pPr>
        <w:spacing w:after="0" w:line="22" w:lineRule="exact"/>
        <w:rPr>
          <w:rFonts w:ascii="MS PGothic" w:cs="MS PGothic" w:eastAsia="MS PGothic" w:hAnsi="MS PGothic"/>
          <w:sz w:val="13"/>
          <w:szCs w:val="13"/>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anticipated use of the net proceeds from this offering.</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80"/>
          </w:cols>
          <w:pgMar w:left="440" w:top="265" w:right="479" w:bottom="1440" w:gutter="0" w:footer="0" w:header="0"/>
        </w:sectPr>
      </w:pPr>
    </w:p>
    <w:bookmarkStart w:id="10" w:name="page11"/>
    <w:bookmarkEnd w:id="10"/>
    <w:p>
      <w:pPr>
        <w:spacing w:after="0" w:line="23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risks under the heading “Risk Factors” contained in the applicable prospectus supplement, in any free writing prospectuses we may authorize for use in connection with this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the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20"/>
          </w:cols>
          <w:pgMar w:left="440" w:top="282" w:right="5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USE OF PROCEEDS</w:t>
      </w:r>
    </w:p>
    <w:p>
      <w:pPr>
        <w:spacing w:after="0" w:line="33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currently expect to use the net proceeds from this offering for working capital and other general corporate purposes, which may include funding research and development, general and administrative activities and capital expenditures. Pending the application of the net proceeds, we expect to invest the proceeds in investment-grade, interest-bearing instruments or other securities. We will retain broad discretion over the use of the net proceeds from this offering.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00"/>
          </w:cols>
          <w:pgMar w:left="440" w:top="265" w:right="4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DILUTION</w:t>
      </w:r>
    </w:p>
    <w:p>
      <w:pPr>
        <w:spacing w:after="0" w:line="336"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Our net tangible book value at March 31, 2020 was approximately $319.0 million, or approximately $4.70 per share of common stock. Net tangible book value per share is determined by dividing our total tangible assets, less total liabilities, by the number of shares of our common stock outstanding as of March 31, 2020.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50"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color w:val="auto"/>
        </w:rPr>
        <w:t>After giving effect to the assumed sale of 6,950,880 shares of our common stock by us in this offering at an assumed public offering price of $21.58 per share, which was the last reported sale price of our common stock on The Nasdaq Global Select Market on June 15, 2020, after deducting commissions and estimated offering expenses payable by us, our as adjusted net tangible book value as of March 31, 2020 would have been $463.5 million, or $6.19 per share. This would represent an immediate increase in net tangible book value per share of $1.49 to existing stockholders and immediate dilution of $15.39 in net tangible book value per share to new investors purchasing common stock in this offering at the assumed public offering price.</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following table illustrates this dilution on a per share basis. The as adjusted information is illustrative only and will change based on the actual price to the public, the actual number of shares sold and other terms of the offering determined at the time shares of our common stock are sold pursuant to this prospectus. The as adjusted information assumes that all of our common stock in the aggregate amount of $150.0 million is sold at the assumed public offering price of $21.58 per share, the last reported sale price of our common stock on The Nasdaq Global Select Market on June 15, 2020. The shares sold in this offering, if any, will be sold from time to time at various prices.</w:t>
      </w:r>
    </w:p>
    <w:p>
      <w:pPr>
        <w:spacing w:after="0" w:line="190" w:lineRule="exact"/>
        <w:rPr>
          <w:sz w:val="20"/>
          <w:szCs w:val="20"/>
          <w:color w:val="auto"/>
        </w:rPr>
      </w:pPr>
    </w:p>
    <w:tbl>
      <w:tblPr>
        <w:tblLayout w:type="fixed"/>
        <w:tblInd w:w="1320" w:type="dxa"/>
        <w:tblCellMar>
          <w:top w:w="0" w:type="dxa"/>
          <w:left w:w="0" w:type="dxa"/>
          <w:bottom w:w="0" w:type="dxa"/>
          <w:right w:w="0" w:type="dxa"/>
        </w:tblCellMar>
      </w:tblPr>
      <w:tr>
        <w:trPr>
          <w:trHeight w:val="195"/>
        </w:trPr>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Assumed public offering price per share</w:t>
            </w:r>
          </w:p>
        </w:tc>
        <w:tc>
          <w:tcPr>
            <w:tcW w:w="15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$21.58</w:t>
            </w:r>
          </w:p>
        </w:tc>
      </w:tr>
      <w:tr>
        <w:trPr>
          <w:trHeight w:val="189"/>
        </w:trPr>
        <w:tc>
          <w:tcPr>
            <w:tcW w:w="6860" w:type="dxa"/>
            <w:vAlign w:val="bottom"/>
          </w:tcPr>
          <w:p>
            <w:pPr>
              <w:spacing w:after="0" w:line="189" w:lineRule="exact"/>
              <w:rPr>
                <w:sz w:val="20"/>
                <w:szCs w:val="20"/>
                <w:color w:val="auto"/>
              </w:rPr>
            </w:pPr>
            <w:r>
              <w:rPr>
                <w:rFonts w:ascii="Arial" w:cs="Arial" w:eastAsia="Arial" w:hAnsi="Arial"/>
                <w:sz w:val="17"/>
                <w:szCs w:val="17"/>
                <w:color w:val="auto"/>
              </w:rPr>
              <w:t>Net tangible book value per share as of March 31, 2020</w:t>
            </w:r>
          </w:p>
        </w:tc>
        <w:tc>
          <w:tcPr>
            <w:tcW w:w="92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w w:val="98"/>
              </w:rPr>
              <w:t>$4.70</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 in net tangible book value per share attributable to the offering</w:t>
            </w:r>
          </w:p>
        </w:tc>
        <w:tc>
          <w:tcPr>
            <w:tcW w:w="9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1.49</w:t>
            </w: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7"/>
                <w:szCs w:val="17"/>
                <w:color w:val="auto"/>
              </w:rPr>
              <w:t>As adjusted net tangible book value per share after giving effect to the offering</w:t>
            </w:r>
          </w:p>
        </w:tc>
        <w:tc>
          <w:tcPr>
            <w:tcW w:w="44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w:t>
            </w:r>
          </w:p>
        </w:tc>
        <w:tc>
          <w:tcPr>
            <w:tcW w:w="40" w:type="dxa"/>
            <w:vAlign w:val="bottom"/>
          </w:tcPr>
          <w:p>
            <w:pPr>
              <w:spacing w:after="0"/>
              <w:rPr>
                <w:sz w:val="17"/>
                <w:szCs w:val="17"/>
                <w:color w:val="auto"/>
              </w:rPr>
            </w:pPr>
          </w:p>
        </w:tc>
      </w:tr>
      <w:tr>
        <w:trPr>
          <w:trHeight w:val="189"/>
        </w:trPr>
        <w:tc>
          <w:tcPr>
            <w:tcW w:w="6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in net tangible book value per share to new investors in the offering</w:t>
            </w:r>
          </w:p>
        </w:tc>
        <w:tc>
          <w:tcPr>
            <w:tcW w:w="1500" w:type="dxa"/>
            <w:vAlign w:val="bottom"/>
            <w:gridSpan w:val="4"/>
            <w:shd w:val="clear" w:color="auto" w:fill="CCEEFF"/>
          </w:tcPr>
          <w:p>
            <w:pPr>
              <w:jc w:val="right"/>
              <w:ind w:right="4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15.39</w:t>
            </w:r>
          </w:p>
        </w:tc>
      </w:tr>
      <w:tr>
        <w:trPr>
          <w:trHeight w:val="20"/>
        </w:trPr>
        <w:tc>
          <w:tcPr>
            <w:tcW w:w="6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9"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An increase of $1.00 per share in the price at which the shares are sold from the assumed public offering price of $21.58 per share shown in the table above, assuming that the aggregate dollar amount of shares sold by us remains at $150.0 million, would increase our as adjusted net tangible book value per share after this offering to $6.22 per share and would increase the dilution in net tangible book value per share to new investors to $16.36 per share, after deducting commissions and estimated aggregate offering expenses payable by us. A decrease of $1.00 per share in the price at which the shares are sold from the assumed public offering price of $21.58 per share shown in the table above, assuming that the aggregate dollar amount of shares sold by us remains at $150.0 million, would decrease our as adjusted net tangible book value per share after this offering to $6.16 per share and would decrease the dilution in net tangible book value per share to new investors to $14.42 per share, after deducting commissions and estimated aggregate offering expenses payable by us. The information discussed above is illustrative only and will adjust based on the actual public offering price, the actual number of shares that we offer in this offering, and other terms of this offering determined at the time of each offer and sale.</w:t>
      </w:r>
    </w:p>
    <w:p>
      <w:pPr>
        <w:spacing w:after="0" w:line="154"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foregoing discussion and table are based on 67,936,438 shares of our common stock outstanding as of March 31, 2020, and exclude, in each case as of March 31, 2020, the following:</w:t>
      </w:r>
    </w:p>
    <w:p>
      <w:pPr>
        <w:spacing w:after="0" w:line="185" w:lineRule="exact"/>
        <w:rPr>
          <w:sz w:val="20"/>
          <w:szCs w:val="20"/>
          <w:color w:val="auto"/>
        </w:rPr>
      </w:pPr>
    </w:p>
    <w:p>
      <w:pPr>
        <w:ind w:left="860" w:right="280" w:hanging="432"/>
        <w:spacing w:after="0" w:line="243" w:lineRule="auto"/>
        <w:tabs>
          <w:tab w:leader="none" w:pos="8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10,824,034 shares of our common stock issuable upon the exercise of outstanding stock options with a weighted-average exercise price of $8.90 per share;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00"/>
          </w:cols>
          <w:pgMar w:left="440" w:top="265" w:right="459" w:bottom="1440" w:gutter="0" w:footer="0" w:header="0"/>
        </w:sectPr>
      </w:pPr>
    </w:p>
    <w:bookmarkStart w:id="13" w:name="page14"/>
    <w:bookmarkEnd w:id="13"/>
    <w:p>
      <w:pPr>
        <w:ind w:left="860" w:right="40" w:hanging="432"/>
        <w:spacing w:after="0" w:line="238" w:lineRule="auto"/>
        <w:tabs>
          <w:tab w:leader="none" w:pos="86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7,012,247 shares of our common stock available for issuance or future grant under our Amended and Restated 2018 Equity Incentive Plan, as well as any automatic increases in the number of shares of common stock reserved for future issuance under this benefit plan;</w:t>
      </w:r>
    </w:p>
    <w:p>
      <w:pPr>
        <w:spacing w:after="0" w:line="25" w:lineRule="exact"/>
        <w:rPr>
          <w:rFonts w:ascii="MS PGothic" w:cs="MS PGothic" w:eastAsia="MS PGothic" w:hAnsi="MS PGothic"/>
          <w:sz w:val="13"/>
          <w:szCs w:val="13"/>
          <w:color w:val="auto"/>
        </w:rPr>
      </w:pPr>
    </w:p>
    <w:p>
      <w:pPr>
        <w:ind w:left="860" w:hanging="432"/>
        <w:spacing w:after="0" w:line="243" w:lineRule="auto"/>
        <w:tabs>
          <w:tab w:leader="none" w:pos="86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897,255 shares of our common stock available for issuance under our 2019 Employee Stock Purchase Plan, as well as any automatic increases in the number of shares of common stock reserved for future issuance under this benefit plan; and</w:t>
      </w:r>
    </w:p>
    <w:p>
      <w:pPr>
        <w:spacing w:after="0" w:line="22" w:lineRule="exact"/>
        <w:rPr>
          <w:rFonts w:ascii="MS PGothic" w:cs="MS PGothic" w:eastAsia="MS PGothic" w:hAnsi="MS PGothic"/>
          <w:sz w:val="13"/>
          <w:szCs w:val="13"/>
          <w:color w:val="auto"/>
        </w:rPr>
      </w:pPr>
    </w:p>
    <w:p>
      <w:pPr>
        <w:ind w:left="860" w:hanging="432"/>
        <w:spacing w:after="0"/>
        <w:tabs>
          <w:tab w:leader="none" w:pos="86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28,274 shares of our common stock reserved for future issuance under our NGM Biopharmaceuticals Matching Plan.</w:t>
      </w:r>
    </w:p>
    <w:p>
      <w:pPr>
        <w:spacing w:after="0" w:line="15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To the extent that any of the outstanding options are exercised there could be further dilution to new investors. In addition, we may choose to raise additional capital due to market conditions or strategic considerations even if we believe we have sufficient funds for our current or future operating plans. To the extent that we raise additional capital through the sale of equity securities, the issuance of such securities could result in further dilution to our stockholders.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0"/>
          </w:cols>
          <w:pgMar w:left="440" w:top="282" w:right="4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DESCRIPTION OF CAPITAL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0"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As of the date of this prospectus, our authorized capital stock consists of 400,000,000 shares of common stock, $0.001 par value per share, and 10,000,000 shares of preferred stock, $0.001 par value per share.</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following summary description of our capital stock is based on the provisions of our amended and restated certificate of incorporation, our amended and restated bylaws and applicable provisions of the General Corporation Law of the State of Delaware. The description is intended as a summary, and is qualified in its entirety by reference to our amended and restated certificate of incorporation, our amended and restated bylaws and the General Corporation Law of the State of Delaware. For information on how to obtain copies of our amended and restated certificate of incorporation and our amended and restated bylaws, which are exhibits to the registration statement of which this prospectus is a part, see “Where You Can Find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 Rights</w:t>
      </w:r>
    </w:p>
    <w:p>
      <w:pPr>
        <w:spacing w:after="0" w:line="7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 addition to any vote of holders of a specific class or series, or required by law or the amended and restated certificate of incorporation, the affirmative vote of holders of at least 66 2/3% of the voting power of all of the then 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79" w:lineRule="exact"/>
        <w:rPr>
          <w:sz w:val="20"/>
          <w:szCs w:val="20"/>
          <w:color w:val="auto"/>
        </w:rPr>
      </w:pPr>
    </w:p>
    <w:p>
      <w:pPr>
        <w:ind w:right="640"/>
        <w:spacing w:after="0" w:line="243" w:lineRule="auto"/>
        <w:rPr>
          <w:sz w:val="20"/>
          <w:szCs w:val="20"/>
          <w:color w:val="auto"/>
        </w:rPr>
      </w:pPr>
      <w:r>
        <w:rPr>
          <w:rFonts w:ascii="Arial" w:cs="Arial" w:eastAsia="Arial" w:hAnsi="Arial"/>
          <w:sz w:val="17"/>
          <w:szCs w:val="17"/>
          <w:color w:val="auto"/>
        </w:rPr>
        <w:t>Subject to preferences that may apply to any outstanding preferred stock, holders of our common stock are entitled to receive ratably any dividends that our board of directors may declare out of funds legally available for that purpose.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Liquidation</w:t>
      </w:r>
    </w:p>
    <w:p>
      <w:pPr>
        <w:spacing w:after="0" w:line="93"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In the event of our liquidation, dissolution or winding up, holders of our common stock are entitled to share ratably in all assets remaining after payment of liabilities and the liquidation preference of any outstanding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Rights and Preferences</w:t>
      </w:r>
    </w:p>
    <w:p>
      <w:pPr>
        <w:spacing w:after="0" w:line="7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Fully Paid and Nonassessable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When we issue shares of common stock under this prospectus, the shares will be fully paid and nonassessable.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3"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w:t>
      </w:r>
    </w:p>
    <w:p>
      <w:pPr>
        <w:spacing w:after="0" w:line="149"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Our board of directors will fix the designations, voting powers, preferences and rights of the preferred stock of each series we issue under this prospectus, as well as the qualifications, limitations or restrictions thereof, in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80"/>
          </w:cols>
          <w:pgMar w:left="440" w:top="265" w:right="479" w:bottom="1440" w:gutter="0" w:footer="0" w:header="0"/>
        </w:sectPr>
      </w:pPr>
    </w:p>
    <w:bookmarkStart w:id="15" w:name="page16"/>
    <w:bookmarkEnd w:id="15"/>
    <w:p>
      <w:pPr>
        <w:spacing w:after="0" w:line="23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190" w:lineRule="exact"/>
        <w:rPr>
          <w:sz w:val="20"/>
          <w:szCs w:val="20"/>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title and stated value;</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number of shares we are offering;</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liquidation preference per share;</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purchase price;</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dividend rate, period and payment date and method of calculation for dividends;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whether dividends will be cumulative or non-cumulative and, if cumulative, the date from which dividends will accumulate;</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procedures for any auction and remarketing;</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provisions for any sinking fund;</w:t>
      </w:r>
    </w:p>
    <w:p>
      <w:pPr>
        <w:spacing w:after="0" w:line="34" w:lineRule="exact"/>
        <w:rPr>
          <w:rFonts w:ascii="MS PGothic" w:cs="MS PGothic" w:eastAsia="MS PGothic" w:hAnsi="MS PGothic"/>
          <w:sz w:val="13"/>
          <w:szCs w:val="13"/>
          <w:color w:val="auto"/>
        </w:rPr>
      </w:pPr>
    </w:p>
    <w:p>
      <w:pPr>
        <w:ind w:left="860" w:right="620" w:hanging="432"/>
        <w:spacing w:after="0" w:line="243" w:lineRule="auto"/>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provisions for redemption or repurchase, if applicable, and any restrictions on our ability to exercise those redemption and repurchase rights;</w:t>
      </w:r>
    </w:p>
    <w:p>
      <w:pPr>
        <w:spacing w:after="0" w:line="22" w:lineRule="exact"/>
        <w:rPr>
          <w:rFonts w:ascii="MS PGothic" w:cs="MS PGothic" w:eastAsia="MS PGothic" w:hAnsi="MS PGothic"/>
          <w:sz w:val="13"/>
          <w:szCs w:val="13"/>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any listing of the preferred stock on any securities exchange or market;</w:t>
      </w:r>
    </w:p>
    <w:p>
      <w:pPr>
        <w:spacing w:after="0" w:line="34" w:lineRule="exact"/>
        <w:rPr>
          <w:rFonts w:ascii="MS PGothic" w:cs="MS PGothic" w:eastAsia="MS PGothic" w:hAnsi="MS PGothic"/>
          <w:sz w:val="13"/>
          <w:szCs w:val="13"/>
          <w:color w:val="auto"/>
        </w:rPr>
      </w:pPr>
    </w:p>
    <w:p>
      <w:pPr>
        <w:ind w:left="860" w:right="580" w:hanging="432"/>
        <w:spacing w:after="0" w:line="243" w:lineRule="auto"/>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whether the preferred stock will be convertible into our common stock, and, if applicable, the conversion price, or how it will be calculated, and the conversion period;</w:t>
      </w:r>
    </w:p>
    <w:p>
      <w:pPr>
        <w:spacing w:after="0" w:line="22" w:lineRule="exact"/>
        <w:rPr>
          <w:rFonts w:ascii="MS PGothic" w:cs="MS PGothic" w:eastAsia="MS PGothic" w:hAnsi="MS PGothic"/>
          <w:sz w:val="13"/>
          <w:szCs w:val="13"/>
          <w:color w:val="auto"/>
        </w:rPr>
      </w:pPr>
    </w:p>
    <w:p>
      <w:pPr>
        <w:ind w:left="860" w:right="720" w:hanging="432"/>
        <w:spacing w:after="0" w:line="243" w:lineRule="auto"/>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whether the preferred stock will be exchangeable into debt securities, and, if applicable, the exchange price, or how it will be calculated, and the exchange period;</w:t>
      </w:r>
    </w:p>
    <w:p>
      <w:pPr>
        <w:spacing w:after="0" w:line="22" w:lineRule="exact"/>
        <w:rPr>
          <w:rFonts w:ascii="MS PGothic" w:cs="MS PGothic" w:eastAsia="MS PGothic" w:hAnsi="MS PGothic"/>
          <w:sz w:val="13"/>
          <w:szCs w:val="13"/>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voting rights of the preferred stock;</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preemptive rights;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restrictions on transfer, sale or other assignment;</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whether interests in the preferred stock will be represented by depositary shares;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a discussion of material U.S. federal income tax considerations applicable to the preferred stock;</w:t>
      </w:r>
    </w:p>
    <w:p>
      <w:pPr>
        <w:spacing w:after="0" w:line="34" w:lineRule="exact"/>
        <w:rPr>
          <w:rFonts w:ascii="MS PGothic" w:cs="MS PGothic" w:eastAsia="MS PGothic" w:hAnsi="MS PGothic"/>
          <w:sz w:val="13"/>
          <w:szCs w:val="13"/>
          <w:color w:val="auto"/>
        </w:rPr>
      </w:pPr>
    </w:p>
    <w:p>
      <w:pPr>
        <w:ind w:left="860" w:right="400" w:hanging="432"/>
        <w:spacing w:after="0" w:line="243" w:lineRule="auto"/>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22" w:lineRule="exact"/>
        <w:rPr>
          <w:rFonts w:ascii="MS PGothic" w:cs="MS PGothic" w:eastAsia="MS PGothic" w:hAnsi="MS PGothic"/>
          <w:sz w:val="13"/>
          <w:szCs w:val="13"/>
          <w:color w:val="auto"/>
        </w:rPr>
      </w:pPr>
    </w:p>
    <w:p>
      <w:pPr>
        <w:ind w:left="860" w:right="300" w:hanging="432"/>
        <w:spacing w:after="0" w:line="243" w:lineRule="auto"/>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22" w:lineRule="exact"/>
        <w:rPr>
          <w:rFonts w:ascii="MS PGothic" w:cs="MS PGothic" w:eastAsia="MS PGothic" w:hAnsi="MS PGothic"/>
          <w:sz w:val="13"/>
          <w:szCs w:val="13"/>
          <w:color w:val="auto"/>
        </w:rPr>
      </w:pPr>
    </w:p>
    <w:p>
      <w:pPr>
        <w:ind w:left="860" w:hanging="432"/>
        <w:spacing w:after="0"/>
        <w:tabs>
          <w:tab w:leader="none" w:pos="8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any other specific terms, preferences, rights or limitations of, or restrictions on, the preferred stock.</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When we issue shares of preferred stock under this prospectus, the shares will be fully paid and non-assessable.</w:t>
      </w:r>
    </w:p>
    <w:p>
      <w:pPr>
        <w:spacing w:after="0" w:line="156" w:lineRule="exact"/>
        <w:rPr>
          <w:sz w:val="20"/>
          <w:szCs w:val="20"/>
          <w:color w:val="auto"/>
        </w:rPr>
      </w:pPr>
    </w:p>
    <w:p>
      <w:pPr>
        <w:ind w:right="500"/>
        <w:spacing w:after="0" w:line="243" w:lineRule="auto"/>
        <w:rPr>
          <w:sz w:val="20"/>
          <w:szCs w:val="20"/>
          <w:color w:val="auto"/>
        </w:rPr>
      </w:pPr>
      <w:r>
        <w:rPr>
          <w:rFonts w:ascii="Arial" w:cs="Arial" w:eastAsia="Arial" w:hAnsi="Arial"/>
          <w:sz w:val="17"/>
          <w:szCs w:val="17"/>
          <w:color w:val="auto"/>
        </w:rPr>
        <w:t>Unless we specify otherwise in the applicable prospectus supplement, the preferred stock will rank, with respect to dividends and upon our liquidation, dissolution or winding up:</w:t>
      </w:r>
    </w:p>
    <w:p>
      <w:pPr>
        <w:spacing w:after="0" w:line="185" w:lineRule="exact"/>
        <w:rPr>
          <w:sz w:val="20"/>
          <w:szCs w:val="20"/>
          <w:color w:val="auto"/>
        </w:rPr>
      </w:pPr>
    </w:p>
    <w:p>
      <w:pPr>
        <w:ind w:left="860" w:hanging="432"/>
        <w:spacing w:after="0"/>
        <w:tabs>
          <w:tab w:leader="none" w:pos="86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senior to all classes or series of our common stock and to all of our equity securities ranking junior to the preferred stock;</w:t>
      </w:r>
    </w:p>
    <w:p>
      <w:pPr>
        <w:spacing w:after="0" w:line="34" w:lineRule="exact"/>
        <w:rPr>
          <w:rFonts w:ascii="MS PGothic" w:cs="MS PGothic" w:eastAsia="MS PGothic" w:hAnsi="MS PGothic"/>
          <w:sz w:val="13"/>
          <w:szCs w:val="13"/>
          <w:color w:val="auto"/>
        </w:rPr>
      </w:pPr>
    </w:p>
    <w:p>
      <w:pPr>
        <w:ind w:left="860" w:right="280" w:hanging="432"/>
        <w:spacing w:after="0" w:line="243" w:lineRule="auto"/>
        <w:tabs>
          <w:tab w:leader="none" w:pos="86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on a parity with all of our equity securities the terms of which specifically provide that the equity securities rank on a parity with the preferred stock; and</w:t>
      </w:r>
    </w:p>
    <w:p>
      <w:pPr>
        <w:spacing w:after="0" w:line="22" w:lineRule="exact"/>
        <w:rPr>
          <w:rFonts w:ascii="MS PGothic" w:cs="MS PGothic" w:eastAsia="MS PGothic" w:hAnsi="MS PGothic"/>
          <w:sz w:val="13"/>
          <w:szCs w:val="13"/>
          <w:color w:val="auto"/>
        </w:rPr>
      </w:pPr>
    </w:p>
    <w:p>
      <w:pPr>
        <w:ind w:left="860" w:hanging="432"/>
        <w:spacing w:after="0"/>
        <w:tabs>
          <w:tab w:leader="none" w:pos="86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junior to all of our equity securities the terms of which specifically provide that the equity securities rank senior to the preferred stock.</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term “equity securities” does not include convertible debt securities.</w:t>
      </w:r>
    </w:p>
    <w:p>
      <w:pPr>
        <w:spacing w:after="0" w:line="156"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40"/>
          </w:cols>
          <w:pgMar w:left="440" w:top="282" w:right="519" w:bottom="1440" w:gutter="0" w:footer="0" w:header="0"/>
        </w:sectPr>
      </w:pPr>
    </w:p>
    <w:bookmarkStart w:id="16" w:name="page17"/>
    <w:bookmarkEnd w:id="16"/>
    <w:p>
      <w:pPr>
        <w:ind w:right="40"/>
        <w:spacing w:after="0" w:line="23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 and Delaware Law</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Certificate of Incorporation and Bylaws</w:t>
      </w:r>
    </w:p>
    <w:p>
      <w:pPr>
        <w:spacing w:after="0" w:line="93"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Our amended and restated certificate of incorporation and amended and restated bylaws include a number of provisions that may deter or impede hostile takeovers or changes of control or management. These provisions include:</w:t>
      </w:r>
    </w:p>
    <w:p>
      <w:pPr>
        <w:spacing w:after="0" w:line="165" w:lineRule="exact"/>
        <w:rPr>
          <w:sz w:val="20"/>
          <w:szCs w:val="20"/>
          <w:color w:val="auto"/>
        </w:rPr>
      </w:pPr>
    </w:p>
    <w:p>
      <w:pPr>
        <w:ind w:left="860" w:right="200" w:hanging="432"/>
        <w:spacing w:after="0" w:line="244" w:lineRule="auto"/>
        <w:tabs>
          <w:tab w:leader="none" w:pos="860" w:val="left"/>
        </w:tabs>
        <w:numPr>
          <w:ilvl w:val="0"/>
          <w:numId w:val="8"/>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issue up 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1" w:lineRule="exact"/>
        <w:rPr>
          <w:rFonts w:ascii="MS PGothic" w:cs="MS PGothic" w:eastAsia="MS PGothic" w:hAnsi="MS PGothic"/>
          <w:sz w:val="13"/>
          <w:szCs w:val="13"/>
          <w:color w:val="auto"/>
        </w:rPr>
      </w:pPr>
    </w:p>
    <w:p>
      <w:pPr>
        <w:ind w:left="860" w:hanging="432"/>
        <w:spacing w:after="0" w:line="244" w:lineRule="auto"/>
        <w:tabs>
          <w:tab w:leader="none" w:pos="860" w:val="left"/>
        </w:tabs>
        <w:numPr>
          <w:ilvl w:val="0"/>
          <w:numId w:val="8"/>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Classified Board: </w:t>
      </w:r>
      <w:r>
        <w:rPr>
          <w:rFonts w:ascii="Arial" w:cs="Arial" w:eastAsia="Arial" w:hAnsi="Arial"/>
          <w:sz w:val="17"/>
          <w:szCs w:val="17"/>
          <w:color w:val="auto"/>
        </w:rPr>
        <w:t>Our amended and restated certificate of incorporation provides for a classified board of directors consisting of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classes of 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1" w:lineRule="exact"/>
        <w:rPr>
          <w:rFonts w:ascii="MS PGothic" w:cs="MS PGothic" w:eastAsia="MS PGothic" w:hAnsi="MS PGothic"/>
          <w:sz w:val="13"/>
          <w:szCs w:val="13"/>
          <w:color w:val="auto"/>
        </w:rPr>
      </w:pPr>
    </w:p>
    <w:p>
      <w:pPr>
        <w:ind w:left="860" w:right="100" w:hanging="432"/>
        <w:spacing w:after="0" w:line="241" w:lineRule="auto"/>
        <w:tabs>
          <w:tab w:leader="none" w:pos="860" w:val="left"/>
        </w:tabs>
        <w:numPr>
          <w:ilvl w:val="0"/>
          <w:numId w:val="8"/>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Board of Directors Vacancies: </w:t>
      </w:r>
      <w:r>
        <w:rPr>
          <w:rFonts w:ascii="Arial" w:cs="Arial" w:eastAsia="Arial" w:hAnsi="Arial"/>
          <w:sz w:val="17"/>
          <w:szCs w:val="17"/>
          <w:color w:val="auto"/>
        </w:rPr>
        <w:t>Our amended and restated certificate of incorporation and amended and restated bylaws authorize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only our board of directors to fill vacant directorships, subject to the rights of the holders of any series of preferred stock or as otherwise provided by applicable law.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4" w:lineRule="exact"/>
        <w:rPr>
          <w:rFonts w:ascii="MS PGothic" w:cs="MS PGothic" w:eastAsia="MS PGothic" w:hAnsi="MS PGothic"/>
          <w:sz w:val="13"/>
          <w:szCs w:val="13"/>
          <w:color w:val="auto"/>
        </w:rPr>
      </w:pPr>
    </w:p>
    <w:p>
      <w:pPr>
        <w:ind w:left="860" w:right="20" w:hanging="432"/>
        <w:spacing w:after="0" w:line="241" w:lineRule="auto"/>
        <w:tabs>
          <w:tab w:leader="none" w:pos="860" w:val="left"/>
        </w:tabs>
        <w:numPr>
          <w:ilvl w:val="0"/>
          <w:numId w:val="8"/>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Stockholder Action; Special Meetings of Stockholders: </w:t>
      </w:r>
      <w:r>
        <w:rPr>
          <w:rFonts w:ascii="Arial" w:cs="Arial" w:eastAsia="Arial" w:hAnsi="Arial"/>
          <w:sz w:val="17"/>
          <w:szCs w:val="17"/>
          <w:color w:val="auto"/>
        </w:rPr>
        <w:t>Our amended and restated certificate of incorporation provides that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may not take action by written consent, but may only take action at annual or special meetings of our stockholders. Stockholders are not permitted to cumulate their votes for the election of directors. Our amended and restated bylaws provide that only the chairman of our board of directors, our chief executive officer, or a majority of our board of directors may call special meetings of our stockholders.</w:t>
      </w:r>
    </w:p>
    <w:p>
      <w:pPr>
        <w:spacing w:after="0" w:line="4" w:lineRule="exact"/>
        <w:rPr>
          <w:rFonts w:ascii="MS PGothic" w:cs="MS PGothic" w:eastAsia="MS PGothic" w:hAnsi="MS PGothic"/>
          <w:sz w:val="13"/>
          <w:szCs w:val="13"/>
          <w:color w:val="auto"/>
        </w:rPr>
      </w:pPr>
    </w:p>
    <w:p>
      <w:pPr>
        <w:ind w:left="860" w:right="20" w:hanging="432"/>
        <w:spacing w:after="0" w:line="241" w:lineRule="auto"/>
        <w:tabs>
          <w:tab w:leader="none" w:pos="860" w:val="left"/>
        </w:tabs>
        <w:numPr>
          <w:ilvl w:val="0"/>
          <w:numId w:val="8"/>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Advance Notice Requirements for Stockholder Proposals and Director Nominations: </w:t>
      </w:r>
      <w:r>
        <w:rPr>
          <w:rFonts w:ascii="Arial" w:cs="Arial" w:eastAsia="Arial" w:hAnsi="Arial"/>
          <w:sz w:val="17"/>
          <w:szCs w:val="17"/>
          <w:color w:val="auto"/>
        </w:rPr>
        <w:t>Our amended and restated bylaws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advance notice 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14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00"/>
          </w:cols>
          <w:pgMar w:left="440" w:top="282" w:right="459" w:bottom="1440" w:gutter="0" w:footer="0" w:header="0"/>
        </w:sectPr>
      </w:pPr>
    </w:p>
    <w:bookmarkStart w:id="17" w:name="page18"/>
    <w:bookmarkEnd w:id="17"/>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203 of the Delaware General Corporation Law</w:t>
      </w:r>
    </w:p>
    <w:p>
      <w:pPr>
        <w:spacing w:after="0" w:line="79" w:lineRule="exact"/>
        <w:rPr>
          <w:sz w:val="20"/>
          <w:szCs w:val="20"/>
          <w:color w:val="auto"/>
        </w:rPr>
      </w:pPr>
    </w:p>
    <w:p>
      <w:pPr>
        <w:jc w:val="both"/>
        <w:ind w:right="320"/>
        <w:spacing w:after="0" w:line="238" w:lineRule="auto"/>
        <w:rPr>
          <w:sz w:val="20"/>
          <w:szCs w:val="20"/>
          <w:color w:val="auto"/>
        </w:rPr>
      </w:pPr>
      <w:r>
        <w:rPr>
          <w:rFonts w:ascii="Arial" w:cs="Arial" w:eastAsia="Arial" w:hAnsi="Arial"/>
          <w:sz w:val="17"/>
          <w:szCs w:val="17"/>
          <w:color w:val="auto"/>
        </w:rPr>
        <w:t>We are subject to Section 203 of the General Corporation Law of the State of Delaware, or the DGCL, which prohibits a Delaware corporation from engaging in a business combination with any interested stockholder for a period of three years following the date the person became an interested stockholder, with the following exceptions:</w:t>
      </w:r>
    </w:p>
    <w:p>
      <w:pPr>
        <w:spacing w:after="0" w:line="188" w:lineRule="exact"/>
        <w:rPr>
          <w:sz w:val="20"/>
          <w:szCs w:val="20"/>
          <w:color w:val="auto"/>
        </w:rPr>
      </w:pPr>
    </w:p>
    <w:p>
      <w:pPr>
        <w:ind w:left="860" w:right="40" w:hanging="432"/>
        <w:spacing w:after="0" w:line="243" w:lineRule="auto"/>
        <w:tabs>
          <w:tab w:leader="none" w:pos="86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holder;</w:t>
      </w:r>
    </w:p>
    <w:p>
      <w:pPr>
        <w:spacing w:after="0" w:line="22" w:lineRule="exact"/>
        <w:rPr>
          <w:rFonts w:ascii="MS PGothic" w:cs="MS PGothic" w:eastAsia="MS PGothic" w:hAnsi="MS PGothic"/>
          <w:sz w:val="13"/>
          <w:szCs w:val="13"/>
          <w:color w:val="auto"/>
        </w:rPr>
      </w:pPr>
    </w:p>
    <w:p>
      <w:pPr>
        <w:ind w:left="860" w:right="60" w:hanging="432"/>
        <w:spacing w:after="0" w:line="235" w:lineRule="auto"/>
        <w:tabs>
          <w:tab w:leader="none" w:pos="86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26" w:lineRule="exact"/>
        <w:rPr>
          <w:rFonts w:ascii="MS PGothic" w:cs="MS PGothic" w:eastAsia="MS PGothic" w:hAnsi="MS PGothic"/>
          <w:sz w:val="13"/>
          <w:szCs w:val="13"/>
          <w:color w:val="auto"/>
        </w:rPr>
      </w:pPr>
    </w:p>
    <w:p>
      <w:pPr>
        <w:ind w:left="860" w:right="120" w:hanging="432"/>
        <w:spacing w:after="0" w:line="238" w:lineRule="auto"/>
        <w:tabs>
          <w:tab w:leader="none" w:pos="86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In general, Section 203 defines business combination to include the following:</w:t>
      </w:r>
    </w:p>
    <w:p>
      <w:pPr>
        <w:spacing w:after="0" w:line="196" w:lineRule="exact"/>
        <w:rPr>
          <w:sz w:val="20"/>
          <w:szCs w:val="20"/>
          <w:color w:val="auto"/>
        </w:rPr>
      </w:pPr>
    </w:p>
    <w:p>
      <w:pPr>
        <w:ind w:left="860" w:hanging="432"/>
        <w:spacing w:after="0"/>
        <w:tabs>
          <w:tab w:leader="none" w:pos="86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any merger or consolidation involving the corporation and the interested stockholder;</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34" w:lineRule="exact"/>
        <w:rPr>
          <w:rFonts w:ascii="MS PGothic" w:cs="MS PGothic" w:eastAsia="MS PGothic" w:hAnsi="MS PGothic"/>
          <w:sz w:val="13"/>
          <w:szCs w:val="13"/>
          <w:color w:val="auto"/>
        </w:rPr>
      </w:pPr>
    </w:p>
    <w:p>
      <w:pPr>
        <w:ind w:left="860" w:right="80" w:hanging="432"/>
        <w:spacing w:after="0" w:line="243" w:lineRule="auto"/>
        <w:tabs>
          <w:tab w:leader="none" w:pos="86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22" w:lineRule="exact"/>
        <w:rPr>
          <w:rFonts w:ascii="MS PGothic" w:cs="MS PGothic" w:eastAsia="MS PGothic" w:hAnsi="MS PGothic"/>
          <w:sz w:val="13"/>
          <w:szCs w:val="13"/>
          <w:color w:val="auto"/>
        </w:rPr>
      </w:pPr>
    </w:p>
    <w:p>
      <w:pPr>
        <w:ind w:left="860" w:right="80" w:hanging="432"/>
        <w:spacing w:after="0" w:line="243" w:lineRule="auto"/>
        <w:tabs>
          <w:tab w:leader="none" w:pos="86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22" w:lineRule="exact"/>
        <w:rPr>
          <w:rFonts w:ascii="MS PGothic" w:cs="MS PGothic" w:eastAsia="MS PGothic" w:hAnsi="MS PGothic"/>
          <w:sz w:val="13"/>
          <w:szCs w:val="13"/>
          <w:color w:val="auto"/>
        </w:rPr>
      </w:pPr>
    </w:p>
    <w:p>
      <w:pPr>
        <w:ind w:left="860" w:right="260" w:hanging="432"/>
        <w:spacing w:after="0" w:line="243" w:lineRule="auto"/>
        <w:tabs>
          <w:tab w:leader="none" w:pos="86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the receipt by the interested stockholder of the benefit of any loans, advances, guarantees, pledges or other financial benefits by or through the corporation.</w:t>
      </w:r>
    </w:p>
    <w:p>
      <w:pPr>
        <w:spacing w:after="0" w:line="144"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147"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A Delaware corporation may opt out of these provisions with an express provision in its certificate of incorporation. We have not opted out of these provisions, which may, as a result, discourage or prevent mergers or other takeover or change in control attempts of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the following types of actions or proceedings under Delaware statutory or common law: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 amended and restated bylaws; or (iv) any action asserting a claim against us or any director or officer or other employee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00"/>
          </w:cols>
          <w:pgMar w:left="440" w:top="264"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 Agent and Registrar</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Our transfer agent and registrar for our common stock is American Stock Transfer &amp; Trust Company, LLC.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is listed on The Nasdaq Global Select Market under the symbol “NGM.”</w:t>
      </w:r>
    </w:p>
    <w:p>
      <w:pPr>
        <w:spacing w:after="0" w:line="15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019"/>
          </w:cols>
          <w:pgMar w:left="440" w:top="265"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PLAN OF DISTRIBUTION</w:t>
      </w:r>
    </w:p>
    <w:p>
      <w:pPr>
        <w:spacing w:after="0" w:line="336"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We have entered into a sales agreement with Jefferies, under which we may offer and sell up to $150,000,000 of our shares of common stock from time to time through Jefferies acting as agent. Sales of our shares of common stock, if any, under this prospectus will be made by any method that is deemed to be an “at the market offering” as defined in Rule 415(a)(4) under the Securities Act.</w:t>
      </w:r>
    </w:p>
    <w:p>
      <w:pPr>
        <w:spacing w:after="0" w:line="14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settlement of sales of shares between us and Jefferies is generally anticipated to occur on the second trading day following the date on which the sale was made. Sales of our shares of common stock as contemplated in this prospectus will be settled through the facilities of The Depository Trust Company or by such other means as we and Jefferies may agree upon. There is no arrangement for funds to be received in an escrow, trust or similar arrangement.</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$50,000, in addition to certain ongoing disbursements of its legal counsel. We estimate that the total expenses for the offering, excluding any commissions or expense reimbursement payable to Jefferies under the terms of the sales agreement, will be approximately $950,000. The remaining sale proceeds, after deducting any other transaction fees, will equal our net proceeds from the sale of such shares.</w:t>
      </w:r>
    </w:p>
    <w:p>
      <w:pPr>
        <w:spacing w:after="0" w:line="151"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Jefferies will provide written confirmation to us before the open on The Nasdaq Global Select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14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4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trading days’ prior notice.</w:t>
      </w:r>
    </w:p>
    <w:p>
      <w:pPr>
        <w:spacing w:after="0" w:line="147"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This summary of the material provisions of the sales agreement does not purport to be a complete statement of its terms and conditions. A copy of the sales agreement is filed as an exhibit to the registration statement of which this prospectus forms a part.</w:t>
      </w:r>
    </w:p>
    <w:p>
      <w:pPr>
        <w:spacing w:after="0" w:line="144"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49" w:lineRule="exact"/>
        <w:rPr>
          <w:sz w:val="20"/>
          <w:szCs w:val="20"/>
          <w:color w:val="auto"/>
        </w:rPr>
      </w:pPr>
    </w:p>
    <w:p>
      <w:pPr>
        <w:ind w:right="580"/>
        <w:spacing w:after="0" w:line="243" w:lineRule="auto"/>
        <w:rPr>
          <w:sz w:val="20"/>
          <w:szCs w:val="20"/>
          <w:color w:val="auto"/>
        </w:rPr>
      </w:pPr>
      <w:r>
        <w:rPr>
          <w:rFonts w:ascii="Arial" w:cs="Arial" w:eastAsia="Arial" w:hAnsi="Arial"/>
          <w:sz w:val="17"/>
          <w:szCs w:val="17"/>
          <w:color w:val="auto"/>
        </w:rPr>
        <w:t>A prospectus in electronic format may be made available on a website maintained by Jefferies, and Jefferies may distribute the prospectus electronically.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20"/>
          </w:cols>
          <w:pgMar w:left="440" w:top="265" w:right="4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LEGAL MATTERS</w:t>
      </w:r>
    </w:p>
    <w:p>
      <w:pPr>
        <w:spacing w:after="0" w:line="336"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Cooley LLP is serving as our counsel in this offering. Davis Polk &amp; Wardwell LLP is acting as counsel for Jefferies in connection with certain legal matters relating to the shares of common stock offered by this prospectus. GC&amp;H Investments, LLC, an entity that includes current and former partners and associates of Cooley LLP, beneficially owns 10,000 shares of our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2019, as set forth in their report, which is incorporated by reference in this prospectus and elsewhere in this registration statement. Our consolidated financial statements are incorporated by reference in reliance on Ernst &amp; Young LLP’s report, given on their authority as experts in accounting and auditing.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3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36"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001-38853):</w:t>
      </w:r>
    </w:p>
    <w:p>
      <w:pPr>
        <w:spacing w:after="0" w:line="188" w:lineRule="exact"/>
        <w:rPr>
          <w:sz w:val="20"/>
          <w:szCs w:val="20"/>
          <w:color w:val="auto"/>
        </w:rPr>
      </w:pPr>
    </w:p>
    <w:p>
      <w:pPr>
        <w:ind w:left="860" w:hanging="432"/>
        <w:spacing w:after="0"/>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30">
        <w:r>
          <w:rPr>
            <w:rFonts w:ascii="Arial" w:cs="Arial" w:eastAsia="Arial" w:hAnsi="Arial"/>
            <w:sz w:val="17"/>
            <w:szCs w:val="17"/>
            <w:u w:val="single" w:color="auto"/>
            <w:color w:val="0000EE"/>
          </w:rPr>
          <w:t>Form 10-K</w:t>
        </w:r>
      </w:hyperlink>
      <w:r>
        <w:rPr>
          <w:rFonts w:ascii="Arial" w:cs="Arial" w:eastAsia="Arial" w:hAnsi="Arial"/>
          <w:sz w:val="17"/>
          <w:szCs w:val="17"/>
          <w:color w:val="auto"/>
        </w:rPr>
        <w:t>, for the year ended December 31, 2019, filed with the SEC on March 17, 2020;</w:t>
      </w:r>
    </w:p>
    <w:p>
      <w:pPr>
        <w:spacing w:after="0" w:line="34" w:lineRule="exact"/>
        <w:rPr>
          <w:rFonts w:ascii="Arial" w:cs="Arial" w:eastAsia="Arial" w:hAnsi="Arial"/>
          <w:sz w:val="17"/>
          <w:szCs w:val="17"/>
          <w:color w:val="auto"/>
        </w:rPr>
      </w:pPr>
    </w:p>
    <w:p>
      <w:pPr>
        <w:ind w:left="860" w:right="940" w:hanging="432"/>
        <w:spacing w:after="0" w:line="243" w:lineRule="auto"/>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our Definitive Proxy Statement on </w:t>
      </w:r>
      <w:hyperlink r:id="rId31">
        <w:r>
          <w:rPr>
            <w:rFonts w:ascii="Arial" w:cs="Arial" w:eastAsia="Arial" w:hAnsi="Arial"/>
            <w:sz w:val="17"/>
            <w:szCs w:val="17"/>
            <w:u w:val="single" w:color="auto"/>
            <w:color w:val="0000EE"/>
          </w:rPr>
          <w:t>Schedule 14A</w:t>
        </w:r>
      </w:hyperlink>
      <w:r>
        <w:rPr>
          <w:rFonts w:ascii="Arial" w:cs="Arial" w:eastAsia="Arial" w:hAnsi="Arial"/>
          <w:sz w:val="17"/>
          <w:szCs w:val="17"/>
          <w:color w:val="auto"/>
        </w:rPr>
        <w:t>, filed with the SEC on April 8, 2020 (excluding those portions that are not incorporated by reference into our Annual Report on Form 10-K for the year ended December 31, 2019);</w:t>
      </w:r>
    </w:p>
    <w:p>
      <w:pPr>
        <w:spacing w:after="0" w:line="22" w:lineRule="exact"/>
        <w:rPr>
          <w:rFonts w:ascii="Arial" w:cs="Arial" w:eastAsia="Arial" w:hAnsi="Arial"/>
          <w:sz w:val="17"/>
          <w:szCs w:val="17"/>
          <w:color w:val="auto"/>
        </w:rPr>
      </w:pPr>
    </w:p>
    <w:p>
      <w:pPr>
        <w:ind w:left="860" w:hanging="432"/>
        <w:spacing w:after="0"/>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our Quarterly Report on </w:t>
      </w:r>
      <w:hyperlink r:id="rId32">
        <w:r>
          <w:rPr>
            <w:rFonts w:ascii="Arial" w:cs="Arial" w:eastAsia="Arial" w:hAnsi="Arial"/>
            <w:sz w:val="17"/>
            <w:szCs w:val="17"/>
            <w:u w:val="single" w:color="auto"/>
            <w:color w:val="0000EE"/>
          </w:rPr>
          <w:t>Form 10-Q</w:t>
        </w:r>
      </w:hyperlink>
      <w:r>
        <w:rPr>
          <w:rFonts w:ascii="Arial" w:cs="Arial" w:eastAsia="Arial" w:hAnsi="Arial"/>
          <w:sz w:val="17"/>
          <w:szCs w:val="17"/>
          <w:color w:val="auto"/>
        </w:rPr>
        <w:t>, for the quarter ended March 31, 2020, filed with the SEC on May 13, 2020;</w:t>
      </w:r>
    </w:p>
    <w:p>
      <w:pPr>
        <w:spacing w:after="0" w:line="34" w:lineRule="exact"/>
        <w:rPr>
          <w:rFonts w:ascii="Arial" w:cs="Arial" w:eastAsia="Arial" w:hAnsi="Arial"/>
          <w:sz w:val="17"/>
          <w:szCs w:val="17"/>
          <w:color w:val="auto"/>
        </w:rPr>
      </w:pPr>
    </w:p>
    <w:p>
      <w:pPr>
        <w:ind w:left="860" w:right="420" w:hanging="432"/>
        <w:spacing w:after="0" w:line="243" w:lineRule="auto"/>
        <w:tabs>
          <w:tab w:leader="none" w:pos="860" w:val="left"/>
        </w:tabs>
        <w:numPr>
          <w:ilvl w:val="0"/>
          <w:numId w:val="11"/>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filed with the SEC on </w:t>
      </w:r>
      <w:hyperlink r:id="rId33">
        <w:r>
          <w:rPr>
            <w:rFonts w:ascii="Arial" w:cs="Arial" w:eastAsia="Arial" w:hAnsi="Arial"/>
            <w:sz w:val="17"/>
            <w:szCs w:val="17"/>
            <w:u w:val="single" w:color="auto"/>
            <w:color w:val="0000EE"/>
          </w:rPr>
          <w:t>February 13, 2020</w:t>
        </w:r>
      </w:hyperlink>
      <w:r>
        <w:rPr>
          <w:rFonts w:ascii="Arial" w:cs="Arial" w:eastAsia="Arial" w:hAnsi="Arial"/>
          <w:sz w:val="17"/>
          <w:szCs w:val="17"/>
          <w:color w:val="auto"/>
        </w:rPr>
        <w:t xml:space="preserve">, </w:t>
      </w:r>
      <w:hyperlink r:id="rId34">
        <w:r>
          <w:rPr>
            <w:rFonts w:ascii="Arial" w:cs="Arial" w:eastAsia="Arial" w:hAnsi="Arial"/>
            <w:sz w:val="17"/>
            <w:szCs w:val="17"/>
            <w:u w:val="single" w:color="auto"/>
            <w:color w:val="0000EE"/>
          </w:rPr>
          <w:t>February 24, 2020</w:t>
        </w:r>
      </w:hyperlink>
      <w:r>
        <w:rPr>
          <w:rFonts w:ascii="Arial" w:cs="Arial" w:eastAsia="Arial" w:hAnsi="Arial"/>
          <w:sz w:val="17"/>
          <w:szCs w:val="17"/>
          <w:color w:val="auto"/>
        </w:rPr>
        <w:t xml:space="preserve">, </w:t>
      </w:r>
      <w:hyperlink r:id="rId35">
        <w:r>
          <w:rPr>
            <w:rFonts w:ascii="Arial" w:cs="Arial" w:eastAsia="Arial" w:hAnsi="Arial"/>
            <w:sz w:val="17"/>
            <w:szCs w:val="17"/>
            <w:u w:val="single" w:color="auto"/>
            <w:color w:val="0000EE"/>
          </w:rPr>
          <w:t>March 9, 2020</w:t>
        </w:r>
      </w:hyperlink>
      <w:r>
        <w:rPr>
          <w:rFonts w:ascii="Arial" w:cs="Arial" w:eastAsia="Arial" w:hAnsi="Arial"/>
          <w:sz w:val="17"/>
          <w:szCs w:val="17"/>
          <w:color w:val="auto"/>
        </w:rPr>
        <w:t xml:space="preserve">, </w:t>
      </w:r>
      <w:hyperlink r:id="rId36">
        <w:r>
          <w:rPr>
            <w:rFonts w:ascii="Arial" w:cs="Arial" w:eastAsia="Arial" w:hAnsi="Arial"/>
            <w:sz w:val="17"/>
            <w:szCs w:val="17"/>
            <w:u w:val="single" w:color="auto"/>
            <w:color w:val="0000EE"/>
          </w:rPr>
          <w:t>May 27,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37">
        <w:r>
          <w:rPr>
            <w:rFonts w:ascii="Arial" w:cs="Arial" w:eastAsia="Arial" w:hAnsi="Arial"/>
            <w:sz w:val="17"/>
            <w:szCs w:val="17"/>
            <w:u w:val="single" w:color="auto"/>
            <w:color w:val="0000EE"/>
          </w:rPr>
          <w:t>June 8, 2020</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and</w:t>
      </w:r>
    </w:p>
    <w:p>
      <w:pPr>
        <w:spacing w:after="0" w:line="22" w:lineRule="exact"/>
        <w:rPr>
          <w:rFonts w:ascii="Arial" w:cs="Arial" w:eastAsia="Arial" w:hAnsi="Arial"/>
          <w:sz w:val="17"/>
          <w:szCs w:val="17"/>
          <w:color w:val="0000EE"/>
        </w:rPr>
      </w:pPr>
    </w:p>
    <w:p>
      <w:pPr>
        <w:ind w:left="860" w:right="600" w:hanging="432"/>
        <w:spacing w:after="0" w:line="243" w:lineRule="auto"/>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set forth in our registration statement on </w:t>
      </w:r>
      <w:hyperlink r:id="rId38">
        <w:r>
          <w:rPr>
            <w:rFonts w:ascii="Arial" w:cs="Arial" w:eastAsia="Arial" w:hAnsi="Arial"/>
            <w:sz w:val="17"/>
            <w:szCs w:val="17"/>
            <w:u w:val="single" w:color="auto"/>
            <w:color w:val="0000EE"/>
          </w:rPr>
          <w:t>Form 8-A</w:t>
        </w:r>
      </w:hyperlink>
      <w:r>
        <w:rPr>
          <w:rFonts w:ascii="Arial" w:cs="Arial" w:eastAsia="Arial" w:hAnsi="Arial"/>
          <w:sz w:val="17"/>
          <w:szCs w:val="17"/>
          <w:color w:val="auto"/>
        </w:rPr>
        <w:t>, filed with the SEC on March 29, 2019, including any amendment or report filed for the purpose of updating such description.</w:t>
      </w:r>
    </w:p>
    <w:p>
      <w:pPr>
        <w:spacing w:after="0" w:line="13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00"/>
          </w:cols>
          <w:pgMar w:left="440" w:top="265" w:right="459" w:bottom="1440" w:gutter="0" w:footer="0" w:header="0"/>
        </w:sectPr>
      </w:pPr>
    </w:p>
    <w:bookmarkStart w:id="21" w:name="page22"/>
    <w:bookmarkEnd w:id="21"/>
    <w:p>
      <w:pPr>
        <w:spacing w:after="0" w:line="23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NGM Biopharmaceuticals, Inc.</w:t>
      </w:r>
    </w:p>
    <w:p>
      <w:pPr>
        <w:jc w:val="center"/>
        <w:spacing w:after="0" w:line="232" w:lineRule="auto"/>
        <w:rPr>
          <w:sz w:val="20"/>
          <w:szCs w:val="20"/>
          <w:color w:val="auto"/>
        </w:rPr>
      </w:pPr>
      <w:r>
        <w:rPr>
          <w:rFonts w:ascii="Arial" w:cs="Arial" w:eastAsia="Arial" w:hAnsi="Arial"/>
          <w:sz w:val="17"/>
          <w:szCs w:val="17"/>
          <w:color w:val="auto"/>
        </w:rPr>
        <w:t>333 Oyster Point Boulevard</w:t>
      </w:r>
    </w:p>
    <w:p>
      <w:pPr>
        <w:jc w:val="center"/>
        <w:spacing w:after="0" w:line="232" w:lineRule="auto"/>
        <w:rPr>
          <w:sz w:val="20"/>
          <w:szCs w:val="20"/>
          <w:color w:val="auto"/>
        </w:rPr>
      </w:pPr>
      <w:r>
        <w:rPr>
          <w:rFonts w:ascii="Arial" w:cs="Arial" w:eastAsia="Arial" w:hAnsi="Arial"/>
          <w:sz w:val="17"/>
          <w:szCs w:val="17"/>
          <w:color w:val="auto"/>
        </w:rPr>
        <w:t>South San Francisco, California 94080</w:t>
      </w:r>
    </w:p>
    <w:p>
      <w:pPr>
        <w:jc w:val="both"/>
        <w:ind w:left="4940" w:right="4920" w:hanging="20"/>
        <w:spacing w:after="0" w:line="273" w:lineRule="auto"/>
        <w:tabs>
          <w:tab w:leader="none" w:pos="53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392-1768 Attn: Secretary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00"/>
          </w:cols>
          <w:pgMar w:left="440" w:top="282" w:right="45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200025</wp:posOffset>
            </wp:positionV>
            <wp:extent cx="71323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27940</wp:posOffset>
            </wp:positionV>
            <wp:extent cx="1663065" cy="942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66306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NGM Biopharmaceuticals, Inc.</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874395</wp:posOffset>
            </wp:positionV>
            <wp:extent cx="22802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231775</wp:posOffset>
            </wp:positionV>
            <wp:extent cx="22802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323215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383540</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jpe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30" Type="http://schemas.openxmlformats.org/officeDocument/2006/relationships/hyperlink" Target="http://www.sec.gov/Archives/edgar/data/1426332/000156459020011422/ngm-10k_20191231.htm" TargetMode="External"/><Relationship Id="rId31" Type="http://schemas.openxmlformats.org/officeDocument/2006/relationships/hyperlink" Target="http://www.sec.gov/Archives/edgar/data/1426332/000156459020015813/ngm-def14a_20200520.htm" TargetMode="External"/><Relationship Id="rId32" Type="http://schemas.openxmlformats.org/officeDocument/2006/relationships/hyperlink" Target="http://www.sec.gov/Archives/edgar/data/1426332/000156459020025077/ngm-10q_20200331.htm" TargetMode="External"/><Relationship Id="rId33" Type="http://schemas.openxmlformats.org/officeDocument/2006/relationships/hyperlink" Target="http://www.sec.gov/Archives/edgar/data/1426332/000156459020004611/ngm-8k_20200211.htm" TargetMode="External"/><Relationship Id="rId34" Type="http://schemas.openxmlformats.org/officeDocument/2006/relationships/hyperlink" Target="http://www.sec.gov/Archives/edgar/data/1426332/000156459020005893/ngm-8k_20200224.htm" TargetMode="External"/><Relationship Id="rId35" Type="http://schemas.openxmlformats.org/officeDocument/2006/relationships/hyperlink" Target="http://www.sec.gov/Archives/edgar/data/1426332/000156459020009378/ngm-8k_20200303.htm" TargetMode="External"/><Relationship Id="rId36" Type="http://schemas.openxmlformats.org/officeDocument/2006/relationships/hyperlink" Target="http://www.sec.gov/Archives/edgar/data/1426332/000156459020027030/ngm-8k_20200520.htm" TargetMode="External"/><Relationship Id="rId37" Type="http://schemas.openxmlformats.org/officeDocument/2006/relationships/hyperlink" Target="http://www.sec.gov/Archives/edgar/data/1426332/000156459020028617/ngm-8k_20200605.htm" TargetMode="External"/><Relationship Id="rId38" Type="http://schemas.openxmlformats.org/officeDocument/2006/relationships/hyperlink" Target="http://www.sec.gov/Archives/edgar/data/1426332/000119312519092888/d730351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2020-06-16T16:03:02Z</dcterms:created>
  <dcterms:modified xsi:type="dcterms:W3CDTF">2020-06-16T16:03:02Z</dcterms:modified>
</cp:coreProperties>
</file>