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SCHEDULE 13G</w:t>
      </w: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NDER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2) *</w:t>
      </w:r>
    </w:p>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(Name of Issuer)</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62921N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(CUSIP Number)</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(Date of Event Which Requires Filing of This Statement)</w:t>
      </w:r>
    </w:p>
    <w:p>
      <w:pPr>
        <w:spacing w:after="0" w:line="2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108" w:lineRule="exact"/>
        <w:rPr>
          <w:sz w:val="24"/>
          <w:szCs w:val="24"/>
          <w:color w:val="auto"/>
        </w:rPr>
      </w:pPr>
    </w:p>
    <w:p>
      <w:pPr>
        <w:ind w:left="660" w:hanging="328"/>
        <w:spacing w:after="0"/>
        <w:tabs>
          <w:tab w:leader="none" w:pos="660" w:val="left"/>
        </w:tabs>
        <w:numPr>
          <w:ilvl w:val="1"/>
          <w:numId w:val="1"/>
        </w:numPr>
        <w:rPr>
          <w:rFonts w:ascii="MS PGothic" w:cs="MS PGothic" w:eastAsia="MS PGothic" w:hAnsi="MS PGothic"/>
          <w:sz w:val="20"/>
          <w:szCs w:val="20"/>
          <w:color w:val="auto"/>
        </w:rPr>
      </w:pPr>
      <w:r>
        <w:rPr>
          <w:rFonts w:ascii="Arial" w:cs="Arial" w:eastAsia="Arial" w:hAnsi="Arial"/>
          <w:sz w:val="20"/>
          <w:szCs w:val="20"/>
          <w:color w:val="auto"/>
        </w:rPr>
        <w:t>Rule 13d-1(b)</w:t>
      </w:r>
    </w:p>
    <w:p>
      <w:pPr>
        <w:spacing w:after="0" w:line="121" w:lineRule="exact"/>
        <w:rPr>
          <w:rFonts w:ascii="MS PGothic" w:cs="MS PGothic" w:eastAsia="MS PGothic" w:hAnsi="MS PGothic"/>
          <w:sz w:val="20"/>
          <w:szCs w:val="20"/>
          <w:color w:val="auto"/>
        </w:rPr>
      </w:pPr>
    </w:p>
    <w:p>
      <w:pPr>
        <w:ind w:left="660" w:hanging="328"/>
        <w:spacing w:after="0"/>
        <w:tabs>
          <w:tab w:leader="none" w:pos="660" w:val="left"/>
        </w:tabs>
        <w:numPr>
          <w:ilvl w:val="1"/>
          <w:numId w:val="1"/>
        </w:numPr>
        <w:rPr>
          <w:rFonts w:ascii="MS PGothic" w:cs="MS PGothic" w:eastAsia="MS PGothic" w:hAnsi="MS PGothic"/>
          <w:sz w:val="20"/>
          <w:szCs w:val="20"/>
          <w:color w:val="auto"/>
        </w:rPr>
      </w:pPr>
      <w:r>
        <w:rPr>
          <w:rFonts w:ascii="Arial" w:cs="Arial" w:eastAsia="Arial" w:hAnsi="Arial"/>
          <w:sz w:val="20"/>
          <w:szCs w:val="20"/>
          <w:color w:val="auto"/>
        </w:rPr>
        <w:t>Rule 13d-1(c)</w:t>
      </w:r>
    </w:p>
    <w:p>
      <w:pPr>
        <w:spacing w:after="0" w:line="97" w:lineRule="exact"/>
        <w:rPr>
          <w:rFonts w:ascii="MS PGothic" w:cs="MS PGothic" w:eastAsia="MS PGothic" w:hAnsi="MS PGothic"/>
          <w:sz w:val="20"/>
          <w:szCs w:val="20"/>
          <w:color w:val="auto"/>
        </w:rPr>
      </w:pPr>
    </w:p>
    <w:p>
      <w:pPr>
        <w:ind w:left="340"/>
        <w:spacing w:after="0" w:line="230" w:lineRule="exact"/>
        <w:rPr>
          <w:rFonts w:ascii="MS PGothic" w:cs="MS PGothic" w:eastAsia="MS PGothic" w:hAnsi="MS PGothic"/>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Rule 13d-1(d)</w:t>
      </w:r>
    </w:p>
    <w:p>
      <w:pPr>
        <w:spacing w:after="0" w:line="140" w:lineRule="exact"/>
        <w:rPr>
          <w:rFonts w:ascii="MS PGothic" w:cs="MS PGothic" w:eastAsia="MS PGothic" w:hAnsi="MS PGothic"/>
          <w:sz w:val="20"/>
          <w:szCs w:val="20"/>
          <w:color w:val="auto"/>
        </w:rPr>
      </w:pPr>
    </w:p>
    <w:p>
      <w:pPr>
        <w:ind w:right="60"/>
        <w:spacing w:after="0"/>
        <w:rPr>
          <w:rFonts w:ascii="MS PGothic" w:cs="MS PGothic" w:eastAsia="MS PGothic" w:hAnsi="MS PGothic"/>
          <w:sz w:val="20"/>
          <w:szCs w:val="20"/>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222250</wp:posOffset>
            </wp:positionH>
            <wp:positionV relativeFrom="paragraph">
              <wp:posOffset>-667385</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26"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 w:name="page2"/>
    <w:bookmarkEnd w:id="1"/>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800" w:space="720"/>
            <w:col w:w="5720"/>
          </w:cols>
          <w:pgMar w:left="320" w:top="913" w:right="339" w:bottom="1440" w:gutter="0" w:footer="0" w:header="0"/>
        </w:sectPr>
      </w:pPr>
    </w:p>
    <w:p>
      <w:pPr>
        <w:spacing w:after="0" w:line="266" w:lineRule="exact"/>
        <w:rPr>
          <w:sz w:val="20"/>
          <w:szCs w:val="20"/>
          <w:color w:val="auto"/>
        </w:rPr>
      </w:pPr>
    </w:p>
    <w:p>
      <w:pPr>
        <w:ind w:left="780" w:hanging="675"/>
        <w:spacing w:after="0"/>
        <w:tabs>
          <w:tab w:leader="none" w:pos="7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Rho Ventures V, L.P.</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43" w:lineRule="exact"/>
        <w:rPr>
          <w:rFonts w:ascii="Arial" w:cs="Arial" w:eastAsia="Arial" w:hAnsi="Arial"/>
          <w:sz w:val="18"/>
          <w:szCs w:val="18"/>
          <w:color w:val="auto"/>
        </w:rPr>
      </w:pPr>
    </w:p>
    <w:p>
      <w:pPr>
        <w:ind w:left="1140" w:hanging="360"/>
        <w:spacing w:after="0" w:line="230" w:lineRule="exact"/>
        <w:tabs>
          <w:tab w:leader="none" w:pos="1140" w:val="left"/>
        </w:tabs>
        <w:numPr>
          <w:ilvl w:val="1"/>
          <w:numId w:val="2"/>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1180" w:hanging="400"/>
        <w:spacing w:after="0" w:line="230" w:lineRule="exact"/>
        <w:tabs>
          <w:tab w:leader="none" w:pos="1180" w:val="left"/>
        </w:tabs>
        <w:numPr>
          <w:ilvl w:val="1"/>
          <w:numId w:val="2"/>
        </w:numPr>
        <w:rPr>
          <w:rFonts w:ascii="Arial" w:cs="Arial" w:eastAsia="Arial" w:hAnsi="Arial"/>
          <w:sz w:val="20"/>
          <w:szCs w:val="20"/>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(1)</w:t>
      </w:r>
    </w:p>
    <w:p>
      <w:pPr>
        <w:spacing w:after="0" w:line="13" w:lineRule="exact"/>
        <w:rPr>
          <w:rFonts w:ascii="Arial" w:cs="Arial" w:eastAsia="Arial" w:hAnsi="Arial"/>
          <w:sz w:val="20"/>
          <w:szCs w:val="20"/>
          <w:b w:val="1"/>
          <w:bCs w:val="1"/>
          <w:color w:val="auto"/>
        </w:rPr>
      </w:pPr>
    </w:p>
    <w:p>
      <w:pPr>
        <w:ind w:left="780" w:hanging="675"/>
        <w:spacing w:after="0"/>
        <w:tabs>
          <w:tab w:leader="none" w:pos="7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-730250</wp:posOffset>
            </wp:positionV>
            <wp:extent cx="95250" cy="96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Number of</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Shares</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Beneficially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Owned by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Each</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Reporting</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460" w:hanging="460"/>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b w:val="1"/>
          <w:bCs w:val="1"/>
          <w:color w:val="auto"/>
        </w:rPr>
        <w:t>0 shares</w:t>
      </w:r>
    </w:p>
    <w:p>
      <w:pPr>
        <w:spacing w:after="0" w:line="226" w:lineRule="exact"/>
        <w:rPr>
          <w:rFonts w:ascii="Arial" w:cs="Arial" w:eastAsia="Arial" w:hAnsi="Arial"/>
          <w:sz w:val="20"/>
          <w:szCs w:val="20"/>
          <w:color w:val="auto"/>
        </w:rPr>
      </w:pPr>
    </w:p>
    <w:p>
      <w:pPr>
        <w:ind w:left="460" w:hanging="460"/>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Shared Voting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(2)</w:t>
      </w:r>
    </w:p>
    <w:p>
      <w:pPr>
        <w:spacing w:after="0" w:line="272" w:lineRule="exact"/>
        <w:rPr>
          <w:rFonts w:ascii="Arial" w:cs="Arial" w:eastAsia="Arial" w:hAnsi="Arial"/>
          <w:sz w:val="20"/>
          <w:szCs w:val="20"/>
          <w:color w:val="auto"/>
        </w:rPr>
      </w:pPr>
    </w:p>
    <w:p>
      <w:pPr>
        <w:ind w:left="460" w:hanging="460"/>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Dispositive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b w:val="1"/>
          <w:bCs w:val="1"/>
          <w:color w:val="auto"/>
        </w:rPr>
        <w:t>0 shares</w:t>
      </w:r>
    </w:p>
    <w:p>
      <w:pPr>
        <w:spacing w:after="0" w:line="226" w:lineRule="exact"/>
        <w:rPr>
          <w:rFonts w:ascii="Arial" w:cs="Arial" w:eastAsia="Arial" w:hAnsi="Arial"/>
          <w:sz w:val="20"/>
          <w:szCs w:val="20"/>
          <w:color w:val="auto"/>
        </w:rPr>
      </w:pPr>
    </w:p>
    <w:p>
      <w:pPr>
        <w:ind w:left="460" w:hanging="460"/>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Shared Dispositive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-269875</wp:posOffset>
            </wp:positionV>
            <wp:extent cx="5700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-715645</wp:posOffset>
            </wp:positionV>
            <wp:extent cx="5700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-1161415</wp:posOffset>
            </wp:positionV>
            <wp:extent cx="5700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-1607185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700"/>
            <w:col w:w="8880"/>
          </w:cols>
          <w:pgMar w:left="320" w:top="913" w:right="339" w:bottom="1440" w:gutter="0" w:footer="0" w:header="0"/>
          <w:type w:val="continuous"/>
        </w:sectPr>
      </w:pPr>
    </w:p>
    <w:p>
      <w:pPr>
        <w:spacing w:after="0" w:line="73" w:lineRule="exact"/>
        <w:rPr>
          <w:sz w:val="20"/>
          <w:szCs w:val="20"/>
          <w:color w:val="auto"/>
        </w:rPr>
      </w:pPr>
    </w:p>
    <w:p>
      <w:pPr>
        <w:ind w:left="780" w:hanging="675"/>
        <w:spacing w:after="0"/>
        <w:tabs>
          <w:tab w:leader="none" w:pos="7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ind w:left="100"/>
        <w:spacing w:after="0" w:line="230" w:lineRule="exact"/>
        <w:tabs>
          <w:tab w:leader="none" w:pos="760" w:val="left"/>
          <w:tab w:leader="none" w:pos="105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780" w:hanging="675"/>
        <w:spacing w:after="0"/>
        <w:tabs>
          <w:tab w:leader="none" w:pos="78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5.5% (3)</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PN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9" w:lineRule="exact"/>
        <w:rPr>
          <w:rFonts w:ascii="Arial" w:cs="Arial" w:eastAsia="Arial" w:hAnsi="Arial"/>
          <w:sz w:val="20"/>
          <w:szCs w:val="20"/>
          <w:color w:val="auto"/>
        </w:rPr>
      </w:pPr>
    </w:p>
    <w:p>
      <w:pPr>
        <w:jc w:val="both"/>
        <w:ind w:left="660" w:hanging="247"/>
        <w:spacing w:after="0" w:line="265"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This Amendment No. 2 to the statement on Schedule 13G is filed by Rho Ventures V, L.P. (“RV V”), Rho Ventures V Affiliates, L.L.C. (“RV V Affiliates”), Rho Capital Partners LLC (“RCP”), RMV V, L.L.C. (“RMV V”), Joshua Ruch (“Ruch”), Habib Kairouz (“Kairouz”) and Mark Leschly (“Leschly,” together with RV V, RV V Affiliates, RCP, RMV V, Ruch and Kairouz, collectively, the “Reporting Persons”). The Reporting Persons expressly disclaim status as a “group” for purposes of this Schedule 13G.</w:t>
      </w:r>
    </w:p>
    <w:p>
      <w:pPr>
        <w:spacing w:after="0" w:line="1" w:lineRule="exact"/>
        <w:rPr>
          <w:rFonts w:ascii="Arial" w:cs="Arial" w:eastAsia="Arial" w:hAnsi="Arial"/>
          <w:sz w:val="16"/>
          <w:szCs w:val="16"/>
          <w:color w:val="auto"/>
        </w:rPr>
      </w:pPr>
    </w:p>
    <w:p>
      <w:pPr>
        <w:jc w:val="both"/>
        <w:ind w:left="660" w:hanging="247"/>
        <w:spacing w:after="0" w:line="281" w:lineRule="auto"/>
        <w:tabs>
          <w:tab w:leader="none" w:pos="660" w:val="left"/>
        </w:tabs>
        <w:numPr>
          <w:ilvl w:val="1"/>
          <w:numId w:val="5"/>
        </w:numPr>
        <w:rPr>
          <w:rFonts w:ascii="Arial" w:cs="Arial" w:eastAsia="Arial" w:hAnsi="Arial"/>
          <w:sz w:val="15"/>
          <w:szCs w:val="15"/>
          <w:color w:val="auto"/>
        </w:rPr>
      </w:pPr>
      <w:r>
        <w:rPr>
          <w:rFonts w:ascii="Arial" w:cs="Arial" w:eastAsia="Arial" w:hAnsi="Arial"/>
          <w:sz w:val="15"/>
          <w:szCs w:val="15"/>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2" w:lineRule="exact"/>
        <w:rPr>
          <w:rFonts w:ascii="Arial" w:cs="Arial" w:eastAsia="Arial" w:hAnsi="Arial"/>
          <w:sz w:val="15"/>
          <w:szCs w:val="15"/>
          <w:color w:val="auto"/>
        </w:rPr>
      </w:pPr>
    </w:p>
    <w:p>
      <w:pPr>
        <w:jc w:val="both"/>
        <w:ind w:left="660" w:hanging="247"/>
        <w:spacing w:after="0" w:line="276"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-1847215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-2292985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-2738755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2" w:name="page3"/>
    <w:bookmarkEnd w:id="2"/>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800" w:space="720"/>
            <w:col w:w="5720"/>
          </w:cols>
          <w:pgMar w:left="320" w:top="886" w:right="339" w:bottom="1440" w:gutter="0" w:footer="0" w:header="0"/>
        </w:sectPr>
      </w:pPr>
    </w:p>
    <w:p>
      <w:pPr>
        <w:spacing w:after="0" w:line="266" w:lineRule="exact"/>
        <w:rPr>
          <w:sz w:val="20"/>
          <w:szCs w:val="20"/>
          <w:color w:val="auto"/>
        </w:rPr>
      </w:pPr>
    </w:p>
    <w:p>
      <w:pPr>
        <w:ind w:left="780" w:hanging="675"/>
        <w:spacing w:after="0"/>
        <w:tabs>
          <w:tab w:leader="none" w:pos="78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Rho Ventures V Affiliates, L.L.C.</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43" w:lineRule="exact"/>
        <w:rPr>
          <w:rFonts w:ascii="Arial" w:cs="Arial" w:eastAsia="Arial" w:hAnsi="Arial"/>
          <w:sz w:val="18"/>
          <w:szCs w:val="18"/>
          <w:color w:val="auto"/>
        </w:rPr>
      </w:pPr>
    </w:p>
    <w:p>
      <w:pPr>
        <w:ind w:left="1140" w:hanging="360"/>
        <w:spacing w:after="0" w:line="230" w:lineRule="exact"/>
        <w:tabs>
          <w:tab w:leader="none" w:pos="1140" w:val="left"/>
        </w:tabs>
        <w:numPr>
          <w:ilvl w:val="1"/>
          <w:numId w:val="6"/>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1180" w:hanging="400"/>
        <w:spacing w:after="0" w:line="230" w:lineRule="exact"/>
        <w:tabs>
          <w:tab w:leader="none" w:pos="1180" w:val="left"/>
        </w:tabs>
        <w:numPr>
          <w:ilvl w:val="1"/>
          <w:numId w:val="6"/>
        </w:numPr>
        <w:rPr>
          <w:rFonts w:ascii="Arial" w:cs="Arial" w:eastAsia="Arial" w:hAnsi="Arial"/>
          <w:sz w:val="20"/>
          <w:szCs w:val="20"/>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(1)</w:t>
      </w:r>
    </w:p>
    <w:p>
      <w:pPr>
        <w:spacing w:after="0" w:line="13" w:lineRule="exact"/>
        <w:rPr>
          <w:rFonts w:ascii="Arial" w:cs="Arial" w:eastAsia="Arial" w:hAnsi="Arial"/>
          <w:sz w:val="20"/>
          <w:szCs w:val="20"/>
          <w:b w:val="1"/>
          <w:bCs w:val="1"/>
          <w:color w:val="auto"/>
        </w:rPr>
      </w:pPr>
    </w:p>
    <w:p>
      <w:pPr>
        <w:ind w:left="780" w:hanging="675"/>
        <w:spacing w:after="0"/>
        <w:tabs>
          <w:tab w:leader="none" w:pos="78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6"/>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-730250</wp:posOffset>
            </wp:positionV>
            <wp:extent cx="95250" cy="96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Number of</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Shares</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Beneficially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Owned by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Each</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Reporting</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460" w:hanging="460"/>
        <w:spacing w:after="0"/>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b w:val="1"/>
          <w:bCs w:val="1"/>
          <w:color w:val="auto"/>
        </w:rPr>
        <w:t>0 shares</w:t>
      </w:r>
    </w:p>
    <w:p>
      <w:pPr>
        <w:spacing w:after="0" w:line="226" w:lineRule="exact"/>
        <w:rPr>
          <w:rFonts w:ascii="Arial" w:cs="Arial" w:eastAsia="Arial" w:hAnsi="Arial"/>
          <w:sz w:val="20"/>
          <w:szCs w:val="20"/>
          <w:color w:val="auto"/>
        </w:rPr>
      </w:pPr>
    </w:p>
    <w:p>
      <w:pPr>
        <w:ind w:left="460" w:hanging="460"/>
        <w:spacing w:after="0"/>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Voting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(2)</w:t>
      </w:r>
    </w:p>
    <w:p>
      <w:pPr>
        <w:spacing w:after="0" w:line="272" w:lineRule="exact"/>
        <w:rPr>
          <w:rFonts w:ascii="Arial" w:cs="Arial" w:eastAsia="Arial" w:hAnsi="Arial"/>
          <w:sz w:val="20"/>
          <w:szCs w:val="20"/>
          <w:color w:val="auto"/>
        </w:rPr>
      </w:pPr>
    </w:p>
    <w:p>
      <w:pPr>
        <w:ind w:left="460" w:hanging="460"/>
        <w:spacing w:after="0"/>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Sole Dispositive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b w:val="1"/>
          <w:bCs w:val="1"/>
          <w:color w:val="auto"/>
        </w:rPr>
        <w:t>0 shares</w:t>
      </w:r>
    </w:p>
    <w:p>
      <w:pPr>
        <w:spacing w:after="0" w:line="226" w:lineRule="exact"/>
        <w:rPr>
          <w:rFonts w:ascii="Arial" w:cs="Arial" w:eastAsia="Arial" w:hAnsi="Arial"/>
          <w:sz w:val="20"/>
          <w:szCs w:val="20"/>
          <w:color w:val="auto"/>
        </w:rPr>
      </w:pPr>
    </w:p>
    <w:p>
      <w:pPr>
        <w:ind w:left="460" w:hanging="460"/>
        <w:spacing w:after="0"/>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Dispositive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-269875</wp:posOffset>
            </wp:positionV>
            <wp:extent cx="57003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-715645</wp:posOffset>
            </wp:positionV>
            <wp:extent cx="5700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-1161415</wp:posOffset>
            </wp:positionV>
            <wp:extent cx="5700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-1607185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700"/>
            <w:col w:w="8880"/>
          </w:cols>
          <w:pgMar w:left="320" w:top="886" w:right="339" w:bottom="1440" w:gutter="0" w:footer="0" w:header="0"/>
          <w:type w:val="continuous"/>
        </w:sectPr>
      </w:pPr>
    </w:p>
    <w:p>
      <w:pPr>
        <w:spacing w:after="0" w:line="73" w:lineRule="exact"/>
        <w:rPr>
          <w:sz w:val="20"/>
          <w:szCs w:val="20"/>
          <w:color w:val="auto"/>
        </w:rPr>
      </w:pPr>
    </w:p>
    <w:p>
      <w:pPr>
        <w:ind w:left="780" w:hanging="675"/>
        <w:spacing w:after="0"/>
        <w:tabs>
          <w:tab w:leader="none" w:pos="7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ind w:left="100"/>
        <w:spacing w:after="0" w:line="230" w:lineRule="exact"/>
        <w:tabs>
          <w:tab w:leader="none" w:pos="760" w:val="left"/>
          <w:tab w:leader="none" w:pos="105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780" w:hanging="675"/>
        <w:spacing w:after="0"/>
        <w:tabs>
          <w:tab w:leader="none" w:pos="78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5.5% (3)</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OO</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left="660" w:right="20" w:hanging="247"/>
        <w:spacing w:after="0" w:line="266"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This Amendment No. 2 to the statement on Schedule 13G is filed by the Reporting Persons. The Reporting Persons expressly disclaim status as a “group” for purposes of this Schedule 13G.</w:t>
      </w:r>
    </w:p>
    <w:p>
      <w:pPr>
        <w:spacing w:after="0" w:line="1" w:lineRule="exact"/>
        <w:rPr>
          <w:rFonts w:ascii="Arial" w:cs="Arial" w:eastAsia="Arial" w:hAnsi="Arial"/>
          <w:sz w:val="16"/>
          <w:szCs w:val="16"/>
          <w:color w:val="auto"/>
        </w:rPr>
      </w:pPr>
    </w:p>
    <w:p>
      <w:pPr>
        <w:jc w:val="both"/>
        <w:ind w:left="660" w:hanging="247"/>
        <w:spacing w:after="0" w:line="281" w:lineRule="auto"/>
        <w:tabs>
          <w:tab w:leader="none" w:pos="660" w:val="left"/>
        </w:tabs>
        <w:numPr>
          <w:ilvl w:val="1"/>
          <w:numId w:val="9"/>
        </w:numPr>
        <w:rPr>
          <w:rFonts w:ascii="Arial" w:cs="Arial" w:eastAsia="Arial" w:hAnsi="Arial"/>
          <w:sz w:val="15"/>
          <w:szCs w:val="15"/>
          <w:color w:val="auto"/>
        </w:rPr>
      </w:pPr>
      <w:r>
        <w:rPr>
          <w:rFonts w:ascii="Arial" w:cs="Arial" w:eastAsia="Arial" w:hAnsi="Arial"/>
          <w:sz w:val="15"/>
          <w:szCs w:val="15"/>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2" w:lineRule="exact"/>
        <w:rPr>
          <w:rFonts w:ascii="Arial" w:cs="Arial" w:eastAsia="Arial" w:hAnsi="Arial"/>
          <w:sz w:val="15"/>
          <w:szCs w:val="15"/>
          <w:color w:val="auto"/>
        </w:rPr>
      </w:pPr>
    </w:p>
    <w:p>
      <w:pPr>
        <w:jc w:val="both"/>
        <w:ind w:left="660" w:hanging="247"/>
        <w:spacing w:after="0" w:line="276"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-2001520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-2447290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328"/>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 62921N 105</w:t>
            </w:r>
          </w:p>
        </w:tc>
        <w:tc>
          <w:tcPr>
            <w:tcW w:w="2300" w:type="dxa"/>
            <w:vAlign w:val="bottom"/>
          </w:tcPr>
          <w:p>
            <w:pPr>
              <w:ind w:left="1860"/>
              <w:spacing w:after="0"/>
              <w:rPr>
                <w:sz w:val="20"/>
                <w:szCs w:val="20"/>
                <w:color w:val="auto"/>
              </w:rPr>
            </w:pPr>
            <w:r>
              <w:rPr>
                <w:rFonts w:ascii="Arial" w:cs="Arial" w:eastAsia="Arial" w:hAnsi="Arial"/>
                <w:sz w:val="25"/>
                <w:szCs w:val="25"/>
                <w:b w:val="1"/>
                <w:bCs w:val="1"/>
                <w:color w:val="auto"/>
                <w:w w:val="88"/>
              </w:rPr>
              <w:t>13G</w:t>
            </w:r>
          </w:p>
        </w:tc>
      </w:tr>
    </w:tbl>
    <w:p>
      <w:pPr>
        <w:spacing w:after="0" w:line="200" w:lineRule="exact"/>
        <w:rPr>
          <w:sz w:val="20"/>
          <w:szCs w:val="20"/>
          <w:color w:val="auto"/>
        </w:rPr>
      </w:pPr>
    </w:p>
    <w:p>
      <w:pPr>
        <w:spacing w:after="0" w:line="207" w:lineRule="exact"/>
        <w:rPr>
          <w:sz w:val="20"/>
          <w:szCs w:val="20"/>
          <w:color w:val="auto"/>
        </w:rPr>
      </w:pPr>
    </w:p>
    <w:p>
      <w:pPr>
        <w:ind w:left="780" w:hanging="675"/>
        <w:spacing w:after="0"/>
        <w:tabs>
          <w:tab w:leader="none" w:pos="7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Rho Capital Partners LLC</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43" w:lineRule="exact"/>
        <w:rPr>
          <w:rFonts w:ascii="Arial" w:cs="Arial" w:eastAsia="Arial" w:hAnsi="Arial"/>
          <w:sz w:val="18"/>
          <w:szCs w:val="18"/>
          <w:color w:val="auto"/>
        </w:rPr>
      </w:pPr>
    </w:p>
    <w:p>
      <w:pPr>
        <w:ind w:left="1140" w:hanging="360"/>
        <w:spacing w:after="0" w:line="230" w:lineRule="exact"/>
        <w:tabs>
          <w:tab w:leader="none" w:pos="1140" w:val="left"/>
        </w:tabs>
        <w:numPr>
          <w:ilvl w:val="1"/>
          <w:numId w:val="10"/>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1180" w:hanging="400"/>
        <w:spacing w:after="0" w:line="230" w:lineRule="exact"/>
        <w:tabs>
          <w:tab w:leader="none" w:pos="1180" w:val="left"/>
        </w:tabs>
        <w:numPr>
          <w:ilvl w:val="1"/>
          <w:numId w:val="10"/>
        </w:numPr>
        <w:rPr>
          <w:rFonts w:ascii="Arial" w:cs="Arial" w:eastAsia="Arial" w:hAnsi="Arial"/>
          <w:sz w:val="20"/>
          <w:szCs w:val="20"/>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(1)</w:t>
      </w:r>
    </w:p>
    <w:p>
      <w:pPr>
        <w:spacing w:after="0" w:line="13" w:lineRule="exact"/>
        <w:rPr>
          <w:rFonts w:ascii="Arial" w:cs="Arial" w:eastAsia="Arial" w:hAnsi="Arial"/>
          <w:sz w:val="20"/>
          <w:szCs w:val="20"/>
          <w:b w:val="1"/>
          <w:bCs w:val="1"/>
          <w:color w:val="auto"/>
        </w:rPr>
      </w:pPr>
    </w:p>
    <w:p>
      <w:pPr>
        <w:ind w:left="780" w:hanging="675"/>
        <w:spacing w:after="0"/>
        <w:tabs>
          <w:tab w:leader="none" w:pos="7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-730250</wp:posOffset>
            </wp:positionV>
            <wp:extent cx="95250" cy="96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Number of</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Shares</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Beneficially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Owned by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Each</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Reporting</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460" w:hanging="460"/>
        <w:spacing w:after="0"/>
        <w:tabs>
          <w:tab w:leader="none" w:pos="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b w:val="1"/>
          <w:bCs w:val="1"/>
          <w:color w:val="auto"/>
        </w:rPr>
        <w:t>0 shares</w:t>
      </w:r>
    </w:p>
    <w:p>
      <w:pPr>
        <w:spacing w:after="0" w:line="226" w:lineRule="exact"/>
        <w:rPr>
          <w:rFonts w:ascii="Arial" w:cs="Arial" w:eastAsia="Arial" w:hAnsi="Arial"/>
          <w:sz w:val="20"/>
          <w:szCs w:val="20"/>
          <w:color w:val="auto"/>
        </w:rPr>
      </w:pPr>
    </w:p>
    <w:p>
      <w:pPr>
        <w:ind w:left="460" w:hanging="460"/>
        <w:spacing w:after="0"/>
        <w:tabs>
          <w:tab w:leader="none" w:pos="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Shared Voting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(2)</w:t>
      </w:r>
    </w:p>
    <w:p>
      <w:pPr>
        <w:spacing w:after="0" w:line="272" w:lineRule="exact"/>
        <w:rPr>
          <w:rFonts w:ascii="Arial" w:cs="Arial" w:eastAsia="Arial" w:hAnsi="Arial"/>
          <w:sz w:val="20"/>
          <w:szCs w:val="20"/>
          <w:color w:val="auto"/>
        </w:rPr>
      </w:pPr>
    </w:p>
    <w:p>
      <w:pPr>
        <w:ind w:left="460" w:hanging="460"/>
        <w:spacing w:after="0"/>
        <w:tabs>
          <w:tab w:leader="none" w:pos="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Sole Dispositive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b w:val="1"/>
          <w:bCs w:val="1"/>
          <w:color w:val="auto"/>
        </w:rPr>
        <w:t>0 shares</w:t>
      </w:r>
    </w:p>
    <w:p>
      <w:pPr>
        <w:spacing w:after="0" w:line="226" w:lineRule="exact"/>
        <w:rPr>
          <w:rFonts w:ascii="Arial" w:cs="Arial" w:eastAsia="Arial" w:hAnsi="Arial"/>
          <w:sz w:val="20"/>
          <w:szCs w:val="20"/>
          <w:color w:val="auto"/>
        </w:rPr>
      </w:pPr>
    </w:p>
    <w:p>
      <w:pPr>
        <w:ind w:left="460" w:hanging="460"/>
        <w:spacing w:after="0"/>
        <w:tabs>
          <w:tab w:leader="none" w:pos="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Shared Dispositive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-269875</wp:posOffset>
            </wp:positionV>
            <wp:extent cx="5700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-715645</wp:posOffset>
            </wp:positionV>
            <wp:extent cx="57003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-1161415</wp:posOffset>
            </wp:positionV>
            <wp:extent cx="57003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-1607185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700"/>
            <w:col w:w="8880"/>
          </w:cols>
          <w:pgMar w:left="320" w:top="886" w:right="339" w:bottom="1440" w:gutter="0" w:footer="0" w:header="0"/>
          <w:type w:val="continuous"/>
        </w:sectPr>
      </w:pPr>
    </w:p>
    <w:p>
      <w:pPr>
        <w:spacing w:after="0" w:line="73" w:lineRule="exact"/>
        <w:rPr>
          <w:sz w:val="20"/>
          <w:szCs w:val="20"/>
          <w:color w:val="auto"/>
        </w:rPr>
      </w:pPr>
    </w:p>
    <w:p>
      <w:pPr>
        <w:ind w:left="780" w:hanging="675"/>
        <w:spacing w:after="0"/>
        <w:tabs>
          <w:tab w:leader="none" w:pos="7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ind w:left="100"/>
        <w:spacing w:after="0" w:line="230" w:lineRule="exact"/>
        <w:tabs>
          <w:tab w:leader="none" w:pos="760" w:val="left"/>
          <w:tab w:leader="none" w:pos="105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780" w:hanging="675"/>
        <w:spacing w:after="0"/>
        <w:tabs>
          <w:tab w:leader="none" w:pos="7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5.5% (3)</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OO</w:t>
      </w:r>
    </w:p>
    <w:p>
      <w:pPr>
        <w:spacing w:after="0" w:line="200" w:lineRule="exact"/>
        <w:rPr>
          <w:rFonts w:ascii="Arial" w:cs="Arial" w:eastAsia="Arial" w:hAnsi="Arial"/>
          <w:sz w:val="20"/>
          <w:szCs w:val="20"/>
          <w:color w:val="auto"/>
        </w:rPr>
      </w:pPr>
    </w:p>
    <w:p>
      <w:pPr>
        <w:spacing w:after="0" w:line="276" w:lineRule="exact"/>
        <w:rPr>
          <w:rFonts w:ascii="Arial" w:cs="Arial" w:eastAsia="Arial" w:hAnsi="Arial"/>
          <w:sz w:val="20"/>
          <w:szCs w:val="20"/>
          <w:color w:val="auto"/>
        </w:rPr>
      </w:pPr>
    </w:p>
    <w:p>
      <w:pPr>
        <w:ind w:left="660" w:right="20" w:hanging="247"/>
        <w:spacing w:after="0" w:line="266"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This Amendment No. 2 to the statement on Schedule 13G is filed by the Reporting Persons. The Reporting Persons expressly disclaim status as a “group” for purposes of this Schedule 13G.</w:t>
      </w:r>
    </w:p>
    <w:p>
      <w:pPr>
        <w:spacing w:after="0" w:line="1" w:lineRule="exact"/>
        <w:rPr>
          <w:rFonts w:ascii="Arial" w:cs="Arial" w:eastAsia="Arial" w:hAnsi="Arial"/>
          <w:sz w:val="16"/>
          <w:szCs w:val="16"/>
          <w:color w:val="auto"/>
        </w:rPr>
      </w:pPr>
    </w:p>
    <w:p>
      <w:pPr>
        <w:jc w:val="both"/>
        <w:ind w:left="660" w:hanging="247"/>
        <w:spacing w:after="0" w:line="281" w:lineRule="auto"/>
        <w:tabs>
          <w:tab w:leader="none" w:pos="6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2" w:lineRule="exact"/>
        <w:rPr>
          <w:rFonts w:ascii="Arial" w:cs="Arial" w:eastAsia="Arial" w:hAnsi="Arial"/>
          <w:sz w:val="15"/>
          <w:szCs w:val="15"/>
          <w:color w:val="auto"/>
        </w:rPr>
      </w:pPr>
    </w:p>
    <w:p>
      <w:pPr>
        <w:jc w:val="both"/>
        <w:ind w:left="660" w:hanging="247"/>
        <w:spacing w:after="0" w:line="276"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-1461770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-1907540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-2353310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4" w:name="page5"/>
    <w:bookmarkEnd w:id="4"/>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800" w:space="720"/>
            <w:col w:w="5720"/>
          </w:cols>
          <w:pgMar w:left="320" w:top="886" w:right="339" w:bottom="1440" w:gutter="0" w:footer="0" w:header="0"/>
        </w:sectPr>
      </w:pPr>
    </w:p>
    <w:p>
      <w:pPr>
        <w:spacing w:after="0" w:line="266" w:lineRule="exact"/>
        <w:rPr>
          <w:sz w:val="20"/>
          <w:szCs w:val="20"/>
          <w:color w:val="auto"/>
        </w:rPr>
      </w:pPr>
    </w:p>
    <w:p>
      <w:pPr>
        <w:ind w:left="780" w:hanging="675"/>
        <w:spacing w:after="0"/>
        <w:tabs>
          <w:tab w:leader="none" w:pos="7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RMV V, L.L.C.</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43" w:lineRule="exact"/>
        <w:rPr>
          <w:rFonts w:ascii="Arial" w:cs="Arial" w:eastAsia="Arial" w:hAnsi="Arial"/>
          <w:sz w:val="18"/>
          <w:szCs w:val="18"/>
          <w:color w:val="auto"/>
        </w:rPr>
      </w:pPr>
    </w:p>
    <w:p>
      <w:pPr>
        <w:ind w:left="1140" w:hanging="360"/>
        <w:spacing w:after="0" w:line="230" w:lineRule="exact"/>
        <w:tabs>
          <w:tab w:leader="none" w:pos="1140" w:val="left"/>
        </w:tabs>
        <w:numPr>
          <w:ilvl w:val="1"/>
          <w:numId w:val="14"/>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1180" w:hanging="400"/>
        <w:spacing w:after="0" w:line="230" w:lineRule="exact"/>
        <w:tabs>
          <w:tab w:leader="none" w:pos="1180" w:val="left"/>
        </w:tabs>
        <w:numPr>
          <w:ilvl w:val="1"/>
          <w:numId w:val="14"/>
        </w:numPr>
        <w:rPr>
          <w:rFonts w:ascii="Arial" w:cs="Arial" w:eastAsia="Arial" w:hAnsi="Arial"/>
          <w:sz w:val="20"/>
          <w:szCs w:val="20"/>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(1)</w:t>
      </w:r>
    </w:p>
    <w:p>
      <w:pPr>
        <w:spacing w:after="0" w:line="13" w:lineRule="exact"/>
        <w:rPr>
          <w:rFonts w:ascii="Arial" w:cs="Arial" w:eastAsia="Arial" w:hAnsi="Arial"/>
          <w:sz w:val="20"/>
          <w:szCs w:val="20"/>
          <w:b w:val="1"/>
          <w:bCs w:val="1"/>
          <w:color w:val="auto"/>
        </w:rPr>
      </w:pPr>
    </w:p>
    <w:p>
      <w:pPr>
        <w:ind w:left="780" w:hanging="675"/>
        <w:spacing w:after="0"/>
        <w:tabs>
          <w:tab w:leader="none" w:pos="7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-730250</wp:posOffset>
            </wp:positionV>
            <wp:extent cx="95250" cy="965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Number of</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Shares</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Beneficially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Owned by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Each</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Reporting</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460" w:hanging="460"/>
        <w:spacing w:after="0"/>
        <w:tabs>
          <w:tab w:leader="none" w:pos="4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b w:val="1"/>
          <w:bCs w:val="1"/>
          <w:color w:val="auto"/>
        </w:rPr>
        <w:t>0 shares</w:t>
      </w:r>
    </w:p>
    <w:p>
      <w:pPr>
        <w:spacing w:after="0" w:line="226" w:lineRule="exact"/>
        <w:rPr>
          <w:rFonts w:ascii="Arial" w:cs="Arial" w:eastAsia="Arial" w:hAnsi="Arial"/>
          <w:sz w:val="20"/>
          <w:szCs w:val="20"/>
          <w:color w:val="auto"/>
        </w:rPr>
      </w:pPr>
    </w:p>
    <w:p>
      <w:pPr>
        <w:ind w:left="460" w:hanging="460"/>
        <w:spacing w:after="0"/>
        <w:tabs>
          <w:tab w:leader="none" w:pos="4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Shared Voting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(2)</w:t>
      </w:r>
    </w:p>
    <w:p>
      <w:pPr>
        <w:spacing w:after="0" w:line="272" w:lineRule="exact"/>
        <w:rPr>
          <w:rFonts w:ascii="Arial" w:cs="Arial" w:eastAsia="Arial" w:hAnsi="Arial"/>
          <w:sz w:val="20"/>
          <w:szCs w:val="20"/>
          <w:color w:val="auto"/>
        </w:rPr>
      </w:pPr>
    </w:p>
    <w:p>
      <w:pPr>
        <w:ind w:left="460" w:hanging="460"/>
        <w:spacing w:after="0"/>
        <w:tabs>
          <w:tab w:leader="none" w:pos="4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Sole Dispositive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b w:val="1"/>
          <w:bCs w:val="1"/>
          <w:color w:val="auto"/>
        </w:rPr>
        <w:t>0 shares</w:t>
      </w:r>
    </w:p>
    <w:p>
      <w:pPr>
        <w:spacing w:after="0" w:line="226" w:lineRule="exact"/>
        <w:rPr>
          <w:rFonts w:ascii="Arial" w:cs="Arial" w:eastAsia="Arial" w:hAnsi="Arial"/>
          <w:sz w:val="20"/>
          <w:szCs w:val="20"/>
          <w:color w:val="auto"/>
        </w:rPr>
      </w:pPr>
    </w:p>
    <w:p>
      <w:pPr>
        <w:ind w:left="460" w:hanging="460"/>
        <w:spacing w:after="0"/>
        <w:tabs>
          <w:tab w:leader="none" w:pos="4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Shared Dispositive Power</w:t>
      </w:r>
    </w:p>
    <w:p>
      <w:pPr>
        <w:spacing w:after="0" w:line="15"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-269875</wp:posOffset>
            </wp:positionV>
            <wp:extent cx="57003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-715645</wp:posOffset>
            </wp:positionV>
            <wp:extent cx="57003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-1161415</wp:posOffset>
            </wp:positionV>
            <wp:extent cx="57003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-1607185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700"/>
            <w:col w:w="8880"/>
          </w:cols>
          <w:pgMar w:left="320" w:top="886" w:right="339" w:bottom="1440" w:gutter="0" w:footer="0" w:header="0"/>
          <w:type w:val="continuous"/>
        </w:sectPr>
      </w:pPr>
    </w:p>
    <w:p>
      <w:pPr>
        <w:spacing w:after="0" w:line="73" w:lineRule="exact"/>
        <w:rPr>
          <w:sz w:val="20"/>
          <w:szCs w:val="20"/>
          <w:color w:val="auto"/>
        </w:rPr>
      </w:pPr>
    </w:p>
    <w:p>
      <w:pPr>
        <w:ind w:left="780" w:hanging="675"/>
        <w:spacing w:after="0"/>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ind w:left="100"/>
        <w:spacing w:after="0" w:line="230" w:lineRule="exact"/>
        <w:tabs>
          <w:tab w:leader="none" w:pos="760" w:val="left"/>
          <w:tab w:leader="none" w:pos="105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780" w:hanging="675"/>
        <w:spacing w:after="0"/>
        <w:tabs>
          <w:tab w:leader="none" w:pos="7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5.5% (3)</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OO</w:t>
      </w:r>
    </w:p>
    <w:p>
      <w:pPr>
        <w:spacing w:after="0" w:line="200" w:lineRule="exact"/>
        <w:rPr>
          <w:rFonts w:ascii="Arial" w:cs="Arial" w:eastAsia="Arial" w:hAnsi="Arial"/>
          <w:sz w:val="20"/>
          <w:szCs w:val="20"/>
          <w:color w:val="auto"/>
        </w:rPr>
      </w:pPr>
    </w:p>
    <w:p>
      <w:pPr>
        <w:spacing w:after="0" w:line="276" w:lineRule="exact"/>
        <w:rPr>
          <w:rFonts w:ascii="Arial" w:cs="Arial" w:eastAsia="Arial" w:hAnsi="Arial"/>
          <w:sz w:val="20"/>
          <w:szCs w:val="20"/>
          <w:color w:val="auto"/>
        </w:rPr>
      </w:pPr>
    </w:p>
    <w:p>
      <w:pPr>
        <w:ind w:left="660" w:right="20" w:hanging="247"/>
        <w:spacing w:after="0" w:line="266"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This Amendment No. 2 to the statement on Schedule 13G is filed by the Reporting Persons. The Reporting Persons expressly disclaim status as a “group” for purposes of this Schedule 13G.</w:t>
      </w:r>
    </w:p>
    <w:p>
      <w:pPr>
        <w:spacing w:after="0" w:line="1" w:lineRule="exact"/>
        <w:rPr>
          <w:rFonts w:ascii="Arial" w:cs="Arial" w:eastAsia="Arial" w:hAnsi="Arial"/>
          <w:sz w:val="16"/>
          <w:szCs w:val="16"/>
          <w:color w:val="auto"/>
        </w:rPr>
      </w:pPr>
    </w:p>
    <w:p>
      <w:pPr>
        <w:jc w:val="both"/>
        <w:ind w:left="660" w:hanging="247"/>
        <w:spacing w:after="0" w:line="281" w:lineRule="auto"/>
        <w:tabs>
          <w:tab w:leader="none" w:pos="6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2" w:lineRule="exact"/>
        <w:rPr>
          <w:rFonts w:ascii="Arial" w:cs="Arial" w:eastAsia="Arial" w:hAnsi="Arial"/>
          <w:sz w:val="15"/>
          <w:szCs w:val="15"/>
          <w:color w:val="auto"/>
        </w:rPr>
      </w:pPr>
    </w:p>
    <w:p>
      <w:pPr>
        <w:jc w:val="both"/>
        <w:ind w:left="660" w:hanging="247"/>
        <w:spacing w:after="0" w:line="276"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-1461770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-1907540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-2353310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5" w:name="page6"/>
    <w:bookmarkEnd w:id="5"/>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800" w:space="720"/>
            <w:col w:w="5720"/>
          </w:cols>
          <w:pgMar w:left="320" w:top="886" w:right="339" w:bottom="1440" w:gutter="0" w:footer="0" w:header="0"/>
        </w:sectPr>
      </w:pPr>
    </w:p>
    <w:p>
      <w:pPr>
        <w:spacing w:after="0" w:line="266" w:lineRule="exact"/>
        <w:rPr>
          <w:sz w:val="20"/>
          <w:szCs w:val="20"/>
          <w:color w:val="auto"/>
        </w:rPr>
      </w:pPr>
    </w:p>
    <w:p>
      <w:pPr>
        <w:ind w:left="780" w:hanging="675"/>
        <w:spacing w:after="0"/>
        <w:tabs>
          <w:tab w:leader="none" w:pos="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Joshua Ruch</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0" w:lineRule="exact"/>
        <w:rPr>
          <w:rFonts w:ascii="Arial" w:cs="Arial" w:eastAsia="Arial" w:hAnsi="Arial"/>
          <w:sz w:val="20"/>
          <w:szCs w:val="20"/>
          <w:color w:val="auto"/>
        </w:rPr>
      </w:pPr>
    </w:p>
    <w:p>
      <w:pPr>
        <w:ind w:left="1140" w:hanging="360"/>
        <w:spacing w:after="0" w:line="230" w:lineRule="exact"/>
        <w:tabs>
          <w:tab w:leader="none" w:pos="1140" w:val="left"/>
        </w:tabs>
        <w:numPr>
          <w:ilvl w:val="1"/>
          <w:numId w:val="18"/>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1180" w:hanging="400"/>
        <w:spacing w:after="0" w:line="230" w:lineRule="exact"/>
        <w:tabs>
          <w:tab w:leader="none" w:pos="1180" w:val="left"/>
        </w:tabs>
        <w:numPr>
          <w:ilvl w:val="1"/>
          <w:numId w:val="18"/>
        </w:numPr>
        <w:rPr>
          <w:rFonts w:ascii="Arial" w:cs="Arial" w:eastAsia="Arial" w:hAnsi="Arial"/>
          <w:sz w:val="20"/>
          <w:szCs w:val="20"/>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(1)</w:t>
      </w:r>
    </w:p>
    <w:p>
      <w:pPr>
        <w:spacing w:after="0" w:line="13" w:lineRule="exact"/>
        <w:rPr>
          <w:rFonts w:ascii="Arial" w:cs="Arial" w:eastAsia="Arial" w:hAnsi="Arial"/>
          <w:sz w:val="20"/>
          <w:szCs w:val="20"/>
          <w:b w:val="1"/>
          <w:bCs w:val="1"/>
          <w:color w:val="auto"/>
        </w:rPr>
      </w:pPr>
    </w:p>
    <w:p>
      <w:pPr>
        <w:ind w:left="780" w:hanging="675"/>
        <w:spacing w:after="0"/>
        <w:tabs>
          <w:tab w:leader="none" w:pos="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-730250</wp:posOffset>
            </wp:positionV>
            <wp:extent cx="95250" cy="965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6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Number of</w:t>
            </w:r>
          </w:p>
        </w:tc>
        <w:tc>
          <w:tcPr>
            <w:tcW w:w="40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5.</w:t>
            </w:r>
          </w:p>
        </w:tc>
        <w:tc>
          <w:tcPr>
            <w:tcW w:w="858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99"/>
        </w:trPr>
        <w:tc>
          <w:tcPr>
            <w:tcW w:w="22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60" w:type="dxa"/>
            <w:vAlign w:val="bottom"/>
            <w:vMerge w:val="restart"/>
          </w:tcPr>
          <w:p>
            <w:pPr>
              <w:jc w:val="center"/>
              <w:spacing w:after="0"/>
              <w:rPr>
                <w:sz w:val="20"/>
                <w:szCs w:val="20"/>
                <w:color w:val="auto"/>
              </w:rPr>
            </w:pPr>
            <w:r>
              <w:rPr>
                <w:rFonts w:ascii="Arial" w:cs="Arial" w:eastAsia="Arial" w:hAnsi="Arial"/>
                <w:sz w:val="20"/>
                <w:szCs w:val="20"/>
                <w:color w:val="auto"/>
                <w:w w:val="81"/>
              </w:rPr>
              <w:t>Shares</w:t>
            </w:r>
          </w:p>
        </w:tc>
        <w:tc>
          <w:tcPr>
            <w:tcW w:w="40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9"/>
        </w:trPr>
        <w:tc>
          <w:tcPr>
            <w:tcW w:w="2260" w:type="dxa"/>
            <w:vAlign w:val="bottom"/>
            <w:vMerge w:val="continue"/>
          </w:tcPr>
          <w:p>
            <w:pPr>
              <w:spacing w:after="0"/>
              <w:rPr>
                <w:sz w:val="6"/>
                <w:szCs w:val="6"/>
                <w:color w:val="auto"/>
              </w:rPr>
            </w:pPr>
          </w:p>
        </w:tc>
        <w:tc>
          <w:tcPr>
            <w:tcW w:w="400" w:type="dxa"/>
            <w:vAlign w:val="bottom"/>
            <w:vMerge w:val="restart"/>
          </w:tcPr>
          <w:p>
            <w:pPr>
              <w:jc w:val="right"/>
              <w:ind w:right="61"/>
              <w:spacing w:after="0" w:line="200" w:lineRule="exact"/>
              <w:rPr>
                <w:sz w:val="20"/>
                <w:szCs w:val="20"/>
                <w:color w:val="auto"/>
              </w:rPr>
            </w:pPr>
            <w:r>
              <w:rPr>
                <w:rFonts w:ascii="Arial" w:cs="Arial" w:eastAsia="Arial" w:hAnsi="Arial"/>
                <w:sz w:val="20"/>
                <w:szCs w:val="20"/>
                <w:color w:val="auto"/>
              </w:rPr>
              <w:t>6.</w:t>
            </w:r>
          </w:p>
        </w:tc>
        <w:tc>
          <w:tcPr>
            <w:tcW w:w="8580" w:type="dxa"/>
            <w:vAlign w:val="bottom"/>
            <w:vMerge w:val="restart"/>
          </w:tcPr>
          <w:p>
            <w:pPr>
              <w:ind w:left="160"/>
              <w:spacing w:after="0" w:line="200" w:lineRule="exact"/>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22"/>
        </w:trPr>
        <w:tc>
          <w:tcPr>
            <w:tcW w:w="2260" w:type="dxa"/>
            <w:vAlign w:val="bottom"/>
            <w:vMerge w:val="restart"/>
          </w:tcPr>
          <w:p>
            <w:pPr>
              <w:jc w:val="center"/>
              <w:spacing w:after="0"/>
              <w:rPr>
                <w:sz w:val="20"/>
                <w:szCs w:val="20"/>
                <w:color w:val="auto"/>
              </w:rPr>
            </w:pPr>
            <w:r>
              <w:rPr>
                <w:rFonts w:ascii="Arial" w:cs="Arial" w:eastAsia="Arial" w:hAnsi="Arial"/>
                <w:sz w:val="20"/>
                <w:szCs w:val="20"/>
                <w:color w:val="auto"/>
                <w:w w:val="94"/>
              </w:rPr>
              <w:t>Beneficially</w:t>
            </w:r>
          </w:p>
        </w:tc>
        <w:tc>
          <w:tcPr>
            <w:tcW w:w="400" w:type="dxa"/>
            <w:vAlign w:val="bottom"/>
            <w:vMerge w:val="continue"/>
          </w:tcPr>
          <w:p>
            <w:pPr>
              <w:spacing w:after="0"/>
              <w:rPr>
                <w:sz w:val="10"/>
                <w:szCs w:val="10"/>
                <w:color w:val="auto"/>
              </w:rPr>
            </w:pPr>
          </w:p>
        </w:tc>
        <w:tc>
          <w:tcPr>
            <w:tcW w:w="8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2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Arial" w:cs="Arial" w:eastAsia="Arial" w:hAnsi="Arial"/>
                <w:sz w:val="20"/>
                <w:szCs w:val="20"/>
                <w:b w:val="1"/>
                <w:bCs w:val="1"/>
                <w:color w:val="auto"/>
              </w:rPr>
              <w:t>3,766,666 shares of Common Stock (2)</w:t>
            </w:r>
          </w:p>
        </w:tc>
        <w:tc>
          <w:tcPr>
            <w:tcW w:w="0" w:type="dxa"/>
            <w:vAlign w:val="bottom"/>
          </w:tcPr>
          <w:p>
            <w:pPr>
              <w:spacing w:after="0"/>
              <w:rPr>
                <w:sz w:val="1"/>
                <w:szCs w:val="1"/>
                <w:color w:val="auto"/>
              </w:rPr>
            </w:pPr>
          </w:p>
        </w:tc>
      </w:tr>
      <w:tr>
        <w:trPr>
          <w:trHeight w:val="226"/>
        </w:trPr>
        <w:tc>
          <w:tcPr>
            <w:tcW w:w="2260" w:type="dxa"/>
            <w:vAlign w:val="bottom"/>
          </w:tcPr>
          <w:p>
            <w:pPr>
              <w:jc w:val="center"/>
              <w:spacing w:after="0" w:line="219" w:lineRule="exact"/>
              <w:rPr>
                <w:sz w:val="20"/>
                <w:szCs w:val="20"/>
                <w:color w:val="auto"/>
              </w:rPr>
            </w:pPr>
            <w:r>
              <w:rPr>
                <w:rFonts w:ascii="Arial" w:cs="Arial" w:eastAsia="Arial" w:hAnsi="Arial"/>
                <w:sz w:val="20"/>
                <w:szCs w:val="20"/>
                <w:color w:val="auto"/>
                <w:w w:val="91"/>
              </w:rPr>
              <w:t>Owned by</w:t>
            </w:r>
          </w:p>
        </w:tc>
        <w:tc>
          <w:tcPr>
            <w:tcW w:w="400" w:type="dxa"/>
            <w:vAlign w:val="bottom"/>
            <w:tcBorders>
              <w:bottom w:val="single" w:sz="8" w:color="auto"/>
            </w:tcBorders>
          </w:tcPr>
          <w:p>
            <w:pPr>
              <w:spacing w:after="0"/>
              <w:rPr>
                <w:sz w:val="19"/>
                <w:szCs w:val="19"/>
                <w:color w:val="auto"/>
              </w:rPr>
            </w:pPr>
          </w:p>
        </w:tc>
        <w:tc>
          <w:tcPr>
            <w:tcW w:w="8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260" w:type="dxa"/>
            <w:vAlign w:val="bottom"/>
            <w:vMerge w:val="restart"/>
          </w:tcPr>
          <w:p>
            <w:pPr>
              <w:jc w:val="center"/>
              <w:spacing w:after="0"/>
              <w:rPr>
                <w:sz w:val="20"/>
                <w:szCs w:val="20"/>
                <w:color w:val="auto"/>
              </w:rPr>
            </w:pPr>
            <w:r>
              <w:rPr>
                <w:rFonts w:ascii="Arial" w:cs="Arial" w:eastAsia="Arial" w:hAnsi="Arial"/>
                <w:sz w:val="20"/>
                <w:szCs w:val="20"/>
                <w:color w:val="auto"/>
                <w:w w:val="87"/>
              </w:rPr>
              <w:t>Each</w:t>
            </w: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8580" w:type="dxa"/>
            <w:vAlign w:val="bottom"/>
          </w:tcPr>
          <w:p>
            <w:pPr>
              <w:ind w:left="1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45"/>
        </w:trPr>
        <w:tc>
          <w:tcPr>
            <w:tcW w:w="22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260" w:type="dxa"/>
            <w:vAlign w:val="bottom"/>
          </w:tcPr>
          <w:p>
            <w:pPr>
              <w:jc w:val="center"/>
              <w:spacing w:after="0"/>
              <w:rPr>
                <w:sz w:val="20"/>
                <w:szCs w:val="20"/>
                <w:color w:val="auto"/>
              </w:rPr>
            </w:pPr>
            <w:r>
              <w:rPr>
                <w:rFonts w:ascii="Arial" w:cs="Arial" w:eastAsia="Arial" w:hAnsi="Arial"/>
                <w:sz w:val="20"/>
                <w:szCs w:val="20"/>
                <w:color w:val="auto"/>
                <w:w w:val="92"/>
              </w:rPr>
              <w:t>Reporting</w:t>
            </w:r>
          </w:p>
        </w:tc>
        <w:tc>
          <w:tcPr>
            <w:tcW w:w="40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260" w:type="dxa"/>
            <w:vAlign w:val="bottom"/>
            <w:vMerge w:val="restart"/>
          </w:tcPr>
          <w:p>
            <w:pPr>
              <w:jc w:val="center"/>
              <w:spacing w:after="0"/>
              <w:rPr>
                <w:sz w:val="20"/>
                <w:szCs w:val="20"/>
                <w:color w:val="auto"/>
              </w:rPr>
            </w:pPr>
            <w:r>
              <w:rPr>
                <w:rFonts w:ascii="Arial" w:cs="Arial" w:eastAsia="Arial" w:hAnsi="Arial"/>
                <w:sz w:val="20"/>
                <w:szCs w:val="20"/>
                <w:color w:val="auto"/>
                <w:w w:val="90"/>
              </w:rPr>
              <w:t>Person With:</w:t>
            </w:r>
          </w:p>
        </w:tc>
        <w:tc>
          <w:tcPr>
            <w:tcW w:w="400" w:type="dxa"/>
            <w:vAlign w:val="bottom"/>
          </w:tcPr>
          <w:p>
            <w:pPr>
              <w:jc w:val="right"/>
              <w:ind w:right="61"/>
              <w:spacing w:after="0" w:line="200" w:lineRule="exact"/>
              <w:rPr>
                <w:sz w:val="20"/>
                <w:szCs w:val="20"/>
                <w:color w:val="auto"/>
              </w:rPr>
            </w:pPr>
            <w:r>
              <w:rPr>
                <w:rFonts w:ascii="Arial" w:cs="Arial" w:eastAsia="Arial" w:hAnsi="Arial"/>
                <w:sz w:val="20"/>
                <w:szCs w:val="20"/>
                <w:color w:val="auto"/>
              </w:rPr>
              <w:t>8.</w:t>
            </w:r>
          </w:p>
        </w:tc>
        <w:tc>
          <w:tcPr>
            <w:tcW w:w="8580" w:type="dxa"/>
            <w:vAlign w:val="bottom"/>
          </w:tcPr>
          <w:p>
            <w:pPr>
              <w:ind w:left="160"/>
              <w:spacing w:after="0" w:line="200" w:lineRule="exact"/>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62"/>
        </w:trPr>
        <w:tc>
          <w:tcPr>
            <w:tcW w:w="2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580" w:type="dxa"/>
            <w:vAlign w:val="bottom"/>
            <w:vMerge w:val="restart"/>
          </w:tcPr>
          <w:p>
            <w:pPr>
              <w:ind w:left="160"/>
              <w:spacing w:after="0"/>
              <w:rPr>
                <w:sz w:val="20"/>
                <w:szCs w:val="20"/>
                <w:color w:val="auto"/>
              </w:rPr>
            </w:pPr>
            <w:r>
              <w:rPr>
                <w:rFonts w:ascii="Arial" w:cs="Arial" w:eastAsia="Arial" w:hAnsi="Arial"/>
                <w:sz w:val="20"/>
                <w:szCs w:val="20"/>
                <w:b w:val="1"/>
                <w:bCs w:val="1"/>
                <w:color w:val="auto"/>
              </w:rPr>
              <w:t>3,766,666 shares of Common Stock (2)</w:t>
            </w:r>
          </w:p>
        </w:tc>
        <w:tc>
          <w:tcPr>
            <w:tcW w:w="0" w:type="dxa"/>
            <w:vAlign w:val="bottom"/>
          </w:tcPr>
          <w:p>
            <w:pPr>
              <w:spacing w:after="0"/>
              <w:rPr>
                <w:sz w:val="1"/>
                <w:szCs w:val="1"/>
                <w:color w:val="auto"/>
              </w:rPr>
            </w:pPr>
          </w:p>
        </w:tc>
      </w:tr>
      <w:tr>
        <w:trPr>
          <w:trHeight w:val="95"/>
        </w:trPr>
        <w:tc>
          <w:tcPr>
            <w:tcW w:w="2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780" w:hanging="675"/>
        <w:spacing w:after="0"/>
        <w:tabs>
          <w:tab w:leader="none" w:pos="7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ind w:left="100"/>
        <w:spacing w:after="0" w:line="230" w:lineRule="exact"/>
        <w:tabs>
          <w:tab w:leader="none" w:pos="760" w:val="left"/>
          <w:tab w:leader="none" w:pos="105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780" w:hanging="675"/>
        <w:spacing w:after="0"/>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5.5% (3)</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IN</w:t>
      </w:r>
    </w:p>
    <w:p>
      <w:pPr>
        <w:spacing w:after="0" w:line="200" w:lineRule="exact"/>
        <w:rPr>
          <w:rFonts w:ascii="Arial" w:cs="Arial" w:eastAsia="Arial" w:hAnsi="Arial"/>
          <w:sz w:val="20"/>
          <w:szCs w:val="20"/>
          <w:color w:val="auto"/>
        </w:rPr>
      </w:pPr>
    </w:p>
    <w:p>
      <w:pPr>
        <w:spacing w:after="0" w:line="276" w:lineRule="exact"/>
        <w:rPr>
          <w:rFonts w:ascii="Arial" w:cs="Arial" w:eastAsia="Arial" w:hAnsi="Arial"/>
          <w:sz w:val="20"/>
          <w:szCs w:val="20"/>
          <w:color w:val="auto"/>
        </w:rPr>
      </w:pPr>
    </w:p>
    <w:p>
      <w:pPr>
        <w:ind w:left="660" w:right="20" w:hanging="247"/>
        <w:spacing w:after="0" w:line="266"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This Amendment No. 2 to the statement on Schedule 13G is filed by the Reporting Persons. The Reporting Persons expressly disclaim status as a “group” for purposes of this Schedule 13G.</w:t>
      </w:r>
    </w:p>
    <w:p>
      <w:pPr>
        <w:spacing w:after="0" w:line="1" w:lineRule="exact"/>
        <w:rPr>
          <w:rFonts w:ascii="Arial" w:cs="Arial" w:eastAsia="Arial" w:hAnsi="Arial"/>
          <w:sz w:val="16"/>
          <w:szCs w:val="16"/>
          <w:color w:val="auto"/>
        </w:rPr>
      </w:pPr>
    </w:p>
    <w:p>
      <w:pPr>
        <w:jc w:val="both"/>
        <w:ind w:left="660" w:hanging="247"/>
        <w:spacing w:after="0" w:line="281" w:lineRule="auto"/>
        <w:tabs>
          <w:tab w:leader="none" w:pos="660" w:val="left"/>
        </w:tabs>
        <w:numPr>
          <w:ilvl w:val="1"/>
          <w:numId w:val="20"/>
        </w:numPr>
        <w:rPr>
          <w:rFonts w:ascii="Arial" w:cs="Arial" w:eastAsia="Arial" w:hAnsi="Arial"/>
          <w:sz w:val="15"/>
          <w:szCs w:val="15"/>
          <w:color w:val="auto"/>
        </w:rPr>
      </w:pPr>
      <w:r>
        <w:rPr>
          <w:rFonts w:ascii="Arial" w:cs="Arial" w:eastAsia="Arial" w:hAnsi="Arial"/>
          <w:sz w:val="15"/>
          <w:szCs w:val="15"/>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2" w:lineRule="exact"/>
        <w:rPr>
          <w:rFonts w:ascii="Arial" w:cs="Arial" w:eastAsia="Arial" w:hAnsi="Arial"/>
          <w:sz w:val="15"/>
          <w:szCs w:val="15"/>
          <w:color w:val="auto"/>
        </w:rPr>
      </w:pPr>
    </w:p>
    <w:p>
      <w:pPr>
        <w:jc w:val="both"/>
        <w:ind w:left="660" w:hanging="247"/>
        <w:spacing w:after="0" w:line="276"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-1461770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-1907540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-2353310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6" w:name="page7"/>
    <w:bookmarkEnd w:id="6"/>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800" w:space="720"/>
            <w:col w:w="5720"/>
          </w:cols>
          <w:pgMar w:left="320" w:top="886" w:right="339" w:bottom="1440" w:gutter="0" w:footer="0" w:header="0"/>
        </w:sectPr>
      </w:pPr>
    </w:p>
    <w:p>
      <w:pPr>
        <w:spacing w:after="0" w:line="266"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680"/>
        <w:spacing w:after="0"/>
        <w:rPr>
          <w:rFonts w:ascii="Arial" w:cs="Arial" w:eastAsia="Arial" w:hAnsi="Arial"/>
          <w:sz w:val="20"/>
          <w:szCs w:val="20"/>
          <w:color w:val="auto"/>
        </w:rPr>
      </w:pPr>
      <w:r>
        <w:rPr>
          <w:rFonts w:ascii="Arial" w:cs="Arial" w:eastAsia="Arial" w:hAnsi="Arial"/>
          <w:sz w:val="20"/>
          <w:szCs w:val="20"/>
          <w:b w:val="1"/>
          <w:bCs w:val="1"/>
          <w:color w:val="auto"/>
        </w:rPr>
        <w:t>Mark Leschly</w:t>
      </w:r>
    </w:p>
    <w:p>
      <w:pPr>
        <w:spacing w:after="0" w:line="226" w:lineRule="exact"/>
        <w:rPr>
          <w:rFonts w:ascii="Arial" w:cs="Arial" w:eastAsia="Arial" w:hAnsi="Arial"/>
          <w:sz w:val="20"/>
          <w:szCs w:val="20"/>
          <w:color w:val="auto"/>
        </w:rPr>
      </w:pPr>
    </w:p>
    <w:p>
      <w:pPr>
        <w:ind w:left="68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43" w:lineRule="exact"/>
        <w:rPr>
          <w:rFonts w:ascii="Arial" w:cs="Arial" w:eastAsia="Arial" w:hAnsi="Arial"/>
          <w:sz w:val="18"/>
          <w:szCs w:val="18"/>
          <w:color w:val="auto"/>
        </w:rPr>
      </w:pPr>
    </w:p>
    <w:p>
      <w:pPr>
        <w:ind w:left="1060" w:hanging="377"/>
        <w:spacing w:after="0" w:line="230" w:lineRule="exact"/>
        <w:tabs>
          <w:tab w:leader="none" w:pos="1060" w:val="left"/>
        </w:tabs>
        <w:numPr>
          <w:ilvl w:val="1"/>
          <w:numId w:val="21"/>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1080" w:hanging="397"/>
        <w:spacing w:after="0" w:line="230" w:lineRule="exact"/>
        <w:tabs>
          <w:tab w:leader="none" w:pos="1080" w:val="left"/>
        </w:tabs>
        <w:numPr>
          <w:ilvl w:val="1"/>
          <w:numId w:val="21"/>
        </w:numPr>
        <w:rPr>
          <w:rFonts w:ascii="Arial" w:cs="Arial" w:eastAsia="Arial" w:hAnsi="Arial"/>
          <w:sz w:val="20"/>
          <w:szCs w:val="20"/>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(1)</w:t>
      </w:r>
    </w:p>
    <w:p>
      <w:pPr>
        <w:spacing w:after="0" w:line="13" w:lineRule="exact"/>
        <w:rPr>
          <w:rFonts w:ascii="Arial" w:cs="Arial" w:eastAsia="Arial" w:hAnsi="Arial"/>
          <w:sz w:val="20"/>
          <w:szCs w:val="20"/>
          <w:b w:val="1"/>
          <w:bCs w:val="1"/>
          <w:color w:val="auto"/>
        </w:rPr>
      </w:pPr>
    </w:p>
    <w:p>
      <w:pPr>
        <w:ind w:left="680" w:hanging="672"/>
        <w:spacing w:after="0"/>
        <w:tabs>
          <w:tab w:leader="none" w:pos="6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6" w:lineRule="exact"/>
        <w:rPr>
          <w:rFonts w:ascii="Arial" w:cs="Arial" w:eastAsia="Arial" w:hAnsi="Arial"/>
          <w:sz w:val="20"/>
          <w:szCs w:val="20"/>
          <w:color w:val="auto"/>
        </w:rPr>
      </w:pPr>
    </w:p>
    <w:p>
      <w:pPr>
        <w:ind w:left="680" w:hanging="672"/>
        <w:spacing w:after="0"/>
        <w:tabs>
          <w:tab w:leader="none" w:pos="6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5" w:lineRule="exact"/>
        <w:rPr>
          <w:rFonts w:ascii="Arial" w:cs="Arial" w:eastAsia="Arial" w:hAnsi="Arial"/>
          <w:sz w:val="20"/>
          <w:szCs w:val="20"/>
          <w:color w:val="auto"/>
        </w:rPr>
      </w:pPr>
    </w:p>
    <w:p>
      <w:pPr>
        <w:ind w:left="680"/>
        <w:spacing w:after="0"/>
        <w:rPr>
          <w:rFonts w:ascii="Arial" w:cs="Arial" w:eastAsia="Arial" w:hAnsi="Arial"/>
          <w:sz w:val="20"/>
          <w:szCs w:val="20"/>
          <w:color w:val="auto"/>
        </w:rPr>
      </w:pPr>
      <w:r>
        <w:rPr>
          <w:rFonts w:ascii="Arial" w:cs="Arial" w:eastAsia="Arial" w:hAnsi="Arial"/>
          <w:sz w:val="20"/>
          <w:szCs w:val="20"/>
          <w:b w:val="1"/>
          <w:bCs w:val="1"/>
          <w:color w:val="auto"/>
        </w:rPr>
        <w:t>Kingdom of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-730250</wp:posOffset>
            </wp:positionV>
            <wp:extent cx="95250" cy="965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Number of</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Shares</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Beneficially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Owned by</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Each</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Reporting</w:t>
      </w:r>
    </w:p>
    <w:p>
      <w:pPr>
        <w:spacing w:after="0" w:line="1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458" w:hanging="458"/>
        <w:spacing w:after="0"/>
        <w:tabs>
          <w:tab w:leader="none" w:pos="458" w:val="left"/>
        </w:tabs>
        <w:numPr>
          <w:ilvl w:val="0"/>
          <w:numId w:val="22"/>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15" w:lineRule="exact"/>
        <w:rPr>
          <w:rFonts w:ascii="Arial" w:cs="Arial" w:eastAsia="Arial" w:hAnsi="Arial"/>
          <w:sz w:val="20"/>
          <w:szCs w:val="20"/>
          <w:color w:val="auto"/>
        </w:rPr>
      </w:pPr>
    </w:p>
    <w:p>
      <w:pPr>
        <w:ind w:left="458"/>
        <w:spacing w:after="0"/>
        <w:rPr>
          <w:rFonts w:ascii="Arial" w:cs="Arial" w:eastAsia="Arial" w:hAnsi="Arial"/>
          <w:sz w:val="20"/>
          <w:szCs w:val="20"/>
          <w:color w:val="auto"/>
        </w:rPr>
      </w:pPr>
      <w:r>
        <w:rPr>
          <w:rFonts w:ascii="Arial" w:cs="Arial" w:eastAsia="Arial" w:hAnsi="Arial"/>
          <w:sz w:val="20"/>
          <w:szCs w:val="20"/>
          <w:b w:val="1"/>
          <w:bCs w:val="1"/>
          <w:color w:val="auto"/>
        </w:rPr>
        <w:t>36,604 (2)</w:t>
      </w:r>
    </w:p>
    <w:p>
      <w:pPr>
        <w:spacing w:after="0" w:line="226" w:lineRule="exact"/>
        <w:rPr>
          <w:rFonts w:ascii="Arial" w:cs="Arial" w:eastAsia="Arial" w:hAnsi="Arial"/>
          <w:sz w:val="20"/>
          <w:szCs w:val="20"/>
          <w:color w:val="auto"/>
        </w:rPr>
      </w:pPr>
    </w:p>
    <w:p>
      <w:pPr>
        <w:ind w:left="458" w:hanging="458"/>
        <w:spacing w:after="0"/>
        <w:tabs>
          <w:tab w:leader="none" w:pos="458" w:val="left"/>
        </w:tabs>
        <w:numPr>
          <w:ilvl w:val="0"/>
          <w:numId w:val="22"/>
        </w:numPr>
        <w:rPr>
          <w:rFonts w:ascii="Arial" w:cs="Arial" w:eastAsia="Arial" w:hAnsi="Arial"/>
          <w:sz w:val="20"/>
          <w:szCs w:val="20"/>
          <w:color w:val="auto"/>
        </w:rPr>
      </w:pPr>
      <w:r>
        <w:rPr>
          <w:rFonts w:ascii="Arial" w:cs="Arial" w:eastAsia="Arial" w:hAnsi="Arial"/>
          <w:sz w:val="20"/>
          <w:szCs w:val="20"/>
          <w:color w:val="auto"/>
        </w:rPr>
        <w:t>Shared Voting Power</w:t>
      </w:r>
    </w:p>
    <w:p>
      <w:pPr>
        <w:spacing w:after="0" w:line="15" w:lineRule="exact"/>
        <w:rPr>
          <w:rFonts w:ascii="Arial" w:cs="Arial" w:eastAsia="Arial" w:hAnsi="Arial"/>
          <w:sz w:val="20"/>
          <w:szCs w:val="20"/>
          <w:color w:val="auto"/>
        </w:rPr>
      </w:pPr>
    </w:p>
    <w:p>
      <w:pPr>
        <w:ind w:left="458"/>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(3)</w:t>
      </w:r>
    </w:p>
    <w:p>
      <w:pPr>
        <w:spacing w:after="0" w:line="272" w:lineRule="exact"/>
        <w:rPr>
          <w:rFonts w:ascii="Arial" w:cs="Arial" w:eastAsia="Arial" w:hAnsi="Arial"/>
          <w:sz w:val="20"/>
          <w:szCs w:val="20"/>
          <w:color w:val="auto"/>
        </w:rPr>
      </w:pPr>
    </w:p>
    <w:p>
      <w:pPr>
        <w:ind w:left="458" w:hanging="458"/>
        <w:spacing w:after="0"/>
        <w:tabs>
          <w:tab w:leader="none" w:pos="458" w:val="left"/>
        </w:tabs>
        <w:numPr>
          <w:ilvl w:val="0"/>
          <w:numId w:val="22"/>
        </w:numPr>
        <w:rPr>
          <w:rFonts w:ascii="Arial" w:cs="Arial" w:eastAsia="Arial" w:hAnsi="Arial"/>
          <w:sz w:val="20"/>
          <w:szCs w:val="20"/>
          <w:color w:val="auto"/>
        </w:rPr>
      </w:pPr>
      <w:r>
        <w:rPr>
          <w:rFonts w:ascii="Arial" w:cs="Arial" w:eastAsia="Arial" w:hAnsi="Arial"/>
          <w:sz w:val="20"/>
          <w:szCs w:val="20"/>
          <w:color w:val="auto"/>
        </w:rPr>
        <w:t>Sole Dispositive Power</w:t>
      </w:r>
    </w:p>
    <w:p>
      <w:pPr>
        <w:spacing w:after="0" w:line="15" w:lineRule="exact"/>
        <w:rPr>
          <w:rFonts w:ascii="Arial" w:cs="Arial" w:eastAsia="Arial" w:hAnsi="Arial"/>
          <w:sz w:val="20"/>
          <w:szCs w:val="20"/>
          <w:color w:val="auto"/>
        </w:rPr>
      </w:pPr>
    </w:p>
    <w:p>
      <w:pPr>
        <w:ind w:left="458"/>
        <w:spacing w:after="0"/>
        <w:rPr>
          <w:rFonts w:ascii="Arial" w:cs="Arial" w:eastAsia="Arial" w:hAnsi="Arial"/>
          <w:sz w:val="20"/>
          <w:szCs w:val="20"/>
          <w:color w:val="auto"/>
        </w:rPr>
      </w:pPr>
      <w:r>
        <w:rPr>
          <w:rFonts w:ascii="Arial" w:cs="Arial" w:eastAsia="Arial" w:hAnsi="Arial"/>
          <w:sz w:val="20"/>
          <w:szCs w:val="20"/>
          <w:b w:val="1"/>
          <w:bCs w:val="1"/>
          <w:color w:val="auto"/>
        </w:rPr>
        <w:t>36,604 (2)</w:t>
      </w:r>
    </w:p>
    <w:p>
      <w:pPr>
        <w:spacing w:after="0" w:line="226" w:lineRule="exact"/>
        <w:rPr>
          <w:rFonts w:ascii="Arial" w:cs="Arial" w:eastAsia="Arial" w:hAnsi="Arial"/>
          <w:sz w:val="20"/>
          <w:szCs w:val="20"/>
          <w:color w:val="auto"/>
        </w:rPr>
      </w:pPr>
    </w:p>
    <w:p>
      <w:pPr>
        <w:ind w:left="458" w:hanging="458"/>
        <w:spacing w:after="0"/>
        <w:tabs>
          <w:tab w:leader="none" w:pos="458" w:val="left"/>
        </w:tabs>
        <w:numPr>
          <w:ilvl w:val="0"/>
          <w:numId w:val="22"/>
        </w:numPr>
        <w:rPr>
          <w:rFonts w:ascii="Arial" w:cs="Arial" w:eastAsia="Arial" w:hAnsi="Arial"/>
          <w:sz w:val="20"/>
          <w:szCs w:val="20"/>
          <w:color w:val="auto"/>
        </w:rPr>
      </w:pPr>
      <w:r>
        <w:rPr>
          <w:rFonts w:ascii="Arial" w:cs="Arial" w:eastAsia="Arial" w:hAnsi="Arial"/>
          <w:sz w:val="20"/>
          <w:szCs w:val="20"/>
          <w:color w:val="auto"/>
        </w:rPr>
        <w:t>Shared Dispositive Power</w:t>
      </w:r>
    </w:p>
    <w:p>
      <w:pPr>
        <w:spacing w:after="0" w:line="15" w:lineRule="exact"/>
        <w:rPr>
          <w:rFonts w:ascii="Arial" w:cs="Arial" w:eastAsia="Arial" w:hAnsi="Arial"/>
          <w:sz w:val="20"/>
          <w:szCs w:val="20"/>
          <w:color w:val="auto"/>
        </w:rPr>
      </w:pPr>
    </w:p>
    <w:p>
      <w:pPr>
        <w:ind w:left="458"/>
        <w:spacing w:after="0"/>
        <w:rPr>
          <w:rFonts w:ascii="Arial" w:cs="Arial" w:eastAsia="Arial" w:hAnsi="Arial"/>
          <w:sz w:val="20"/>
          <w:szCs w:val="20"/>
          <w:color w:val="auto"/>
        </w:rPr>
      </w:pPr>
      <w:r>
        <w:rPr>
          <w:rFonts w:ascii="Arial" w:cs="Arial" w:eastAsia="Arial" w:hAnsi="Arial"/>
          <w:sz w:val="16"/>
          <w:szCs w:val="16"/>
          <w:b w:val="1"/>
          <w:bCs w:val="1"/>
          <w:color w:val="auto"/>
        </w:rPr>
        <w:t>3,766,666 shares of Common Stock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-269875</wp:posOffset>
            </wp:positionV>
            <wp:extent cx="57003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-715645</wp:posOffset>
            </wp:positionV>
            <wp:extent cx="57003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-1161415</wp:posOffset>
            </wp:positionV>
            <wp:extent cx="57003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-1430655</wp:posOffset>
            </wp:positionH>
            <wp:positionV relativeFrom="paragraph">
              <wp:posOffset>-1607185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602"/>
            <w:col w:w="8978"/>
          </w:cols>
          <w:pgMar w:left="320" w:top="886" w:right="339" w:bottom="1440" w:gutter="0" w:footer="0" w:header="0"/>
          <w:type w:val="continuous"/>
        </w:sectPr>
      </w:pPr>
    </w:p>
    <w:p>
      <w:pPr>
        <w:spacing w:after="0" w:line="73"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5" w:lineRule="exact"/>
        <w:rPr>
          <w:rFonts w:ascii="Arial" w:cs="Arial" w:eastAsia="Arial" w:hAnsi="Arial"/>
          <w:sz w:val="20"/>
          <w:szCs w:val="20"/>
          <w:color w:val="auto"/>
        </w:rPr>
      </w:pPr>
    </w:p>
    <w:p>
      <w:pPr>
        <w:ind w:left="680"/>
        <w:spacing w:after="0"/>
        <w:rPr>
          <w:rFonts w:ascii="Arial" w:cs="Arial" w:eastAsia="Arial" w:hAnsi="Arial"/>
          <w:sz w:val="20"/>
          <w:szCs w:val="20"/>
          <w:color w:val="auto"/>
        </w:rPr>
      </w:pPr>
      <w:r>
        <w:rPr>
          <w:rFonts w:ascii="Arial" w:cs="Arial" w:eastAsia="Arial" w:hAnsi="Arial"/>
          <w:sz w:val="20"/>
          <w:szCs w:val="20"/>
          <w:b w:val="1"/>
          <w:bCs w:val="1"/>
          <w:color w:val="auto"/>
        </w:rPr>
        <w:t>3,803,270 shares of Common Stock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spacing w:after="0" w:line="230" w:lineRule="exact"/>
        <w:tabs>
          <w:tab w:leader="none" w:pos="660" w:val="left"/>
          <w:tab w:leader="none" w:pos="105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680"/>
        <w:spacing w:after="0"/>
        <w:rPr>
          <w:rFonts w:ascii="Arial" w:cs="Arial" w:eastAsia="Arial" w:hAnsi="Arial"/>
          <w:sz w:val="20"/>
          <w:szCs w:val="20"/>
          <w:color w:val="auto"/>
        </w:rPr>
      </w:pPr>
      <w:r>
        <w:rPr>
          <w:rFonts w:ascii="Arial" w:cs="Arial" w:eastAsia="Arial" w:hAnsi="Arial"/>
          <w:sz w:val="20"/>
          <w:szCs w:val="20"/>
          <w:b w:val="1"/>
          <w:bCs w:val="1"/>
          <w:color w:val="auto"/>
        </w:rPr>
        <w:t>5.5% (4)</w:t>
      </w:r>
    </w:p>
    <w:p>
      <w:pPr>
        <w:spacing w:after="0" w:line="226" w:lineRule="exact"/>
        <w:rPr>
          <w:rFonts w:ascii="Arial" w:cs="Arial" w:eastAsia="Arial" w:hAnsi="Arial"/>
          <w:sz w:val="20"/>
          <w:szCs w:val="20"/>
          <w:color w:val="auto"/>
        </w:rPr>
      </w:pPr>
    </w:p>
    <w:p>
      <w:pPr>
        <w:ind w:left="680" w:hanging="672"/>
        <w:spacing w:after="0"/>
        <w:tabs>
          <w:tab w:leader="none" w:pos="6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680"/>
        <w:spacing w:after="0"/>
        <w:rPr>
          <w:rFonts w:ascii="Arial" w:cs="Arial" w:eastAsia="Arial" w:hAnsi="Arial"/>
          <w:sz w:val="20"/>
          <w:szCs w:val="20"/>
          <w:color w:val="auto"/>
        </w:rPr>
      </w:pPr>
      <w:r>
        <w:rPr>
          <w:rFonts w:ascii="Arial" w:cs="Arial" w:eastAsia="Arial" w:hAnsi="Arial"/>
          <w:sz w:val="20"/>
          <w:szCs w:val="20"/>
          <w:b w:val="1"/>
          <w:bCs w:val="1"/>
          <w:color w:val="auto"/>
        </w:rPr>
        <w:t>IN</w:t>
      </w:r>
    </w:p>
    <w:p>
      <w:pPr>
        <w:spacing w:after="0" w:line="200" w:lineRule="exact"/>
        <w:rPr>
          <w:rFonts w:ascii="Arial" w:cs="Arial" w:eastAsia="Arial" w:hAnsi="Arial"/>
          <w:sz w:val="20"/>
          <w:szCs w:val="20"/>
          <w:color w:val="auto"/>
        </w:rPr>
      </w:pPr>
    </w:p>
    <w:p>
      <w:pPr>
        <w:spacing w:after="0" w:line="276" w:lineRule="exact"/>
        <w:rPr>
          <w:rFonts w:ascii="Arial" w:cs="Arial" w:eastAsia="Arial" w:hAnsi="Arial"/>
          <w:sz w:val="20"/>
          <w:szCs w:val="20"/>
          <w:color w:val="auto"/>
        </w:rPr>
      </w:pPr>
    </w:p>
    <w:p>
      <w:pPr>
        <w:ind w:left="660" w:right="20" w:hanging="247"/>
        <w:spacing w:after="0" w:line="266"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This Amendment No. 2 to the statement on Schedule 13G is filed by the Reporting Persons. The Reporting Persons expressly disclaim status as a “group” for purposes of this Schedule 13G.</w:t>
      </w:r>
    </w:p>
    <w:p>
      <w:pPr>
        <w:spacing w:after="0" w:line="1" w:lineRule="exact"/>
        <w:rPr>
          <w:rFonts w:ascii="Arial" w:cs="Arial" w:eastAsia="Arial" w:hAnsi="Arial"/>
          <w:sz w:val="16"/>
          <w:szCs w:val="16"/>
          <w:color w:val="auto"/>
        </w:rPr>
      </w:pPr>
    </w:p>
    <w:p>
      <w:pPr>
        <w:ind w:left="660" w:hanging="247"/>
        <w:spacing w:after="0"/>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Includes options to purchase 36,604 shares of Common Stock which are presently exercisable or exercisable within sixty days of February 16, 2021.</w:t>
      </w:r>
    </w:p>
    <w:p>
      <w:pPr>
        <w:spacing w:after="0" w:line="18" w:lineRule="exact"/>
        <w:rPr>
          <w:rFonts w:ascii="Arial" w:cs="Arial" w:eastAsia="Arial" w:hAnsi="Arial"/>
          <w:sz w:val="16"/>
          <w:szCs w:val="16"/>
          <w:color w:val="auto"/>
        </w:rPr>
      </w:pPr>
    </w:p>
    <w:p>
      <w:pPr>
        <w:jc w:val="both"/>
        <w:ind w:left="660" w:hanging="247"/>
        <w:spacing w:after="0" w:line="281" w:lineRule="auto"/>
        <w:tabs>
          <w:tab w:leader="none" w:pos="6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2" w:lineRule="exact"/>
        <w:rPr>
          <w:rFonts w:ascii="Arial" w:cs="Arial" w:eastAsia="Arial" w:hAnsi="Arial"/>
          <w:sz w:val="15"/>
          <w:szCs w:val="15"/>
          <w:color w:val="auto"/>
        </w:rPr>
      </w:pPr>
    </w:p>
    <w:p>
      <w:pPr>
        <w:jc w:val="both"/>
        <w:ind w:left="660" w:hanging="247"/>
        <w:spacing w:after="0" w:line="276"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-1590040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-2035810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-2481580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7" w:name="page8"/>
    <w:bookmarkEnd w:id="7"/>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800" w:space="720"/>
            <w:col w:w="5720"/>
          </w:cols>
          <w:pgMar w:left="320" w:top="886" w:right="339" w:bottom="1440" w:gutter="0" w:footer="0" w:header="0"/>
        </w:sectPr>
      </w:pPr>
    </w:p>
    <w:p>
      <w:pPr>
        <w:spacing w:after="0" w:line="266" w:lineRule="exact"/>
        <w:rPr>
          <w:sz w:val="20"/>
          <w:szCs w:val="20"/>
          <w:color w:val="auto"/>
        </w:rPr>
      </w:pPr>
    </w:p>
    <w:p>
      <w:pPr>
        <w:ind w:left="780" w:hanging="675"/>
        <w:spacing w:after="0"/>
        <w:tabs>
          <w:tab w:leader="none" w:pos="7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Habib Kairouz</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0" w:lineRule="exact"/>
        <w:rPr>
          <w:rFonts w:ascii="Arial" w:cs="Arial" w:eastAsia="Arial" w:hAnsi="Arial"/>
          <w:sz w:val="20"/>
          <w:szCs w:val="20"/>
          <w:color w:val="auto"/>
        </w:rPr>
      </w:pPr>
    </w:p>
    <w:p>
      <w:pPr>
        <w:ind w:left="1140" w:hanging="360"/>
        <w:spacing w:after="0" w:line="230" w:lineRule="exact"/>
        <w:tabs>
          <w:tab w:leader="none" w:pos="1140" w:val="left"/>
        </w:tabs>
        <w:numPr>
          <w:ilvl w:val="1"/>
          <w:numId w:val="25"/>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1180" w:hanging="400"/>
        <w:spacing w:after="0" w:line="230" w:lineRule="exact"/>
        <w:tabs>
          <w:tab w:leader="none" w:pos="1180" w:val="left"/>
        </w:tabs>
        <w:numPr>
          <w:ilvl w:val="1"/>
          <w:numId w:val="25"/>
        </w:numPr>
        <w:rPr>
          <w:rFonts w:ascii="Arial" w:cs="Arial" w:eastAsia="Arial" w:hAnsi="Arial"/>
          <w:sz w:val="20"/>
          <w:szCs w:val="20"/>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(1)</w:t>
      </w:r>
    </w:p>
    <w:p>
      <w:pPr>
        <w:spacing w:after="0" w:line="13" w:lineRule="exact"/>
        <w:rPr>
          <w:rFonts w:ascii="Arial" w:cs="Arial" w:eastAsia="Arial" w:hAnsi="Arial"/>
          <w:sz w:val="20"/>
          <w:szCs w:val="20"/>
          <w:b w:val="1"/>
          <w:bCs w:val="1"/>
          <w:color w:val="auto"/>
        </w:rPr>
      </w:pPr>
    </w:p>
    <w:p>
      <w:pPr>
        <w:ind w:left="780" w:hanging="675"/>
        <w:spacing w:after="0"/>
        <w:tabs>
          <w:tab w:leader="none" w:pos="7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-730250</wp:posOffset>
            </wp:positionV>
            <wp:extent cx="95250" cy="965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6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Number of</w:t>
            </w:r>
          </w:p>
        </w:tc>
        <w:tc>
          <w:tcPr>
            <w:tcW w:w="40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5.</w:t>
            </w:r>
          </w:p>
        </w:tc>
        <w:tc>
          <w:tcPr>
            <w:tcW w:w="858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99"/>
        </w:trPr>
        <w:tc>
          <w:tcPr>
            <w:tcW w:w="22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60" w:type="dxa"/>
            <w:vAlign w:val="bottom"/>
            <w:vMerge w:val="restart"/>
          </w:tcPr>
          <w:p>
            <w:pPr>
              <w:jc w:val="center"/>
              <w:spacing w:after="0"/>
              <w:rPr>
                <w:sz w:val="20"/>
                <w:szCs w:val="20"/>
                <w:color w:val="auto"/>
              </w:rPr>
            </w:pPr>
            <w:r>
              <w:rPr>
                <w:rFonts w:ascii="Arial" w:cs="Arial" w:eastAsia="Arial" w:hAnsi="Arial"/>
                <w:sz w:val="20"/>
                <w:szCs w:val="20"/>
                <w:color w:val="auto"/>
                <w:w w:val="81"/>
              </w:rPr>
              <w:t>Shares</w:t>
            </w:r>
          </w:p>
        </w:tc>
        <w:tc>
          <w:tcPr>
            <w:tcW w:w="40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9"/>
        </w:trPr>
        <w:tc>
          <w:tcPr>
            <w:tcW w:w="2260" w:type="dxa"/>
            <w:vAlign w:val="bottom"/>
            <w:vMerge w:val="continue"/>
          </w:tcPr>
          <w:p>
            <w:pPr>
              <w:spacing w:after="0"/>
              <w:rPr>
                <w:sz w:val="6"/>
                <w:szCs w:val="6"/>
                <w:color w:val="auto"/>
              </w:rPr>
            </w:pPr>
          </w:p>
        </w:tc>
        <w:tc>
          <w:tcPr>
            <w:tcW w:w="400" w:type="dxa"/>
            <w:vAlign w:val="bottom"/>
            <w:vMerge w:val="restart"/>
          </w:tcPr>
          <w:p>
            <w:pPr>
              <w:jc w:val="right"/>
              <w:ind w:right="61"/>
              <w:spacing w:after="0" w:line="200" w:lineRule="exact"/>
              <w:rPr>
                <w:sz w:val="20"/>
                <w:szCs w:val="20"/>
                <w:color w:val="auto"/>
              </w:rPr>
            </w:pPr>
            <w:r>
              <w:rPr>
                <w:rFonts w:ascii="Arial" w:cs="Arial" w:eastAsia="Arial" w:hAnsi="Arial"/>
                <w:sz w:val="20"/>
                <w:szCs w:val="20"/>
                <w:color w:val="auto"/>
              </w:rPr>
              <w:t>6.</w:t>
            </w:r>
          </w:p>
        </w:tc>
        <w:tc>
          <w:tcPr>
            <w:tcW w:w="8580" w:type="dxa"/>
            <w:vAlign w:val="bottom"/>
            <w:vMerge w:val="restart"/>
          </w:tcPr>
          <w:p>
            <w:pPr>
              <w:ind w:left="160"/>
              <w:spacing w:after="0" w:line="200" w:lineRule="exact"/>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22"/>
        </w:trPr>
        <w:tc>
          <w:tcPr>
            <w:tcW w:w="2260" w:type="dxa"/>
            <w:vAlign w:val="bottom"/>
            <w:vMerge w:val="restart"/>
          </w:tcPr>
          <w:p>
            <w:pPr>
              <w:jc w:val="center"/>
              <w:spacing w:after="0"/>
              <w:rPr>
                <w:sz w:val="20"/>
                <w:szCs w:val="20"/>
                <w:color w:val="auto"/>
              </w:rPr>
            </w:pPr>
            <w:r>
              <w:rPr>
                <w:rFonts w:ascii="Arial" w:cs="Arial" w:eastAsia="Arial" w:hAnsi="Arial"/>
                <w:sz w:val="20"/>
                <w:szCs w:val="20"/>
                <w:color w:val="auto"/>
                <w:w w:val="94"/>
              </w:rPr>
              <w:t>Beneficially</w:t>
            </w:r>
          </w:p>
        </w:tc>
        <w:tc>
          <w:tcPr>
            <w:tcW w:w="400" w:type="dxa"/>
            <w:vAlign w:val="bottom"/>
            <w:vMerge w:val="continue"/>
          </w:tcPr>
          <w:p>
            <w:pPr>
              <w:spacing w:after="0"/>
              <w:rPr>
                <w:sz w:val="10"/>
                <w:szCs w:val="10"/>
                <w:color w:val="auto"/>
              </w:rPr>
            </w:pPr>
          </w:p>
        </w:tc>
        <w:tc>
          <w:tcPr>
            <w:tcW w:w="8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2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Arial" w:cs="Arial" w:eastAsia="Arial" w:hAnsi="Arial"/>
                <w:sz w:val="20"/>
                <w:szCs w:val="20"/>
                <w:b w:val="1"/>
                <w:bCs w:val="1"/>
                <w:color w:val="auto"/>
              </w:rPr>
              <w:t>3,766,666 shares of Common Stock (2)</w:t>
            </w:r>
          </w:p>
        </w:tc>
        <w:tc>
          <w:tcPr>
            <w:tcW w:w="0" w:type="dxa"/>
            <w:vAlign w:val="bottom"/>
          </w:tcPr>
          <w:p>
            <w:pPr>
              <w:spacing w:after="0"/>
              <w:rPr>
                <w:sz w:val="1"/>
                <w:szCs w:val="1"/>
                <w:color w:val="auto"/>
              </w:rPr>
            </w:pPr>
          </w:p>
        </w:tc>
      </w:tr>
      <w:tr>
        <w:trPr>
          <w:trHeight w:val="226"/>
        </w:trPr>
        <w:tc>
          <w:tcPr>
            <w:tcW w:w="2260" w:type="dxa"/>
            <w:vAlign w:val="bottom"/>
          </w:tcPr>
          <w:p>
            <w:pPr>
              <w:jc w:val="center"/>
              <w:spacing w:after="0" w:line="219" w:lineRule="exact"/>
              <w:rPr>
                <w:sz w:val="20"/>
                <w:szCs w:val="20"/>
                <w:color w:val="auto"/>
              </w:rPr>
            </w:pPr>
            <w:r>
              <w:rPr>
                <w:rFonts w:ascii="Arial" w:cs="Arial" w:eastAsia="Arial" w:hAnsi="Arial"/>
                <w:sz w:val="20"/>
                <w:szCs w:val="20"/>
                <w:color w:val="auto"/>
                <w:w w:val="91"/>
              </w:rPr>
              <w:t>Owned by</w:t>
            </w:r>
          </w:p>
        </w:tc>
        <w:tc>
          <w:tcPr>
            <w:tcW w:w="400" w:type="dxa"/>
            <w:vAlign w:val="bottom"/>
            <w:tcBorders>
              <w:bottom w:val="single" w:sz="8" w:color="auto"/>
            </w:tcBorders>
          </w:tcPr>
          <w:p>
            <w:pPr>
              <w:spacing w:after="0"/>
              <w:rPr>
                <w:sz w:val="19"/>
                <w:szCs w:val="19"/>
                <w:color w:val="auto"/>
              </w:rPr>
            </w:pPr>
          </w:p>
        </w:tc>
        <w:tc>
          <w:tcPr>
            <w:tcW w:w="8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260" w:type="dxa"/>
            <w:vAlign w:val="bottom"/>
            <w:vMerge w:val="restart"/>
          </w:tcPr>
          <w:p>
            <w:pPr>
              <w:jc w:val="center"/>
              <w:spacing w:after="0"/>
              <w:rPr>
                <w:sz w:val="20"/>
                <w:szCs w:val="20"/>
                <w:color w:val="auto"/>
              </w:rPr>
            </w:pPr>
            <w:r>
              <w:rPr>
                <w:rFonts w:ascii="Arial" w:cs="Arial" w:eastAsia="Arial" w:hAnsi="Arial"/>
                <w:sz w:val="20"/>
                <w:szCs w:val="20"/>
                <w:color w:val="auto"/>
                <w:w w:val="87"/>
              </w:rPr>
              <w:t>Each</w:t>
            </w: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8580" w:type="dxa"/>
            <w:vAlign w:val="bottom"/>
          </w:tcPr>
          <w:p>
            <w:pPr>
              <w:ind w:left="1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45"/>
        </w:trPr>
        <w:tc>
          <w:tcPr>
            <w:tcW w:w="22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260" w:type="dxa"/>
            <w:vAlign w:val="bottom"/>
          </w:tcPr>
          <w:p>
            <w:pPr>
              <w:jc w:val="center"/>
              <w:spacing w:after="0"/>
              <w:rPr>
                <w:sz w:val="20"/>
                <w:szCs w:val="20"/>
                <w:color w:val="auto"/>
              </w:rPr>
            </w:pPr>
            <w:r>
              <w:rPr>
                <w:rFonts w:ascii="Arial" w:cs="Arial" w:eastAsia="Arial" w:hAnsi="Arial"/>
                <w:sz w:val="20"/>
                <w:szCs w:val="20"/>
                <w:color w:val="auto"/>
                <w:w w:val="92"/>
              </w:rPr>
              <w:t>Reporting</w:t>
            </w:r>
          </w:p>
        </w:tc>
        <w:tc>
          <w:tcPr>
            <w:tcW w:w="40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260" w:type="dxa"/>
            <w:vAlign w:val="bottom"/>
            <w:vMerge w:val="restart"/>
          </w:tcPr>
          <w:p>
            <w:pPr>
              <w:jc w:val="center"/>
              <w:spacing w:after="0"/>
              <w:rPr>
                <w:sz w:val="20"/>
                <w:szCs w:val="20"/>
                <w:color w:val="auto"/>
              </w:rPr>
            </w:pPr>
            <w:r>
              <w:rPr>
                <w:rFonts w:ascii="Arial" w:cs="Arial" w:eastAsia="Arial" w:hAnsi="Arial"/>
                <w:sz w:val="20"/>
                <w:szCs w:val="20"/>
                <w:color w:val="auto"/>
                <w:w w:val="90"/>
              </w:rPr>
              <w:t>Person With:</w:t>
            </w:r>
          </w:p>
        </w:tc>
        <w:tc>
          <w:tcPr>
            <w:tcW w:w="400" w:type="dxa"/>
            <w:vAlign w:val="bottom"/>
          </w:tcPr>
          <w:p>
            <w:pPr>
              <w:jc w:val="right"/>
              <w:ind w:right="61"/>
              <w:spacing w:after="0" w:line="200" w:lineRule="exact"/>
              <w:rPr>
                <w:sz w:val="20"/>
                <w:szCs w:val="20"/>
                <w:color w:val="auto"/>
              </w:rPr>
            </w:pPr>
            <w:r>
              <w:rPr>
                <w:rFonts w:ascii="Arial" w:cs="Arial" w:eastAsia="Arial" w:hAnsi="Arial"/>
                <w:sz w:val="20"/>
                <w:szCs w:val="20"/>
                <w:color w:val="auto"/>
              </w:rPr>
              <w:t>8.</w:t>
            </w:r>
          </w:p>
        </w:tc>
        <w:tc>
          <w:tcPr>
            <w:tcW w:w="8580" w:type="dxa"/>
            <w:vAlign w:val="bottom"/>
          </w:tcPr>
          <w:p>
            <w:pPr>
              <w:ind w:left="160"/>
              <w:spacing w:after="0" w:line="200" w:lineRule="exact"/>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62"/>
        </w:trPr>
        <w:tc>
          <w:tcPr>
            <w:tcW w:w="2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580" w:type="dxa"/>
            <w:vAlign w:val="bottom"/>
            <w:vMerge w:val="restart"/>
          </w:tcPr>
          <w:p>
            <w:pPr>
              <w:ind w:left="160"/>
              <w:spacing w:after="0"/>
              <w:rPr>
                <w:sz w:val="20"/>
                <w:szCs w:val="20"/>
                <w:color w:val="auto"/>
              </w:rPr>
            </w:pPr>
            <w:r>
              <w:rPr>
                <w:rFonts w:ascii="Arial" w:cs="Arial" w:eastAsia="Arial" w:hAnsi="Arial"/>
                <w:sz w:val="20"/>
                <w:szCs w:val="20"/>
                <w:b w:val="1"/>
                <w:bCs w:val="1"/>
                <w:color w:val="auto"/>
              </w:rPr>
              <w:t>3,766,666 shares of Common Stock (2)</w:t>
            </w:r>
          </w:p>
        </w:tc>
        <w:tc>
          <w:tcPr>
            <w:tcW w:w="0" w:type="dxa"/>
            <w:vAlign w:val="bottom"/>
          </w:tcPr>
          <w:p>
            <w:pPr>
              <w:spacing w:after="0"/>
              <w:rPr>
                <w:sz w:val="1"/>
                <w:szCs w:val="1"/>
                <w:color w:val="auto"/>
              </w:rPr>
            </w:pPr>
          </w:p>
        </w:tc>
      </w:tr>
      <w:tr>
        <w:trPr>
          <w:trHeight w:val="95"/>
        </w:trPr>
        <w:tc>
          <w:tcPr>
            <w:tcW w:w="2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780" w:hanging="675"/>
        <w:spacing w:after="0"/>
        <w:tabs>
          <w:tab w:leader="none" w:pos="7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ind w:left="100"/>
        <w:spacing w:after="0" w:line="230" w:lineRule="exact"/>
        <w:tabs>
          <w:tab w:leader="none" w:pos="760" w:val="left"/>
          <w:tab w:leader="none" w:pos="105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780" w:hanging="675"/>
        <w:spacing w:after="0"/>
        <w:tabs>
          <w:tab w:leader="none" w:pos="7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5.5% (3)</w:t>
      </w:r>
    </w:p>
    <w:p>
      <w:pPr>
        <w:spacing w:after="0" w:line="226" w:lineRule="exact"/>
        <w:rPr>
          <w:rFonts w:ascii="Arial" w:cs="Arial" w:eastAsia="Arial" w:hAnsi="Arial"/>
          <w:sz w:val="20"/>
          <w:szCs w:val="20"/>
          <w:color w:val="auto"/>
        </w:rPr>
      </w:pPr>
    </w:p>
    <w:p>
      <w:pPr>
        <w:ind w:left="780" w:hanging="675"/>
        <w:spacing w:after="0"/>
        <w:tabs>
          <w:tab w:leader="none" w:pos="7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b w:val="1"/>
          <w:bCs w:val="1"/>
          <w:color w:val="auto"/>
        </w:rPr>
        <w:t>IN</w:t>
      </w:r>
    </w:p>
    <w:p>
      <w:pPr>
        <w:spacing w:after="0" w:line="200" w:lineRule="exact"/>
        <w:rPr>
          <w:rFonts w:ascii="Arial" w:cs="Arial" w:eastAsia="Arial" w:hAnsi="Arial"/>
          <w:sz w:val="20"/>
          <w:szCs w:val="20"/>
          <w:color w:val="auto"/>
        </w:rPr>
      </w:pPr>
    </w:p>
    <w:p>
      <w:pPr>
        <w:spacing w:after="0" w:line="276" w:lineRule="exact"/>
        <w:rPr>
          <w:rFonts w:ascii="Arial" w:cs="Arial" w:eastAsia="Arial" w:hAnsi="Arial"/>
          <w:sz w:val="20"/>
          <w:szCs w:val="20"/>
          <w:color w:val="auto"/>
        </w:rPr>
      </w:pPr>
    </w:p>
    <w:p>
      <w:pPr>
        <w:ind w:left="660" w:right="20" w:hanging="247"/>
        <w:spacing w:after="0" w:line="266"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This Amendment No. 2 to the statement on Schedule 13G is filed by the Reporting Persons. The Reporting Persons expressly disclaim status as a “group” for purposes of this Schedule 13G.</w:t>
      </w:r>
    </w:p>
    <w:p>
      <w:pPr>
        <w:spacing w:after="0" w:line="1" w:lineRule="exact"/>
        <w:rPr>
          <w:rFonts w:ascii="Arial" w:cs="Arial" w:eastAsia="Arial" w:hAnsi="Arial"/>
          <w:sz w:val="16"/>
          <w:szCs w:val="16"/>
          <w:color w:val="auto"/>
        </w:rPr>
      </w:pPr>
    </w:p>
    <w:p>
      <w:pPr>
        <w:jc w:val="both"/>
        <w:ind w:left="660" w:hanging="247"/>
        <w:spacing w:after="0" w:line="281" w:lineRule="auto"/>
        <w:tabs>
          <w:tab w:leader="none" w:pos="660"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2" w:lineRule="exact"/>
        <w:rPr>
          <w:rFonts w:ascii="Arial" w:cs="Arial" w:eastAsia="Arial" w:hAnsi="Arial"/>
          <w:sz w:val="15"/>
          <w:szCs w:val="15"/>
          <w:color w:val="auto"/>
        </w:rPr>
      </w:pPr>
    </w:p>
    <w:p>
      <w:pPr>
        <w:jc w:val="both"/>
        <w:ind w:left="660" w:hanging="247"/>
        <w:spacing w:after="0" w:line="276"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-1461770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-1907540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-2353310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8" w:name="page9"/>
    <w:bookmarkEnd w:id="8"/>
    <w:p>
      <w:pPr>
        <w:ind w:left="40" w:hanging="92"/>
        <w:spacing w:after="0" w:line="277" w:lineRule="auto"/>
        <w:rPr>
          <w:sz w:val="20"/>
          <w:szCs w:val="20"/>
          <w:color w:val="auto"/>
        </w:rPr>
      </w:pPr>
      <w:r>
        <w:rPr>
          <w:rFonts w:ascii="Arial" w:cs="Arial" w:eastAsia="Arial" w:hAnsi="Arial"/>
          <w:sz w:val="18"/>
          <w:szCs w:val="18"/>
          <w:color w:val="auto"/>
        </w:rPr>
        <w:t>troductory Note: This Amendment No. 2 to the statement on Schedule 13G is filed by the Reporting Persons in respect of shares of Common Stock, par value $0.001 per share (“Common Stock”), of NGM Biopharmaceuticals, Inc. (the “Issuer”).</w:t>
      </w:r>
    </w:p>
    <w:p>
      <w:pPr>
        <w:spacing w:after="0" w:line="166"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NGM Biopharmaceuticals, Inc.</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Address of Issuer’s Principal Executive Officers:</w:t>
      </w: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NGM Biopharmaceuticals, Inc., 333 Oyster Point Boulevard, South San Francisco, CA 94080</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2(a).  Name of Person(s) Filing</w:t>
      </w:r>
      <w:r>
        <w:rPr>
          <w:rFonts w:ascii="Arial" w:cs="Arial" w:eastAsia="Arial" w:hAnsi="Arial"/>
          <w:sz w:val="18"/>
          <w:szCs w:val="18"/>
          <w:color w:val="auto"/>
        </w:rPr>
        <w: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Rho Ventures V, L.P. (“RV V”)</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Rho Ventures V Affiliates, L.L.C. (“RV V Affiliates”)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Rho Capital Partners LLC (“RCP”)</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RMV V, L.L.C. (“RMV V”)</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Joshua Ruch (“Ruch”)</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 Leschly (“Leschly”)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Habib Kairouz (“Kairouz”)</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2(b).  Address of Principal Business Office: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RV V, RV V Affiliates, RCP, RMV V, Ruch, Leschly and Kairouz:</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Rho Ventures, 152 W 57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New York, New York 10019</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Citizenship:</w:t>
            </w:r>
          </w:p>
        </w:tc>
        <w:tc>
          <w:tcPr>
            <w:tcW w:w="2040" w:type="dxa"/>
            <w:vAlign w:val="bottom"/>
          </w:tcPr>
          <w:p>
            <w:pPr>
              <w:spacing w:after="0"/>
              <w:rPr>
                <w:sz w:val="20"/>
                <w:szCs w:val="20"/>
                <w:color w:val="auto"/>
              </w:rPr>
            </w:pPr>
          </w:p>
        </w:tc>
      </w:tr>
      <w:tr>
        <w:trPr>
          <w:trHeight w:val="418"/>
        </w:trPr>
        <w:tc>
          <w:tcPr>
            <w:tcW w:w="1280" w:type="dxa"/>
            <w:vAlign w:val="bottom"/>
          </w:tcPr>
          <w:p>
            <w:pPr>
              <w:ind w:left="660"/>
              <w:spacing w:after="0"/>
              <w:rPr>
                <w:sz w:val="20"/>
                <w:szCs w:val="20"/>
                <w:color w:val="auto"/>
              </w:rPr>
            </w:pPr>
            <w:r>
              <w:rPr>
                <w:rFonts w:ascii="Arial" w:cs="Arial" w:eastAsia="Arial" w:hAnsi="Arial"/>
                <w:sz w:val="18"/>
                <w:szCs w:val="18"/>
                <w:color w:val="auto"/>
              </w:rPr>
              <w:t>RV V</w:t>
            </w:r>
          </w:p>
        </w:tc>
        <w:tc>
          <w:tcPr>
            <w:tcW w:w="1180" w:type="dxa"/>
            <w:vAlign w:val="bottom"/>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2460" w:type="dxa"/>
            <w:vAlign w:val="bottom"/>
            <w:gridSpan w:val="2"/>
          </w:tcPr>
          <w:p>
            <w:pPr>
              <w:ind w:left="660"/>
              <w:spacing w:after="0"/>
              <w:rPr>
                <w:sz w:val="20"/>
                <w:szCs w:val="20"/>
                <w:color w:val="auto"/>
              </w:rPr>
            </w:pPr>
            <w:r>
              <w:rPr>
                <w:rFonts w:ascii="Arial" w:cs="Arial" w:eastAsia="Arial" w:hAnsi="Arial"/>
                <w:sz w:val="18"/>
                <w:szCs w:val="18"/>
                <w:color w:val="auto"/>
              </w:rPr>
              <w:t>RV V Affiliates</w:t>
            </w:r>
          </w:p>
        </w:tc>
        <w:tc>
          <w:tcPr>
            <w:tcW w:w="2040" w:type="dxa"/>
            <w:vAlign w:val="bottom"/>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RCP</w:t>
            </w:r>
          </w:p>
        </w:tc>
        <w:tc>
          <w:tcPr>
            <w:tcW w:w="1180" w:type="dxa"/>
            <w:vAlign w:val="bottom"/>
          </w:tcPr>
          <w:p>
            <w:pPr>
              <w:spacing w:after="0"/>
              <w:rPr>
                <w:sz w:val="18"/>
                <w:szCs w:val="18"/>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RMV V</w:t>
            </w:r>
          </w:p>
        </w:tc>
        <w:tc>
          <w:tcPr>
            <w:tcW w:w="1180" w:type="dxa"/>
            <w:vAlign w:val="bottom"/>
          </w:tcPr>
          <w:p>
            <w:pPr>
              <w:spacing w:after="0"/>
              <w:rPr>
                <w:sz w:val="18"/>
                <w:szCs w:val="18"/>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w w:val="98"/>
              </w:rPr>
              <w:t>Leschly</w:t>
            </w:r>
          </w:p>
        </w:tc>
        <w:tc>
          <w:tcPr>
            <w:tcW w:w="1180" w:type="dxa"/>
            <w:vAlign w:val="bottom"/>
          </w:tcPr>
          <w:p>
            <w:pPr>
              <w:spacing w:after="0"/>
              <w:rPr>
                <w:sz w:val="18"/>
                <w:szCs w:val="18"/>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Kingdom of Denmark</w:t>
            </w: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w w:val="98"/>
              </w:rPr>
              <w:t>Kairouz</w:t>
            </w:r>
          </w:p>
        </w:tc>
        <w:tc>
          <w:tcPr>
            <w:tcW w:w="1180" w:type="dxa"/>
            <w:vAlign w:val="bottom"/>
          </w:tcPr>
          <w:p>
            <w:pPr>
              <w:spacing w:after="0"/>
              <w:rPr>
                <w:sz w:val="18"/>
                <w:szCs w:val="18"/>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United States of America</w:t>
            </w: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Ruch</w:t>
            </w:r>
          </w:p>
        </w:tc>
        <w:tc>
          <w:tcPr>
            <w:tcW w:w="1180" w:type="dxa"/>
            <w:vAlign w:val="bottom"/>
          </w:tcPr>
          <w:p>
            <w:pPr>
              <w:spacing w:after="0"/>
              <w:rPr>
                <w:sz w:val="20"/>
                <w:szCs w:val="20"/>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United States of America</w:t>
            </w: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322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Class of Securities:</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Common Stock, par value $0.001 per share.</w:t>
      </w:r>
    </w:p>
    <w:p>
      <w:pPr>
        <w:spacing w:after="0" w:line="221"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62921N 105</w:t>
      </w:r>
    </w:p>
    <w:p>
      <w:pPr>
        <w:spacing w:after="0" w:line="221"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24130</wp:posOffset>
            </wp:positionV>
            <wp:extent cx="713232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80"/>
          </w:cols>
          <w:pgMar w:left="280" w:top="692" w:right="339" w:bottom="1440" w:gutter="0" w:footer="0" w:header="0"/>
        </w:sectPr>
      </w:pPr>
    </w:p>
    <w:bookmarkStart w:id="9" w:name="page10"/>
    <w:bookmarkEnd w:id="9"/>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Amount Beneficially Owned:</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persons have:</w:t>
      </w:r>
    </w:p>
    <w:p>
      <w:pPr>
        <w:spacing w:after="0" w:line="211"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by the Reporting Persons filing this Amendment No. 2 to the statement on Schedule 13G is provided as of December 31, 2020:</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Shared</w:t>
            </w: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Shares Held</w:t>
            </w: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Sole Voting</w:t>
            </w: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Shared Voting</w:t>
            </w:r>
          </w:p>
        </w:tc>
        <w:tc>
          <w:tcPr>
            <w:tcW w:w="25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90"/>
              </w:rPr>
              <w:t>Sole Dispositive Dispositive Power</w:t>
            </w:r>
          </w:p>
        </w:tc>
        <w:tc>
          <w:tcPr>
            <w:tcW w:w="1340" w:type="dxa"/>
            <w:vAlign w:val="bottom"/>
          </w:tcPr>
          <w:p>
            <w:pPr>
              <w:jc w:val="right"/>
              <w:ind w:right="359"/>
              <w:spacing w:after="0"/>
              <w:rPr>
                <w:sz w:val="20"/>
                <w:szCs w:val="20"/>
                <w:color w:val="auto"/>
              </w:rPr>
            </w:pPr>
            <w:r>
              <w:rPr>
                <w:rFonts w:ascii="Arial" w:cs="Arial" w:eastAsia="Arial" w:hAnsi="Arial"/>
                <w:sz w:val="16"/>
                <w:szCs w:val="16"/>
                <w:b w:val="1"/>
                <w:bCs w:val="1"/>
                <w:color w:val="auto"/>
              </w:rPr>
              <w:t>Beneficial</w:t>
            </w: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Percentage of</w:t>
            </w:r>
          </w:p>
        </w:tc>
      </w:tr>
      <w:tr>
        <w:trPr>
          <w:trHeight w:val="207"/>
        </w:trPr>
        <w:tc>
          <w:tcPr>
            <w:tcW w:w="1740" w:type="dxa"/>
            <w:vAlign w:val="bottom"/>
          </w:tcPr>
          <w:p>
            <w:pPr>
              <w:spacing w:after="0"/>
              <w:rPr>
                <w:sz w:val="20"/>
                <w:szCs w:val="20"/>
                <w:color w:val="auto"/>
              </w:rPr>
            </w:pPr>
            <w:r>
              <w:rPr>
                <w:rFonts w:ascii="Arial" w:cs="Arial" w:eastAsia="Arial" w:hAnsi="Arial"/>
                <w:sz w:val="16"/>
                <w:szCs w:val="16"/>
                <w:b w:val="1"/>
                <w:bCs w:val="1"/>
                <w:color w:val="auto"/>
              </w:rPr>
              <w:t>Reporting Persons</w:t>
            </w: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auto"/>
              </w:rPr>
              <w:t>Directly (1)</w:t>
            </w: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rPr>
              <w:t>Power (1)</w:t>
            </w: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Power (1)</w:t>
            </w: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Power (1)</w:t>
            </w:r>
          </w:p>
        </w:tc>
        <w:tc>
          <w:tcPr>
            <w:tcW w:w="1180" w:type="dxa"/>
            <w:vAlign w:val="bottom"/>
          </w:tcPr>
          <w:p>
            <w:pPr>
              <w:jc w:val="right"/>
              <w:ind w:right="579"/>
              <w:spacing w:after="0"/>
              <w:rPr>
                <w:sz w:val="20"/>
                <w:szCs w:val="20"/>
                <w:color w:val="auto"/>
              </w:rPr>
            </w:pPr>
            <w:r>
              <w:rPr>
                <w:rFonts w:ascii="Arial" w:cs="Arial" w:eastAsia="Arial" w:hAnsi="Arial"/>
                <w:sz w:val="16"/>
                <w:szCs w:val="16"/>
                <w:b w:val="1"/>
                <w:bCs w:val="1"/>
                <w:color w:val="auto"/>
              </w:rPr>
              <w:t>(1)</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Ownership (1)</w:t>
            </w: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rPr>
              <w:t>Class (1, 4)</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RV V (2)</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3,462,648</w:t>
            </w:r>
          </w:p>
        </w:tc>
        <w:tc>
          <w:tcPr>
            <w:tcW w:w="11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spacing w:after="0"/>
              <w:rPr>
                <w:sz w:val="20"/>
                <w:szCs w:val="20"/>
                <w:color w:val="auto"/>
              </w:rPr>
            </w:pPr>
            <w:r>
              <w:rPr>
                <w:rFonts w:ascii="Arial" w:cs="Arial" w:eastAsia="Arial" w:hAnsi="Arial"/>
                <w:sz w:val="16"/>
                <w:szCs w:val="16"/>
                <w:color w:val="auto"/>
              </w:rPr>
              <w:t>3,766,666</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3,766,666</w:t>
            </w:r>
          </w:p>
        </w:tc>
        <w:tc>
          <w:tcPr>
            <w:tcW w:w="1340" w:type="dxa"/>
            <w:vAlign w:val="bottom"/>
          </w:tcPr>
          <w:p>
            <w:pPr>
              <w:jc w:val="right"/>
              <w:spacing w:after="0"/>
              <w:rPr>
                <w:sz w:val="20"/>
                <w:szCs w:val="20"/>
                <w:color w:val="auto"/>
              </w:rPr>
            </w:pPr>
            <w:r>
              <w:rPr>
                <w:rFonts w:ascii="Arial" w:cs="Arial" w:eastAsia="Arial" w:hAnsi="Arial"/>
                <w:sz w:val="16"/>
                <w:szCs w:val="16"/>
                <w:color w:val="auto"/>
              </w:rPr>
              <w:t>3,766,666</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RV Affiliates (2)</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304,018</w:t>
            </w:r>
          </w:p>
        </w:tc>
        <w:tc>
          <w:tcPr>
            <w:tcW w:w="11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spacing w:after="0"/>
              <w:rPr>
                <w:sz w:val="20"/>
                <w:szCs w:val="20"/>
                <w:color w:val="auto"/>
              </w:rPr>
            </w:pPr>
            <w:r>
              <w:rPr>
                <w:rFonts w:ascii="Arial" w:cs="Arial" w:eastAsia="Arial" w:hAnsi="Arial"/>
                <w:sz w:val="16"/>
                <w:szCs w:val="16"/>
                <w:color w:val="auto"/>
              </w:rPr>
              <w:t>3,766,666</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3,766,666</w:t>
            </w:r>
          </w:p>
        </w:tc>
        <w:tc>
          <w:tcPr>
            <w:tcW w:w="1340" w:type="dxa"/>
            <w:vAlign w:val="bottom"/>
          </w:tcPr>
          <w:p>
            <w:pPr>
              <w:jc w:val="right"/>
              <w:spacing w:after="0"/>
              <w:rPr>
                <w:sz w:val="20"/>
                <w:szCs w:val="20"/>
                <w:color w:val="auto"/>
              </w:rPr>
            </w:pPr>
            <w:r>
              <w:rPr>
                <w:rFonts w:ascii="Arial" w:cs="Arial" w:eastAsia="Arial" w:hAnsi="Arial"/>
                <w:sz w:val="16"/>
                <w:szCs w:val="16"/>
                <w:color w:val="auto"/>
              </w:rPr>
              <w:t>3,766,666</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RMV V (2)</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1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spacing w:after="0"/>
              <w:rPr>
                <w:sz w:val="20"/>
                <w:szCs w:val="20"/>
                <w:color w:val="auto"/>
              </w:rPr>
            </w:pPr>
            <w:r>
              <w:rPr>
                <w:rFonts w:ascii="Arial" w:cs="Arial" w:eastAsia="Arial" w:hAnsi="Arial"/>
                <w:sz w:val="16"/>
                <w:szCs w:val="16"/>
                <w:color w:val="auto"/>
              </w:rPr>
              <w:t>3,766,666</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3,766,666</w:t>
            </w:r>
          </w:p>
        </w:tc>
        <w:tc>
          <w:tcPr>
            <w:tcW w:w="1340" w:type="dxa"/>
            <w:vAlign w:val="bottom"/>
          </w:tcPr>
          <w:p>
            <w:pPr>
              <w:jc w:val="right"/>
              <w:spacing w:after="0"/>
              <w:rPr>
                <w:sz w:val="20"/>
                <w:szCs w:val="20"/>
                <w:color w:val="auto"/>
              </w:rPr>
            </w:pPr>
            <w:r>
              <w:rPr>
                <w:rFonts w:ascii="Arial" w:cs="Arial" w:eastAsia="Arial" w:hAnsi="Arial"/>
                <w:sz w:val="16"/>
                <w:szCs w:val="16"/>
                <w:color w:val="auto"/>
              </w:rPr>
              <w:t>3,766,666</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RCP (2)</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1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spacing w:after="0"/>
              <w:rPr>
                <w:sz w:val="20"/>
                <w:szCs w:val="20"/>
                <w:color w:val="auto"/>
              </w:rPr>
            </w:pPr>
            <w:r>
              <w:rPr>
                <w:rFonts w:ascii="Arial" w:cs="Arial" w:eastAsia="Arial" w:hAnsi="Arial"/>
                <w:sz w:val="16"/>
                <w:szCs w:val="16"/>
                <w:color w:val="auto"/>
              </w:rPr>
              <w:t>3,766,666</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3,766,666</w:t>
            </w:r>
          </w:p>
        </w:tc>
        <w:tc>
          <w:tcPr>
            <w:tcW w:w="1340" w:type="dxa"/>
            <w:vAlign w:val="bottom"/>
          </w:tcPr>
          <w:p>
            <w:pPr>
              <w:jc w:val="right"/>
              <w:spacing w:after="0"/>
              <w:rPr>
                <w:sz w:val="20"/>
                <w:szCs w:val="20"/>
                <w:color w:val="auto"/>
              </w:rPr>
            </w:pPr>
            <w:r>
              <w:rPr>
                <w:rFonts w:ascii="Arial" w:cs="Arial" w:eastAsia="Arial" w:hAnsi="Arial"/>
                <w:sz w:val="16"/>
                <w:szCs w:val="16"/>
                <w:color w:val="auto"/>
              </w:rPr>
              <w:t>3,766,666</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Ruch (2)</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1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spacing w:after="0"/>
              <w:rPr>
                <w:sz w:val="20"/>
                <w:szCs w:val="20"/>
                <w:color w:val="auto"/>
              </w:rPr>
            </w:pPr>
            <w:r>
              <w:rPr>
                <w:rFonts w:ascii="Arial" w:cs="Arial" w:eastAsia="Arial" w:hAnsi="Arial"/>
                <w:sz w:val="16"/>
                <w:szCs w:val="16"/>
                <w:color w:val="auto"/>
              </w:rPr>
              <w:t>3,766,666</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3,766,666</w:t>
            </w:r>
          </w:p>
        </w:tc>
        <w:tc>
          <w:tcPr>
            <w:tcW w:w="1340" w:type="dxa"/>
            <w:vAlign w:val="bottom"/>
          </w:tcPr>
          <w:p>
            <w:pPr>
              <w:jc w:val="right"/>
              <w:spacing w:after="0"/>
              <w:rPr>
                <w:sz w:val="20"/>
                <w:szCs w:val="20"/>
                <w:color w:val="auto"/>
              </w:rPr>
            </w:pPr>
            <w:r>
              <w:rPr>
                <w:rFonts w:ascii="Arial" w:cs="Arial" w:eastAsia="Arial" w:hAnsi="Arial"/>
                <w:sz w:val="16"/>
                <w:szCs w:val="16"/>
                <w:color w:val="auto"/>
              </w:rPr>
              <w:t>3,766,666</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Leschly (2)(3)</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36,604</w:t>
            </w:r>
          </w:p>
        </w:tc>
        <w:tc>
          <w:tcPr>
            <w:tcW w:w="1120" w:type="dxa"/>
            <w:vAlign w:val="bottom"/>
          </w:tcPr>
          <w:p>
            <w:pPr>
              <w:jc w:val="right"/>
              <w:spacing w:after="0"/>
              <w:rPr>
                <w:sz w:val="20"/>
                <w:szCs w:val="20"/>
                <w:color w:val="auto"/>
              </w:rPr>
            </w:pPr>
            <w:r>
              <w:rPr>
                <w:rFonts w:ascii="Arial" w:cs="Arial" w:eastAsia="Arial" w:hAnsi="Arial"/>
                <w:sz w:val="16"/>
                <w:szCs w:val="16"/>
                <w:color w:val="auto"/>
              </w:rPr>
              <w:t>36,604</w:t>
            </w:r>
          </w:p>
        </w:tc>
        <w:tc>
          <w:tcPr>
            <w:tcW w:w="1160" w:type="dxa"/>
            <w:vAlign w:val="bottom"/>
          </w:tcPr>
          <w:p>
            <w:pPr>
              <w:jc w:val="right"/>
              <w:spacing w:after="0"/>
              <w:rPr>
                <w:sz w:val="20"/>
                <w:szCs w:val="20"/>
                <w:color w:val="auto"/>
              </w:rPr>
            </w:pPr>
            <w:r>
              <w:rPr>
                <w:rFonts w:ascii="Arial" w:cs="Arial" w:eastAsia="Arial" w:hAnsi="Arial"/>
                <w:sz w:val="16"/>
                <w:szCs w:val="16"/>
                <w:color w:val="auto"/>
              </w:rPr>
              <w:t>3,766,666</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36,604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3,766,666</w:t>
            </w:r>
          </w:p>
        </w:tc>
        <w:tc>
          <w:tcPr>
            <w:tcW w:w="1340" w:type="dxa"/>
            <w:vAlign w:val="bottom"/>
          </w:tcPr>
          <w:p>
            <w:pPr>
              <w:jc w:val="right"/>
              <w:spacing w:after="0"/>
              <w:rPr>
                <w:sz w:val="20"/>
                <w:szCs w:val="20"/>
                <w:color w:val="auto"/>
              </w:rPr>
            </w:pPr>
            <w:r>
              <w:rPr>
                <w:rFonts w:ascii="Arial" w:cs="Arial" w:eastAsia="Arial" w:hAnsi="Arial"/>
                <w:sz w:val="16"/>
                <w:szCs w:val="16"/>
                <w:color w:val="auto"/>
              </w:rPr>
              <w:t>3,803,270</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6"/>
        </w:trPr>
        <w:tc>
          <w:tcPr>
            <w:tcW w:w="1740" w:type="dxa"/>
            <w:vAlign w:val="bottom"/>
          </w:tcPr>
          <w:p>
            <w:pPr>
              <w:spacing w:after="0"/>
              <w:rPr>
                <w:sz w:val="20"/>
                <w:szCs w:val="20"/>
                <w:color w:val="auto"/>
              </w:rPr>
            </w:pPr>
            <w:r>
              <w:rPr>
                <w:rFonts w:ascii="Arial" w:cs="Arial" w:eastAsia="Arial" w:hAnsi="Arial"/>
                <w:sz w:val="16"/>
                <w:szCs w:val="16"/>
                <w:color w:val="auto"/>
              </w:rPr>
              <w:t>Kairouz (2)</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1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spacing w:after="0"/>
              <w:rPr>
                <w:sz w:val="20"/>
                <w:szCs w:val="20"/>
                <w:color w:val="auto"/>
              </w:rPr>
            </w:pPr>
            <w:r>
              <w:rPr>
                <w:rFonts w:ascii="Arial" w:cs="Arial" w:eastAsia="Arial" w:hAnsi="Arial"/>
                <w:sz w:val="16"/>
                <w:szCs w:val="16"/>
                <w:color w:val="auto"/>
              </w:rPr>
              <w:t>3,766,666</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3,766,666</w:t>
            </w:r>
          </w:p>
        </w:tc>
        <w:tc>
          <w:tcPr>
            <w:tcW w:w="1340" w:type="dxa"/>
            <w:vAlign w:val="bottom"/>
          </w:tcPr>
          <w:p>
            <w:pPr>
              <w:jc w:val="right"/>
              <w:spacing w:after="0"/>
              <w:rPr>
                <w:sz w:val="20"/>
                <w:szCs w:val="20"/>
                <w:color w:val="auto"/>
              </w:rPr>
            </w:pPr>
            <w:r>
              <w:rPr>
                <w:rFonts w:ascii="Arial" w:cs="Arial" w:eastAsia="Arial" w:hAnsi="Arial"/>
                <w:sz w:val="16"/>
                <w:szCs w:val="16"/>
                <w:color w:val="auto"/>
              </w:rPr>
              <w:t>3,766,666</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104" w:lineRule="exact"/>
        <w:rPr>
          <w:sz w:val="20"/>
          <w:szCs w:val="20"/>
          <w:color w:val="auto"/>
        </w:rPr>
      </w:pPr>
    </w:p>
    <w:p>
      <w:pPr>
        <w:ind w:left="900" w:hanging="244"/>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number of shares of Common Stock currently underlying all securities held by the Reporting Persons.</w:t>
      </w:r>
    </w:p>
    <w:p>
      <w:pPr>
        <w:spacing w:after="0" w:line="126" w:lineRule="exact"/>
        <w:rPr>
          <w:rFonts w:ascii="Arial" w:cs="Arial" w:eastAsia="Arial" w:hAnsi="Arial"/>
          <w:sz w:val="16"/>
          <w:szCs w:val="16"/>
          <w:color w:val="auto"/>
        </w:rPr>
      </w:pPr>
    </w:p>
    <w:p>
      <w:pPr>
        <w:jc w:val="both"/>
        <w:ind w:left="900" w:hanging="244"/>
        <w:spacing w:after="0" w:line="269"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85" w:lineRule="exact"/>
        <w:rPr>
          <w:rFonts w:ascii="Arial" w:cs="Arial" w:eastAsia="Arial" w:hAnsi="Arial"/>
          <w:sz w:val="16"/>
          <w:szCs w:val="16"/>
          <w:color w:val="auto"/>
        </w:rPr>
      </w:pPr>
    </w:p>
    <w:p>
      <w:pPr>
        <w:ind w:left="900" w:right="20" w:hanging="244"/>
        <w:spacing w:after="0" w:line="293"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options held directly by Mark Leschly to purchase 36,604 shares of Common Stock which are presently exercisable or exercisable within sixty days of February 16, 2021.</w:t>
      </w:r>
    </w:p>
    <w:p>
      <w:pPr>
        <w:spacing w:after="0" w:line="63" w:lineRule="exact"/>
        <w:rPr>
          <w:rFonts w:ascii="Arial" w:cs="Arial" w:eastAsia="Arial" w:hAnsi="Arial"/>
          <w:sz w:val="16"/>
          <w:szCs w:val="16"/>
          <w:color w:val="auto"/>
        </w:rPr>
      </w:pPr>
    </w:p>
    <w:p>
      <w:pPr>
        <w:ind w:left="900" w:hanging="244"/>
        <w:spacing w:after="0" w:line="369" w:lineRule="auto"/>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percentages set forth above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1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320"/>
          </w:cols>
          <w:pgMar w:left="320" w:top="688" w:right="259" w:bottom="1440" w:gutter="0" w:footer="0" w:header="0"/>
        </w:sectPr>
      </w:pPr>
    </w:p>
    <w:bookmarkStart w:id="10" w:name="page11"/>
    <w:bookmarkEnd w:id="10"/>
    <w:p>
      <w:pPr>
        <w:ind w:left="5080"/>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16, 2021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AFFILIATES,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MANAGING MEMBER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RHO CAPITAL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RMV V,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JOSHUA RUCH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HABIB KAIROUZ</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MARK LESCHLY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r>
        <w:rPr>
          <w:rFonts w:ascii="Arial" w:cs="Arial" w:eastAsia="Arial" w:hAnsi="Arial"/>
          <w:sz w:val="20"/>
          <w:szCs w:val="20"/>
          <w:color w:val="auto"/>
        </w:rPr>
        <w:t>:</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Exhibit 1:</w:t>
      </w:r>
      <w:r>
        <w:rPr>
          <w:sz w:val="20"/>
          <w:szCs w:val="20"/>
          <w:color w:val="auto"/>
        </w:rPr>
        <w:tab/>
      </w:r>
      <w:r>
        <w:rPr>
          <w:rFonts w:ascii="Arial" w:cs="Arial" w:eastAsia="Arial" w:hAnsi="Arial"/>
          <w:sz w:val="18"/>
          <w:szCs w:val="18"/>
          <w:color w:val="auto"/>
        </w:rPr>
        <w:t>Joint Filing Statement</w:t>
      </w:r>
    </w:p>
    <w:p>
      <w:pPr>
        <w:spacing w:after="0" w:line="1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Exhibit 2:</w:t>
      </w:r>
      <w:r>
        <w:rPr>
          <w:sz w:val="20"/>
          <w:szCs w:val="20"/>
          <w:color w:val="auto"/>
        </w:rPr>
        <w:tab/>
      </w:r>
      <w:r>
        <w:rPr>
          <w:rFonts w:ascii="Arial" w:cs="Arial" w:eastAsia="Arial" w:hAnsi="Arial"/>
          <w:sz w:val="18"/>
          <w:szCs w:val="18"/>
          <w:color w:val="auto"/>
        </w:rPr>
        <w:t>Power of Attorney</w:t>
      </w:r>
    </w:p>
    <w:p>
      <w:pPr>
        <w:spacing w:after="0" w:line="19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00"/>
          </w:cols>
          <w:pgMar w:left="320" w:top="685" w:right="10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the shares of Common Stock of NGM Biopharmaceuticals,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AFFILIATES,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MANAGING MEMBER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RHO CAPITAL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RMV V,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JOSHUA RUCH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HABIB KAIROUZ</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MARK LESCHLY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POWER OF ATTORNEY</w:t>
      </w:r>
    </w:p>
    <w:p>
      <w:pPr>
        <w:spacing w:after="0" w:line="229"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The undersigned hereby constitutes and appoints Peter Kalkanis, with full power of substitution, as the undersigned's true and lawful attorney-in-fact to:</w:t>
      </w:r>
    </w:p>
    <w:p>
      <w:pPr>
        <w:spacing w:after="0" w:line="177" w:lineRule="exact"/>
        <w:rPr>
          <w:sz w:val="20"/>
          <w:szCs w:val="20"/>
          <w:color w:val="auto"/>
        </w:rPr>
      </w:pPr>
    </w:p>
    <w:p>
      <w:pPr>
        <w:ind w:right="40" w:firstLine="8"/>
        <w:spacing w:after="0" w:line="246" w:lineRule="auto"/>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91" w:lineRule="exact"/>
        <w:rPr>
          <w:rFonts w:ascii="Arial" w:cs="Arial" w:eastAsia="Arial" w:hAnsi="Arial"/>
          <w:sz w:val="20"/>
          <w:szCs w:val="20"/>
          <w:color w:val="auto"/>
        </w:rPr>
      </w:pPr>
    </w:p>
    <w:p>
      <w:pPr>
        <w:ind w:right="40" w:firstLine="8"/>
        <w:spacing w:after="0" w:line="291"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NGM Biopharmaceuticals, Inc. (the "Company") and/or 5% or 10% holder of the Company's capital stock, Forms 3, 4, and 5 as well as any Section 13D or 13G filings and any amendments thereto in accordance with Sections 13 and 16(a) of the Securities Exchange Act of 1934 and the rules thereunder;</w:t>
      </w:r>
    </w:p>
    <w:p>
      <w:pPr>
        <w:spacing w:after="0" w:line="151" w:lineRule="exact"/>
        <w:rPr>
          <w:rFonts w:ascii="Arial" w:cs="Arial" w:eastAsia="Arial" w:hAnsi="Arial"/>
          <w:sz w:val="18"/>
          <w:szCs w:val="18"/>
          <w:color w:val="auto"/>
        </w:rPr>
      </w:pPr>
    </w:p>
    <w:p>
      <w:pPr>
        <w:ind w:right="60" w:firstLine="8"/>
        <w:spacing w:after="0" w:line="250" w:lineRule="auto"/>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13D or 13G, complete and execute any amendment or amendments thereto, and timely file such form with the SEC and any stock exchange or similar authority; and</w:t>
      </w:r>
    </w:p>
    <w:p>
      <w:pPr>
        <w:spacing w:after="0" w:line="185" w:lineRule="exact"/>
        <w:rPr>
          <w:rFonts w:ascii="Arial" w:cs="Arial" w:eastAsia="Arial" w:hAnsi="Arial"/>
          <w:sz w:val="20"/>
          <w:szCs w:val="20"/>
          <w:color w:val="auto"/>
        </w:rPr>
      </w:pPr>
    </w:p>
    <w:p>
      <w:pPr>
        <w:ind w:firstLine="8"/>
        <w:spacing w:after="0" w:line="246" w:lineRule="auto"/>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1"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or 16 of the Securities Exchange Act of 1934.</w:t>
      </w:r>
    </w:p>
    <w:p>
      <w:pPr>
        <w:spacing w:after="0" w:line="185"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13D or 13G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IN WITNESS WHEREOF, the undersigned has caused this Power of Attorney to be executed as of this 16th day of February, 2021.</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RHO VENTURES V,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RMV V, L.L.C., its General Partner</w:t>
      </w:r>
    </w:p>
    <w:p>
      <w:pPr>
        <w:spacing w:after="0"/>
        <w:rPr>
          <w:sz w:val="20"/>
          <w:szCs w:val="20"/>
          <w:color w:val="auto"/>
        </w:rPr>
      </w:pPr>
      <w:r>
        <w:rPr>
          <w:rFonts w:ascii="Arial" w:cs="Arial" w:eastAsia="Arial" w:hAnsi="Arial"/>
          <w:sz w:val="20"/>
          <w:szCs w:val="20"/>
          <w:color w:val="auto"/>
        </w:rPr>
        <w:t>By: Rho Capital Partners LLC, 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Habib Kairouz</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Habib Kairouz</w:t>
      </w:r>
    </w:p>
    <w:p>
      <w:pPr>
        <w:ind w:left="34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RMV V,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By: Rho Capital Partners LLC, 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/s/Habib Kairouz</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Habib Kairouz</w:t>
      </w:r>
    </w:p>
    <w:p>
      <w:pPr>
        <w:ind w:left="34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RHO CAPITAL PARTNERS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/s/Habib Kairouz</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Habib Kairouz</w:t>
      </w:r>
    </w:p>
    <w:p>
      <w:pPr>
        <w:ind w:left="34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RHO VENTURES V AFFILIATES,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RMV V, L.L.C., its Managing Member</w:t>
      </w:r>
    </w:p>
    <w:p>
      <w:pPr>
        <w:spacing w:after="0"/>
        <w:rPr>
          <w:sz w:val="20"/>
          <w:szCs w:val="20"/>
          <w:color w:val="auto"/>
        </w:rPr>
      </w:pPr>
      <w:r>
        <w:rPr>
          <w:rFonts w:ascii="Arial" w:cs="Arial" w:eastAsia="Arial" w:hAnsi="Arial"/>
          <w:sz w:val="20"/>
          <w:szCs w:val="20"/>
          <w:color w:val="auto"/>
        </w:rPr>
        <w:t>By: Rho Capital Partners LLC, 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/s/Habib Kairouz</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Habib Kairouz</w:t>
      </w:r>
    </w:p>
    <w:p>
      <w:pPr>
        <w:ind w:left="34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/s/Habib Kairouz</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Habib Kairouz</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Joshua Ruch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Joshua Ruch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Mark Leschly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Mark Leschly</w:t>
      </w: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0440"/>
      </w:cols>
      <w:pgMar w:left="320" w:top="69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abstractNum>
  <w:abstractNum w:abstractNumId="1">
    <w:nsid w:val="41A7C4C9"/>
    <w:multiLevelType w:val="hybridMultilevel"/>
    <w:lvl w:ilvl="0">
      <w:lvlJc w:val="left"/>
      <w:lvlText w:val="%1."/>
      <w:numFmt w:val="decimal"/>
      <w:start w:val="1"/>
    </w:lvl>
    <w:lvl w:ilvl="1">
      <w:lvlJc w:val="left"/>
      <w:lvlText w:val="(%2)"/>
      <w:numFmt w:val="lowerLetter"/>
      <w:start w:val="1"/>
    </w:lvl>
  </w:abstractNum>
  <w:abstractNum w:abstractNumId="2">
    <w:nsid w:val="6B68079A"/>
    <w:multiLevelType w:val="hybridMultilevel"/>
    <w:lvl w:ilvl="0">
      <w:lvlJc w:val="left"/>
      <w:lvlText w:val="%1."/>
      <w:numFmt w:val="decimal"/>
      <w:start w:val="5"/>
    </w:lvl>
  </w:abstractNum>
  <w:abstractNum w:abstractNumId="3">
    <w:nsid w:val="4E6AFB66"/>
    <w:multiLevelType w:val="hybridMultilevel"/>
    <w:lvl w:ilvl="0">
      <w:lvlJc w:val="left"/>
      <w:lvlText w:val="%1."/>
      <w:numFmt w:val="decimal"/>
      <w:start w:val="9"/>
    </w:lvl>
  </w:abstractNum>
  <w:abstractNum w:abstractNumId="4">
    <w:nsid w:val="25E45D32"/>
    <w:multiLevelType w:val="hybridMultilevel"/>
    <w:lvl w:ilvl="0">
      <w:lvlJc w:val="left"/>
      <w:lvlText w:val="%1."/>
      <w:numFmt w:val="decimal"/>
      <w:start w:val="11"/>
    </w:lvl>
    <w:lvl w:ilvl="1">
      <w:lvlJc w:val="left"/>
      <w:lvlText w:val="(%2)"/>
      <w:numFmt w:val="decimal"/>
      <w:start w:val="1"/>
    </w:lvl>
  </w:abstractNum>
  <w:abstractNum w:abstractNumId="5">
    <w:nsid w:val="519B500D"/>
    <w:multiLevelType w:val="hybridMultilevel"/>
    <w:lvl w:ilvl="0">
      <w:lvlJc w:val="left"/>
      <w:lvlText w:val="%1."/>
      <w:numFmt w:val="decimal"/>
      <w:start w:val="1"/>
    </w:lvl>
    <w:lvl w:ilvl="1">
      <w:lvlJc w:val="left"/>
      <w:lvlText w:val="(%2)"/>
      <w:numFmt w:val="lowerLetter"/>
      <w:start w:val="1"/>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9"/>
    </w:lvl>
  </w:abstractNum>
  <w:abstractNum w:abstractNumId="8">
    <w:nsid w:val="7C83E458"/>
    <w:multiLevelType w:val="hybridMultilevel"/>
    <w:lvl w:ilvl="0">
      <w:lvlJc w:val="left"/>
      <w:lvlText w:val="%1."/>
      <w:numFmt w:val="decimal"/>
      <w:start w:val="11"/>
    </w:lvl>
    <w:lvl w:ilvl="1">
      <w:lvlJc w:val="left"/>
      <w:lvlText w:val="(%2)"/>
      <w:numFmt w:val="decimal"/>
      <w:start w:val="1"/>
    </w:lvl>
  </w:abstractNum>
  <w:abstractNum w:abstractNumId="9">
    <w:nsid w:val="257130A3"/>
    <w:multiLevelType w:val="hybridMultilevel"/>
    <w:lvl w:ilvl="0">
      <w:lvlJc w:val="left"/>
      <w:lvlText w:val="%1."/>
      <w:numFmt w:val="decimal"/>
      <w:start w:val="1"/>
    </w:lvl>
    <w:lvl w:ilvl="1">
      <w:lvlJc w:val="left"/>
      <w:lvlText w:val="(%2)"/>
      <w:numFmt w:val="lowerLetter"/>
      <w:start w:val="1"/>
    </w:lvl>
  </w:abstractNum>
  <w:abstractNum w:abstractNumId="10">
    <w:nsid w:val="62BBD95A"/>
    <w:multiLevelType w:val="hybridMultilevel"/>
    <w:lvl w:ilvl="0">
      <w:lvlJc w:val="left"/>
      <w:lvlText w:val="%1."/>
      <w:numFmt w:val="decimal"/>
      <w:start w:val="5"/>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1"/>
    </w:lvl>
    <w:lvl w:ilvl="1">
      <w:lvlJc w:val="left"/>
      <w:lvlText w:val="(%2)"/>
      <w:numFmt w:val="decimal"/>
      <w:start w:val="1"/>
    </w:lvl>
  </w:abstractNum>
  <w:abstractNum w:abstractNumId="13">
    <w:nsid w:val="333AB105"/>
    <w:multiLevelType w:val="hybridMultilevel"/>
    <w:lvl w:ilvl="0">
      <w:lvlJc w:val="left"/>
      <w:lvlText w:val="%1."/>
      <w:numFmt w:val="decimal"/>
      <w:start w:val="1"/>
    </w:lvl>
    <w:lvl w:ilvl="1">
      <w:lvlJc w:val="left"/>
      <w:lvlText w:val="(%2)"/>
      <w:numFmt w:val="lowerLetter"/>
      <w:start w:val="1"/>
    </w:lvl>
  </w:abstractNum>
  <w:abstractNum w:abstractNumId="14">
    <w:nsid w:val="721DA317"/>
    <w:multiLevelType w:val="hybridMultilevel"/>
    <w:lvl w:ilvl="0">
      <w:lvlJc w:val="left"/>
      <w:lvlText w:val="%1."/>
      <w:numFmt w:val="decimal"/>
      <w:start w:val="5"/>
    </w:lvl>
  </w:abstractNum>
  <w:abstractNum w:abstractNumId="15">
    <w:nsid w:val="2443A858"/>
    <w:multiLevelType w:val="hybridMultilevel"/>
    <w:lvl w:ilvl="0">
      <w:lvlJc w:val="left"/>
      <w:lvlText w:val="%1."/>
      <w:numFmt w:val="decimal"/>
      <w:start w:val="9"/>
    </w:lvl>
  </w:abstractNum>
  <w:abstractNum w:abstractNumId="16">
    <w:nsid w:val="2D1D5AE9"/>
    <w:multiLevelType w:val="hybridMultilevel"/>
    <w:lvl w:ilvl="0">
      <w:lvlJc w:val="left"/>
      <w:lvlText w:val="%1."/>
      <w:numFmt w:val="decimal"/>
      <w:start w:val="11"/>
    </w:lvl>
    <w:lvl w:ilvl="1">
      <w:lvlJc w:val="left"/>
      <w:lvlText w:val="(%2)"/>
      <w:numFmt w:val="decimal"/>
      <w:start w:val="1"/>
    </w:lvl>
  </w:abstractNum>
  <w:abstractNum w:abstractNumId="17">
    <w:nsid w:val="6763845E"/>
    <w:multiLevelType w:val="hybridMultilevel"/>
    <w:lvl w:ilvl="0">
      <w:lvlJc w:val="left"/>
      <w:lvlText w:val="%1."/>
      <w:numFmt w:val="decimal"/>
      <w:start w:val="1"/>
    </w:lvl>
    <w:lvl w:ilvl="1">
      <w:lvlJc w:val="left"/>
      <w:lvlText w:val="(%2)"/>
      <w:numFmt w:val="lowerLetter"/>
      <w:start w:val="1"/>
    </w:lvl>
  </w:abstractNum>
  <w:abstractNum w:abstractNumId="18">
    <w:nsid w:val="75A2A8D4"/>
    <w:multiLevelType w:val="hybridMultilevel"/>
    <w:lvl w:ilvl="0">
      <w:lvlJc w:val="left"/>
      <w:lvlText w:val="%1."/>
      <w:numFmt w:val="decimal"/>
      <w:start w:val="9"/>
    </w:lvl>
  </w:abstractNum>
  <w:abstractNum w:abstractNumId="19">
    <w:nsid w:val="8EDBDAB"/>
    <w:multiLevelType w:val="hybridMultilevel"/>
    <w:lvl w:ilvl="0">
      <w:lvlJc w:val="left"/>
      <w:lvlText w:val="%1."/>
      <w:numFmt w:val="decimal"/>
      <w:start w:val="11"/>
    </w:lvl>
    <w:lvl w:ilvl="1">
      <w:lvlJc w:val="left"/>
      <w:lvlText w:val="(%2)"/>
      <w:numFmt w:val="decimal"/>
      <w:start w:val="1"/>
    </w:lvl>
  </w:abstractNum>
  <w:abstractNum w:abstractNumId="20">
    <w:nsid w:val="79838CB2"/>
    <w:multiLevelType w:val="hybridMultilevel"/>
    <w:lvl w:ilvl="0">
      <w:lvlJc w:val="left"/>
      <w:lvlText w:val="%1."/>
      <w:numFmt w:val="decimal"/>
      <w:start w:val="1"/>
    </w:lvl>
    <w:lvl w:ilvl="1">
      <w:lvlJc w:val="left"/>
      <w:lvlText w:val="(%2)"/>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decimal"/>
      <w:start w:val="9"/>
    </w:lvl>
  </w:abstractNum>
  <w:abstractNum w:abstractNumId="23">
    <w:nsid w:val="189A769B"/>
    <w:multiLevelType w:val="hybridMultilevel"/>
    <w:lvl w:ilvl="0">
      <w:lvlJc w:val="left"/>
      <w:lvlText w:val="%1."/>
      <w:numFmt w:val="decimal"/>
      <w:start w:val="11"/>
    </w:lvl>
    <w:lvl w:ilvl="1">
      <w:lvlJc w:val="left"/>
      <w:lvlText w:val="(%2)"/>
      <w:numFmt w:val="decimal"/>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9"/>
    </w:lvl>
  </w:abstractNum>
  <w:abstractNum w:abstractNumId="26">
    <w:nsid w:val="2CA88611"/>
    <w:multiLevelType w:val="hybridMultilevel"/>
    <w:lvl w:ilvl="0">
      <w:lvlJc w:val="left"/>
      <w:lvlText w:val="%1."/>
      <w:numFmt w:val="decimal"/>
      <w:start w:val="11"/>
    </w:lvl>
    <w:lvl w:ilvl="1">
      <w:lvlJc w:val="left"/>
      <w:lvlText w:val="(%2)"/>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2021-02-16T13:55:04Z</dcterms:created>
  <dcterms:modified xsi:type="dcterms:W3CDTF">2021-02-16T13:55:04Z</dcterms:modified>
</cp:coreProperties>
</file>