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26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26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Perlich Irene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NGM BIOPHARMACEUTICALS, INC. 333 OYSTER POINT BOULEVARD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NGM BIOPHARMACEUTICALS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NGM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PRINCIPAL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01/16/2024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8,975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by the issuer to satisfy the tax obligation realized in connection with the vesting of restricted stock units previously reported in Table 1.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Valerie Pierce,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01/18/2024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00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989954" TargetMode="External"/><Relationship Id="rId13" Type="http://schemas.openxmlformats.org/officeDocument/2006/relationships/hyperlink" Target="http://www.sec.gov/cgi-bin/browse-edgar?action=getcompany&amp;CIK=000142633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2024-01-18T17:04:42Z</dcterms:created>
  <dcterms:modified xsi:type="dcterms:W3CDTF">2024-01-18T17:04:42Z</dcterms:modified>
</cp:coreProperties>
</file>