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Svennilson Peter</w:t>
              </w:r>
            </w:hyperlink>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line="205"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38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1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03/31/2020</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40" w:type="dxa"/>
            <w:vAlign w:val="bottom"/>
            <w:tcBorders>
              <w:top w:val="single" w:sz="8" w:color="9A9A9A"/>
            </w:tcBorders>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0"/>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40" w:type="dxa"/>
            <w:vAlign w:val="bottom"/>
          </w:tcPr>
          <w:p>
            <w:pPr>
              <w:spacing w:after="0"/>
              <w:rPr>
                <w:sz w:val="20"/>
                <w:szCs w:val="20"/>
                <w:color w:val="auto"/>
              </w:rPr>
            </w:pPr>
          </w:p>
        </w:tc>
        <w:tc>
          <w:tcPr>
            <w:tcW w:w="1220" w:type="dxa"/>
            <w:vAlign w:val="bottom"/>
            <w:gridSpan w:val="2"/>
            <w:vMerge w:val="restart"/>
          </w:tcPr>
          <w:p>
            <w:pPr>
              <w:ind w:left="52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color w:val="auto"/>
              </w:rPr>
              <w:t>Person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jc w:val="center"/>
              <w:ind w:left="23"/>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4080" w:type="dxa"/>
            <w:vAlign w:val="bottom"/>
            <w:tcBorders>
              <w:bottom w:val="single" w:sz="8" w:color="2C2C2C"/>
            </w:tcBorders>
            <w:gridSpan w:val="11"/>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8"/>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1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center"/>
              <w:ind w:left="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center"/>
              <w:ind w:left="23"/>
              <w:spacing w:after="0"/>
              <w:rPr>
                <w:sz w:val="20"/>
                <w:szCs w:val="20"/>
                <w:color w:val="auto"/>
              </w:rPr>
            </w:pPr>
            <w:r>
              <w:rPr>
                <w:rFonts w:ascii="Arial" w:cs="Arial" w:eastAsia="Arial" w:hAnsi="Arial"/>
                <w:sz w:val="17"/>
                <w:szCs w:val="17"/>
                <w:color w:val="0000FF"/>
                <w:w w:val="93"/>
              </w:rPr>
              <w:t>03/31/2020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7"/>
                <w:szCs w:val="17"/>
                <w:color w:val="0000FF"/>
              </w:rPr>
              <w:t>118,067</w:t>
            </w:r>
            <w:r>
              <w:rPr>
                <w:rFonts w:ascii="Arial" w:cs="Arial" w:eastAsia="Arial" w:hAnsi="Arial"/>
                <w:sz w:val="22"/>
                <w:szCs w:val="22"/>
                <w:color w:val="008000"/>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12.53</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17,323,144</w:t>
            </w:r>
          </w:p>
        </w:tc>
        <w:tc>
          <w:tcPr>
            <w:tcW w:w="36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center"/>
              <w:ind w:left="23"/>
              <w:spacing w:after="0"/>
              <w:rPr>
                <w:sz w:val="20"/>
                <w:szCs w:val="20"/>
                <w:color w:val="auto"/>
              </w:rPr>
            </w:pPr>
            <w:r>
              <w:rPr>
                <w:rFonts w:ascii="Arial" w:cs="Arial" w:eastAsia="Arial" w:hAnsi="Arial"/>
                <w:sz w:val="17"/>
                <w:szCs w:val="17"/>
                <w:color w:val="0000FF"/>
                <w:w w:val="93"/>
              </w:rPr>
              <w:t>04/01/2020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7"/>
                <w:szCs w:val="17"/>
                <w:color w:val="0000FF"/>
              </w:rPr>
              <w:t>118,067</w:t>
            </w:r>
            <w:r>
              <w:rPr>
                <w:rFonts w:ascii="Arial" w:cs="Arial" w:eastAsia="Arial" w:hAnsi="Arial"/>
                <w:sz w:val="22"/>
                <w:szCs w:val="22"/>
                <w:color w:val="008000"/>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12.26</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9"/>
              </w:rPr>
              <w:t>17,441,211</w:t>
            </w:r>
          </w:p>
        </w:tc>
        <w:tc>
          <w:tcPr>
            <w:tcW w:w="36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jc w:val="center"/>
              <w:ind w:left="23"/>
              <w:spacing w:after="0"/>
              <w:rPr>
                <w:sz w:val="20"/>
                <w:szCs w:val="20"/>
                <w:color w:val="auto"/>
              </w:rPr>
            </w:pPr>
            <w:r>
              <w:rPr>
                <w:rFonts w:ascii="Arial" w:cs="Arial" w:eastAsia="Arial" w:hAnsi="Arial"/>
                <w:sz w:val="17"/>
                <w:szCs w:val="17"/>
                <w:color w:val="0000FF"/>
                <w:w w:val="93"/>
              </w:rPr>
              <w:t>04/02/2020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7"/>
                <w:szCs w:val="17"/>
                <w:color w:val="0000FF"/>
                <w:w w:val="99"/>
              </w:rPr>
              <w:t>14,850</w:t>
            </w:r>
            <w:r>
              <w:rPr>
                <w:rFonts w:ascii="Arial" w:cs="Arial" w:eastAsia="Arial" w:hAnsi="Arial"/>
                <w:sz w:val="22"/>
                <w:szCs w:val="22"/>
                <w:color w:val="008000"/>
                <w:w w:val="99"/>
                <w:vertAlign w:val="superscript"/>
              </w:rPr>
              <w:t>(10)</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12.4</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6"/>
              </w:rPr>
              <w:t>17,456,061</w:t>
            </w:r>
            <w:r>
              <w:rPr>
                <w:rFonts w:ascii="Arial" w:cs="Arial" w:eastAsia="Arial" w:hAnsi="Arial"/>
                <w:sz w:val="22"/>
                <w:szCs w:val="22"/>
                <w:color w:val="008000"/>
                <w:w w:val="86"/>
                <w:vertAlign w:val="superscript"/>
              </w:rPr>
              <w:t>(11)</w:t>
            </w:r>
          </w:p>
        </w:tc>
        <w:tc>
          <w:tcPr>
            <w:tcW w:w="36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2"/>
              </w:rPr>
              <w:t>20,000</w:t>
            </w:r>
          </w:p>
        </w:tc>
        <w:tc>
          <w:tcPr>
            <w:tcW w:w="36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D</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4080" w:type="dxa"/>
            <w:vAlign w:val="bottom"/>
            <w:tcBorders>
              <w:bottom w:val="single" w:sz="8" w:color="2C2C2C"/>
            </w:tcBorders>
            <w:gridSpan w:val="11"/>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4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ind w:left="2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6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3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4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-3897630</wp:posOffset>
            </wp:positionV>
            <wp:extent cx="7031355" cy="3943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943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55,448 shares held directly by The Column Group III, LP ("TCG III LP") and 62,619 shares held directly by The Column Group III-A, LP ("TCG III-A LP").</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6,974 shares held directly by TCG III LP and 7,876 shares held directly by TCG III-A LP.</w:t>
      </w:r>
    </w:p>
    <w:p>
      <w:pPr>
        <w:spacing w:after="0" w:line="50" w:lineRule="exact"/>
        <w:rPr>
          <w:rFonts w:ascii="Arial" w:cs="Arial" w:eastAsia="Arial" w:hAnsi="Arial"/>
          <w:sz w:val="13"/>
          <w:szCs w:val="13"/>
          <w:color w:val="008000"/>
        </w:rPr>
      </w:pPr>
    </w:p>
    <w:p>
      <w:pPr>
        <w:ind w:left="40" w:right="180" w:firstLine="7"/>
        <w:spacing w:after="0" w:line="245"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605,431 shares of Common Stock held directly by TCG III LP and 683,723 shares of Common Stock held directly by TCG III-A LP. The Reporting Person disclaims beneficial ownership of the securities except to the extent of his pecuniary interest therein.</w:t>
      </w:r>
    </w:p>
    <w:p>
      <w:pPr>
        <w:sectPr>
          <w:pgSz w:w="11900" w:h="16838" w:orient="portrait"/>
          <w:cols w:equalWidth="0" w:num="1">
            <w:col w:w="11080"/>
          </w:cols>
          <w:pgMar w:left="460" w:top="225" w:right="359" w:bottom="0" w:gutter="0" w:footer="0" w:header="0"/>
          <w:type w:val="continuous"/>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04/02/2020</w:t>
            </w:r>
          </w:p>
        </w:tc>
      </w:tr>
      <w:tr>
        <w:trPr>
          <w:trHeight w:val="193"/>
        </w:trPr>
        <w:tc>
          <w:tcPr>
            <w:tcW w:w="118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607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2020-04-02T17:17:25Z</dcterms:created>
  <dcterms:modified xsi:type="dcterms:W3CDTF">2020-04-02T17:17:25Z</dcterms:modified>
</cp:coreProperties>
</file>