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8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GOEDDEL DAVID V</w:t>
              </w:r>
            </w:hyperlink>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line="205"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180" w:type="dxa"/>
            <w:vAlign w:val="bottom"/>
            <w:gridSpan w:val="2"/>
            <w:vMerge w:val="continue"/>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4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22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38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04/08/2020</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2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580" w:type="dxa"/>
            <w:vAlign w:val="bottom"/>
            <w:tcBorders>
              <w:top w:val="single" w:sz="8" w:color="9A9A9A"/>
            </w:tcBorders>
          </w:tcPr>
          <w:p>
            <w:pPr>
              <w:spacing w:after="0"/>
              <w:rPr>
                <w:sz w:val="12"/>
                <w:szCs w:val="12"/>
                <w:color w:val="auto"/>
              </w:rPr>
            </w:pPr>
          </w:p>
        </w:tc>
        <w:tc>
          <w:tcPr>
            <w:tcW w:w="52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10"/>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20" w:type="dxa"/>
            <w:vAlign w:val="bottom"/>
          </w:tcPr>
          <w:p>
            <w:pPr>
              <w:spacing w:after="0"/>
              <w:rPr>
                <w:sz w:val="20"/>
                <w:szCs w:val="20"/>
                <w:color w:val="auto"/>
              </w:rPr>
            </w:pPr>
          </w:p>
        </w:tc>
        <w:tc>
          <w:tcPr>
            <w:tcW w:w="1220" w:type="dxa"/>
            <w:vAlign w:val="bottom"/>
            <w:gridSpan w:val="2"/>
            <w:vMerge w:val="restart"/>
          </w:tcPr>
          <w:p>
            <w:pPr>
              <w:ind w:left="540"/>
              <w:spacing w:after="0"/>
              <w:rPr>
                <w:sz w:val="20"/>
                <w:szCs w:val="20"/>
                <w:color w:val="auto"/>
              </w:rPr>
            </w:pPr>
            <w:r>
              <w:rPr>
                <w:rFonts w:ascii="Arial" w:cs="Arial" w:eastAsia="Arial" w:hAnsi="Arial"/>
                <w:sz w:val="17"/>
                <w:szCs w:val="17"/>
                <w:color w:val="0000FF"/>
              </w:rPr>
              <w:t>94158</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4080" w:type="dxa"/>
            <w:vAlign w:val="bottom"/>
            <w:tcBorders>
              <w:bottom w:val="single" w:sz="8" w:color="2C2C2C"/>
            </w:tcBorders>
            <w:gridSpan w:val="11"/>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18"/>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0" w:type="dxa"/>
            <w:vAlign w:val="bottom"/>
            <w:tcBorders>
              <w:bottom w:val="single" w:sz="8" w:color="2C2C2C"/>
            </w:tcBorders>
            <w:gridSpan w:val="5"/>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640" w:type="dxa"/>
            <w:vAlign w:val="bottom"/>
          </w:tcPr>
          <w:p>
            <w:pPr>
              <w:ind w:left="320"/>
              <w:spacing w:after="0"/>
              <w:rPr>
                <w:sz w:val="20"/>
                <w:szCs w:val="20"/>
                <w:color w:val="auto"/>
              </w:rPr>
            </w:pPr>
            <w:r>
              <w:rPr>
                <w:rFonts w:ascii="Arial" w:cs="Arial" w:eastAsia="Arial" w:hAnsi="Arial"/>
                <w:sz w:val="12"/>
                <w:szCs w:val="12"/>
                <w:b w:val="1"/>
                <w:bCs w:val="1"/>
                <w:color w:val="auto"/>
              </w:rPr>
              <w:t>6.</w:t>
            </w:r>
          </w:p>
        </w:tc>
        <w:tc>
          <w:tcPr>
            <w:tcW w:w="500" w:type="dxa"/>
            <w:vAlign w:val="bottom"/>
          </w:tcPr>
          <w:p>
            <w:pPr>
              <w:spacing w:after="0"/>
              <w:rPr>
                <w:sz w:val="15"/>
                <w:szCs w:val="15"/>
                <w:color w:val="auto"/>
              </w:rPr>
            </w:pPr>
          </w:p>
        </w:tc>
        <w:tc>
          <w:tcPr>
            <w:tcW w:w="200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1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8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1140" w:type="dxa"/>
            <w:vAlign w:val="bottom"/>
            <w:gridSpan w:val="2"/>
          </w:tcPr>
          <w:p>
            <w:pPr>
              <w:ind w:left="320"/>
              <w:spacing w:after="0" w:line="131" w:lineRule="exact"/>
              <w:rPr>
                <w:sz w:val="20"/>
                <w:szCs w:val="20"/>
                <w:color w:val="auto"/>
              </w:rPr>
            </w:pPr>
            <w:r>
              <w:rPr>
                <w:rFonts w:ascii="Arial" w:cs="Arial" w:eastAsia="Arial" w:hAnsi="Arial"/>
                <w:sz w:val="12"/>
                <w:szCs w:val="12"/>
                <w:b w:val="1"/>
                <w:bCs w:val="1"/>
                <w:color w:val="auto"/>
              </w:rPr>
              <w:t>Ownership</w:t>
            </w:r>
          </w:p>
        </w:tc>
        <w:tc>
          <w:tcPr>
            <w:tcW w:w="12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Form: Direct</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74"/>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8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1140" w:type="dxa"/>
            <w:vAlign w:val="bottom"/>
            <w:gridSpan w:val="2"/>
            <w:vMerge w:val="restart"/>
          </w:tcPr>
          <w:p>
            <w:pPr>
              <w:ind w:left="320"/>
              <w:spacing w:after="0" w:line="133" w:lineRule="exact"/>
              <w:rPr>
                <w:sz w:val="20"/>
                <w:szCs w:val="20"/>
                <w:color w:val="auto"/>
              </w:rPr>
            </w:pPr>
            <w:r>
              <w:rPr>
                <w:rFonts w:ascii="Arial" w:cs="Arial" w:eastAsia="Arial" w:hAnsi="Arial"/>
                <w:sz w:val="12"/>
                <w:szCs w:val="12"/>
                <w:b w:val="1"/>
                <w:bCs w:val="1"/>
                <w:color w:val="auto"/>
              </w:rPr>
              <w:t>Indirect (I)</w:t>
            </w:r>
          </w:p>
        </w:tc>
        <w:tc>
          <w:tcPr>
            <w:tcW w:w="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(A)</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11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(Instr. 4)</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(D)</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4"/>
          </w:tcPr>
          <w:p>
            <w:pPr>
              <w:ind w:left="8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gridSpan w:val="2"/>
          </w:tcPr>
          <w:p>
            <w:pPr>
              <w:ind w:left="280"/>
              <w:spacing w:after="0"/>
              <w:rPr>
                <w:sz w:val="20"/>
                <w:szCs w:val="20"/>
                <w:color w:val="auto"/>
              </w:rPr>
            </w:pPr>
            <w:r>
              <w:rPr>
                <w:rFonts w:ascii="Arial" w:cs="Arial" w:eastAsia="Arial" w:hAnsi="Arial"/>
                <w:sz w:val="17"/>
                <w:szCs w:val="17"/>
                <w:color w:val="0000FF"/>
              </w:rPr>
              <w:t>04/08/2020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ind w:left="20"/>
              <w:spacing w:after="0"/>
              <w:rPr>
                <w:sz w:val="20"/>
                <w:szCs w:val="20"/>
                <w:color w:val="auto"/>
              </w:rPr>
            </w:pPr>
            <w:r>
              <w:rPr>
                <w:rFonts w:ascii="Arial" w:cs="Arial" w:eastAsia="Arial" w:hAnsi="Arial"/>
                <w:sz w:val="17"/>
                <w:szCs w:val="17"/>
                <w:color w:val="0000FF"/>
              </w:rPr>
              <w:t>112,602</w:t>
            </w:r>
            <w:r>
              <w:rPr>
                <w:rFonts w:ascii="Arial" w:cs="Arial" w:eastAsia="Arial" w:hAnsi="Arial"/>
                <w:sz w:val="22"/>
                <w:szCs w:val="22"/>
                <w:color w:val="008000"/>
                <w:vertAlign w:val="superscript"/>
              </w:rPr>
              <w:t>(1)</w:t>
            </w:r>
          </w:p>
        </w:tc>
        <w:tc>
          <w:tcPr>
            <w:tcW w:w="400" w:type="dxa"/>
            <w:vAlign w:val="bottom"/>
          </w:tcPr>
          <w:p>
            <w:pPr>
              <w:ind w:left="8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14.95</w:t>
            </w:r>
          </w:p>
        </w:tc>
        <w:tc>
          <w:tcPr>
            <w:tcW w:w="1520" w:type="dxa"/>
            <w:vAlign w:val="bottom"/>
            <w:gridSpan w:val="4"/>
          </w:tcPr>
          <w:p>
            <w:pPr>
              <w:ind w:left="120"/>
              <w:spacing w:after="0"/>
              <w:rPr>
                <w:sz w:val="20"/>
                <w:szCs w:val="20"/>
                <w:color w:val="auto"/>
              </w:rPr>
            </w:pPr>
            <w:r>
              <w:rPr>
                <w:rFonts w:ascii="Arial" w:cs="Arial" w:eastAsia="Arial" w:hAnsi="Arial"/>
                <w:sz w:val="17"/>
                <w:szCs w:val="17"/>
                <w:color w:val="0000FF"/>
              </w:rPr>
              <w:t>17,896,978</w:t>
            </w:r>
            <w:r>
              <w:rPr>
                <w:rFonts w:ascii="Arial" w:cs="Arial" w:eastAsia="Arial" w:hAnsi="Arial"/>
                <w:sz w:val="22"/>
                <w:szCs w:val="22"/>
                <w:color w:val="008000"/>
                <w:vertAlign w:val="superscript"/>
              </w:rPr>
              <w:t>(2)</w:t>
            </w:r>
          </w:p>
        </w:tc>
        <w:tc>
          <w:tcPr>
            <w:tcW w:w="500" w:type="dxa"/>
            <w:vAlign w:val="bottom"/>
          </w:tcPr>
          <w:p>
            <w:pPr>
              <w:spacing w:after="0"/>
              <w:rPr>
                <w:sz w:val="20"/>
                <w:szCs w:val="20"/>
                <w:color w:val="auto"/>
              </w:rPr>
            </w:pPr>
            <w:r>
              <w:rPr>
                <w:rFonts w:ascii="Arial" w:cs="Arial" w:eastAsia="Arial" w:hAnsi="Arial"/>
                <w:sz w:val="17"/>
                <w:szCs w:val="17"/>
                <w:color w:val="0000FF"/>
              </w:rPr>
              <w:t>I</w:t>
            </w:r>
          </w:p>
        </w:tc>
        <w:tc>
          <w:tcPr>
            <w:tcW w:w="200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89"/>
                <w:vertAlign w:val="subscript"/>
              </w:rPr>
              <w:t>See Footnotes</w:t>
            </w:r>
            <w:r>
              <w:rPr>
                <w:rFonts w:ascii="Arial" w:cs="Arial" w:eastAsia="Arial" w:hAnsi="Arial"/>
                <w:sz w:val="11"/>
                <w:szCs w:val="11"/>
                <w:color w:val="008000"/>
                <w:w w:val="89"/>
              </w:rPr>
              <w:t>(3)(4)(5)(6)(7)(8)</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ind w:left="20"/>
              <w:spacing w:after="0"/>
              <w:rPr>
                <w:sz w:val="20"/>
                <w:szCs w:val="20"/>
                <w:color w:val="auto"/>
              </w:rPr>
            </w:pPr>
            <w:r>
              <w:rPr>
                <w:rFonts w:ascii="Arial" w:cs="Arial" w:eastAsia="Arial" w:hAnsi="Arial"/>
                <w:sz w:val="11"/>
                <w:szCs w:val="11"/>
                <w:color w:val="008000"/>
              </w:rPr>
              <w:t>(9)(10)</w:t>
            </w: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4080" w:type="dxa"/>
            <w:vAlign w:val="bottom"/>
            <w:tcBorders>
              <w:bottom w:val="single" w:sz="8" w:color="2C2C2C"/>
            </w:tcBorders>
            <w:gridSpan w:val="11"/>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80" w:type="dxa"/>
            <w:vAlign w:val="bottom"/>
            <w:gridSpan w:val="15"/>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Owned</w:t>
            </w: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(A)</w:t>
            </w:r>
          </w:p>
        </w:tc>
        <w:tc>
          <w:tcPr>
            <w:tcW w:w="360" w:type="dxa"/>
            <w:vAlign w:val="bottom"/>
          </w:tcPr>
          <w:p>
            <w:pPr>
              <w:ind w:left="180"/>
              <w:spacing w:after="0"/>
              <w:rPr>
                <w:sz w:val="20"/>
                <w:szCs w:val="20"/>
                <w:color w:val="auto"/>
              </w:rPr>
            </w:pPr>
            <w:r>
              <w:rPr>
                <w:rFonts w:ascii="Arial" w:cs="Arial" w:eastAsia="Arial" w:hAnsi="Arial"/>
                <w:sz w:val="12"/>
                <w:szCs w:val="12"/>
                <w:b w:val="1"/>
                <w:bCs w:val="1"/>
                <w:color w:val="auto"/>
                <w:w w:val="95"/>
              </w:rPr>
              <w:t>(D)</w:t>
            </w:r>
          </w:p>
        </w:tc>
        <w:tc>
          <w:tcPr>
            <w:tcW w:w="1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8"/>
              </w:rPr>
              <w:t>Exercisable</w:t>
            </w:r>
          </w:p>
        </w:tc>
        <w:tc>
          <w:tcPr>
            <w:tcW w:w="400" w:type="dxa"/>
            <w:vAlign w:val="bottom"/>
          </w:tcPr>
          <w:p>
            <w:pPr>
              <w:ind w:left="140"/>
              <w:spacing w:after="0"/>
              <w:rPr>
                <w:sz w:val="20"/>
                <w:szCs w:val="20"/>
                <w:color w:val="auto"/>
              </w:rPr>
            </w:pPr>
            <w:r>
              <w:rPr>
                <w:rFonts w:ascii="Arial" w:cs="Arial" w:eastAsia="Arial" w:hAnsi="Arial"/>
                <w:sz w:val="12"/>
                <w:szCs w:val="12"/>
                <w:b w:val="1"/>
                <w:bCs w:val="1"/>
                <w:color w:val="auto"/>
                <w:w w:val="92"/>
              </w:rPr>
              <w:t>Date</w:t>
            </w:r>
          </w:p>
        </w:tc>
        <w:tc>
          <w:tcPr>
            <w:tcW w:w="420" w:type="dxa"/>
            <w:vAlign w:val="bottom"/>
          </w:tcPr>
          <w:p>
            <w:pPr>
              <w:spacing w:after="0"/>
              <w:rPr>
                <w:sz w:val="13"/>
                <w:szCs w:val="13"/>
                <w:color w:val="auto"/>
              </w:rPr>
            </w:pPr>
          </w:p>
        </w:tc>
        <w:tc>
          <w:tcPr>
            <w:tcW w:w="42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-3051175</wp:posOffset>
            </wp:positionV>
            <wp:extent cx="7031355" cy="3096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0968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52,882 shares held directly by The Column Group III, LP ("TCG III LP") and 59,720 shares held directly by The Column Group III-A, LP ("TCG III-A LP").</w:t>
      </w:r>
    </w:p>
    <w:p>
      <w:pPr>
        <w:spacing w:after="0" w:line="50" w:lineRule="exact"/>
        <w:rPr>
          <w:rFonts w:ascii="Arial" w:cs="Arial" w:eastAsia="Arial" w:hAnsi="Arial"/>
          <w:sz w:val="13"/>
          <w:szCs w:val="13"/>
          <w:color w:val="008000"/>
        </w:rPr>
      </w:pPr>
    </w:p>
    <w:p>
      <w:pPr>
        <w:ind w:left="40" w:right="14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The Column Group, LP ("TCG LP"), 2,265,758 shares of Common Stock held directly by The Column Group II, LP ("TCG II LP"), 100,000 shares of Common Stock held directly by The Column Group GP, LP ("TCG GP"), 100,000 shares of Common Stock held directly by The Column Group Management, LP ("TCGM LP"), 1,298,908 shares of Common Stock held directly by Ponoi LP, 1,298,908 shares of Common Stock held directly by Ponoi II LP, 723,271 shares of Common Stock held directly by TCG III LP, 816,800 shares of Common Stock held directly by TCG III-A LP and 190,000 shares held in trust for which David V. Goeddel and Alena Z. Goeddel serve as co-trustees. The Reporting Person disclaims beneficial ownership of the securities except to the extent of his pecuniary interest therein.</w:t>
      </w:r>
    </w:p>
    <w:p>
      <w:pPr>
        <w:spacing w:after="0" w:line="29"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40" w:right="3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The Column Group III GP, LP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04/09/2020</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6540" w:type="dxa"/>
            <w:vAlign w:val="bottom"/>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540" w:type="dxa"/>
            <w:vAlign w:val="bottom"/>
          </w:tcPr>
          <w:p>
            <w:pPr>
              <w:spacing w:after="0"/>
              <w:rPr>
                <w:sz w:val="20"/>
                <w:szCs w:val="20"/>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2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246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2020-04-09T16:56:47Z</dcterms:created>
  <dcterms:modified xsi:type="dcterms:W3CDTF">2020-04-09T16:56:47Z</dcterms:modified>
</cp:coreProperties>
</file>