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65"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01/23/2023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8" w:lineRule="exact"/>
        <w:rPr>
          <w:sz w:val="24"/>
          <w:szCs w:val="24"/>
          <w:color w:val="auto"/>
        </w:rPr>
      </w:pPr>
    </w:p>
    <w:p>
      <w:pPr>
        <w:sectPr>
          <w:pgSz w:w="11900" w:h="16838" w:orient="portrait"/>
          <w:cols w:equalWidth="0" w:num="3">
            <w:col w:w="3200" w:space="720"/>
            <w:col w:w="3540" w:space="2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10"/>
            <w:vMerge w:val="continue"/>
          </w:tcPr>
          <w:p>
            <w:pPr>
              <w:spacing w:after="0" w:line="20" w:lineRule="exact"/>
              <w:rPr>
                <w:sz w:val="1"/>
                <w:szCs w:val="1"/>
                <w:color w:val="auto"/>
              </w:rPr>
            </w:pPr>
          </w:p>
        </w:tc>
        <w:tc>
          <w:tcPr>
            <w:tcW w:w="3640" w:type="dxa"/>
            <w:vAlign w:val="bottom"/>
            <w:gridSpan w:val="10"/>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80" w:type="dxa"/>
            <w:vAlign w:val="bottom"/>
            <w:gridSpan w:val="10"/>
            <w:vMerge w:val="continue"/>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gridSpan w:val="4"/>
            <w:vMerge w:val="restart"/>
          </w:tcPr>
          <w:p>
            <w:pPr>
              <w:ind w:left="4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4"/>
                <w:szCs w:val="1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1"/>
              </w:rPr>
              <w:t>X</w:t>
            </w: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302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2840" w:type="dxa"/>
            <w:vAlign w:val="bottom"/>
            <w:tcBorders>
              <w:bottom w:val="single" w:sz="8" w:color="2C2C2C"/>
            </w:tcBorders>
            <w:gridSpan w:val="7"/>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1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40" w:type="dxa"/>
            <w:vAlign w:val="bottom"/>
            <w:tcBorders>
              <w:top w:val="single" w:sz="8" w:color="2C2C2C"/>
            </w:tcBorders>
            <w:gridSpan w:val="4"/>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40" w:type="dxa"/>
            <w:vAlign w:val="bottom"/>
            <w:vMerge w:val="restart"/>
          </w:tcPr>
          <w:p>
            <w:pPr>
              <w:spacing w:after="0"/>
              <w:rPr>
                <w:sz w:val="7"/>
                <w:szCs w:val="7"/>
                <w:color w:val="auto"/>
              </w:rPr>
            </w:pPr>
          </w:p>
        </w:tc>
        <w:tc>
          <w:tcPr>
            <w:tcW w:w="70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40" w:type="dxa"/>
            <w:vAlign w:val="bottom"/>
            <w:gridSpan w:val="4"/>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4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01/23/2023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9,900</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gridSpan w:val="2"/>
            <w:vMerge w:val="restart"/>
          </w:tcPr>
          <w:p>
            <w:pPr>
              <w:ind w:left="20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4.9994</w:t>
            </w:r>
            <w:r>
              <w:rPr>
                <w:rFonts w:ascii="Times New Roman" w:cs="Times New Roman" w:eastAsia="Times New Roman" w:hAnsi="Times New Roman"/>
                <w:sz w:val="22"/>
                <w:szCs w:val="22"/>
                <w:color w:val="008000"/>
                <w:w w:val="98"/>
                <w:vertAlign w:val="superscript"/>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742,959</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2,650,177</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90,442</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6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000" w:type="dxa"/>
            <w:vAlign w:val="bottom"/>
            <w:tcBorders>
              <w:top w:val="single" w:sz="8" w:color="2C2C2C"/>
              <w:bottom w:val="single" w:sz="8" w:color="2C2C2C"/>
            </w:tcBorders>
            <w:gridSpan w:val="2"/>
          </w:tcPr>
          <w:p>
            <w:pPr>
              <w:jc w:val="center"/>
              <w:ind w:right="160"/>
              <w:spacing w:after="0"/>
              <w:rPr>
                <w:sz w:val="20"/>
                <w:szCs w:val="20"/>
                <w:color w:val="auto"/>
              </w:rPr>
            </w:pPr>
            <w:r>
              <w:rPr>
                <w:rFonts w:ascii="Times New Roman" w:cs="Times New Roman" w:eastAsia="Times New Roman" w:hAnsi="Times New Roman"/>
                <w:sz w:val="17"/>
                <w:szCs w:val="17"/>
                <w:color w:val="0000FF"/>
              </w:rPr>
              <w:t>11,103,333</w:t>
            </w:r>
          </w:p>
        </w:tc>
        <w:tc>
          <w:tcPr>
            <w:tcW w:w="920" w:type="dxa"/>
            <w:vAlign w:val="bottom"/>
            <w:tcBorders>
              <w:top w:val="single" w:sz="8" w:color="2C2C2C"/>
              <w:bottom w:val="single" w:sz="8" w:color="2C2C2C"/>
            </w:tcBorders>
            <w:gridSpan w:val="2"/>
          </w:tcPr>
          <w:p>
            <w:pPr>
              <w:jc w:val="center"/>
              <w:ind w:right="2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(6)</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858,035</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968,990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2,265,758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15,000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44,000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2745740</wp:posOffset>
            </wp:positionH>
            <wp:positionV relativeFrom="paragraph">
              <wp:posOffset>-140970</wp:posOffset>
            </wp:positionV>
            <wp:extent cx="4254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2545" cy="1052639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-140970</wp:posOffset>
            </wp:positionV>
            <wp:extent cx="42545"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545" cy="10526395"/>
                    </a:xfrm>
                    <a:prstGeom prst="rect">
                      <a:avLst/>
                    </a:prstGeom>
                    <a:noFill/>
                  </pic:spPr>
                </pic:pic>
              </a:graphicData>
            </a:graphic>
          </wp:anchor>
        </w:drawing>
      </w:r>
    </w:p>
    <w:p>
      <w:pPr>
        <w:ind w:left="10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81280</wp:posOffset>
            </wp:positionV>
            <wp:extent cx="267398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8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 LETTERMAN DRIVE</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BUILDING D, SUITE DM-900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100965</wp:posOffset>
            </wp:positionV>
            <wp:extent cx="267398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6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gridSpan w:val="5"/>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COLUMN GROUP GP,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SUITE 500</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6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gridSpan w:val="5"/>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COLUMN GROUP III,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BLDG. D, STE DM-900</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6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gridSpan w:val="5"/>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560" w:type="dxa"/>
            <w:vAlign w:val="bottom"/>
            <w:tcBorders>
              <w:bottom w:val="single" w:sz="8" w:color="0000EE"/>
            </w:tcBorders>
            <w:gridSpan w:val="6"/>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COLUMN GROUP III-A,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BLDG. D, STE, DM-900</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6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gridSpan w:val="5"/>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Column Group IV,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6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gridSpan w:val="5"/>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Column Group IV-A,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-8610600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-8610600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-7908290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-7908290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-7256780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-7256780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-6689725</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-6689725</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-5987415</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-5987415</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-5335905</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-5335905</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-4768850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-4768850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-4066540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-4066540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-3415030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-3415030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-2847975</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-2847975</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-2145665</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-2145665</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-1494155</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-1494155</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-927100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-927100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-224790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-224790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9979"/>
          </w:cols>
          <w:pgMar w:left="480" w:top="110" w:right="1440" w:bottom="0" w:gutter="0" w:footer="0" w:header="0"/>
        </w:sectPr>
      </w:pP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 LETTERMAN DRIVE</w:t>
      </w:r>
    </w:p>
    <w:p>
      <w:pPr>
        <w:sectPr>
          <w:pgSz w:w="11900" w:h="16838" w:orient="portrait"/>
          <w:cols w:equalWidth="0" w:num="1">
            <w:col w:w="9979"/>
          </w:cols>
          <w:pgMar w:left="480" w:top="110" w:right="1440" w:bottom="0" w:gutter="0" w:footer="0" w:header="0"/>
          <w:type w:val="continuous"/>
        </w:sectPr>
      </w:pPr>
    </w:p>
    <w:bookmarkStart w:id="2" w:name="page3"/>
    <w:bookmarkEnd w:id="2"/>
    <w:p>
      <w:pPr>
        <w:ind w:left="100"/>
        <w:spacing w:after="0"/>
        <w:rPr>
          <w:sz w:val="20"/>
          <w:szCs w:val="20"/>
          <w:color w:val="auto"/>
        </w:rPr>
      </w:pPr>
      <w:r>
        <w:rPr>
          <w:rFonts w:ascii="Times New Roman" w:cs="Times New Roman" w:eastAsia="Times New Roman" w:hAnsi="Times New Roman"/>
          <w:sz w:val="17"/>
          <w:szCs w:val="17"/>
          <w:color w:val="0000FF"/>
        </w:rPr>
        <w:t>BUILDING D, SUITE DM-900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8770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2809240" cy="8770620"/>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53">
              <w:r>
                <w:rPr>
                  <w:rFonts w:ascii="Times New Roman" w:cs="Times New Roman" w:eastAsia="Times New Roman" w:hAnsi="Times New Roman"/>
                  <w:sz w:val="21"/>
                  <w:szCs w:val="21"/>
                  <w:color w:val="0000EE"/>
                </w:rPr>
                <w:t>Column Group IV GP,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54">
              <w:r>
                <w:rPr>
                  <w:rFonts w:ascii="Times New Roman" w:cs="Times New Roman" w:eastAsia="Times New Roman" w:hAnsi="Times New Roman"/>
                  <w:sz w:val="21"/>
                  <w:szCs w:val="21"/>
                  <w:color w:val="0000EE"/>
                </w:rPr>
                <w:t>TCG IV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55">
        <w:r>
          <w:rPr>
            <w:rFonts w:ascii="Times New Roman" w:cs="Times New Roman" w:eastAsia="Times New Roman" w:hAnsi="Times New Roman"/>
            <w:sz w:val="21"/>
            <w:szCs w:val="21"/>
            <w:u w:val="single" w:color="auto"/>
            <w:color w:val="0000EE"/>
          </w:rPr>
          <w:t>Column Group Opportunity III,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20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94129</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2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56">
        <w:r>
          <w:rPr>
            <w:rFonts w:ascii="Times New Roman" w:cs="Times New Roman" w:eastAsia="Times New Roman" w:hAnsi="Times New Roman"/>
            <w:sz w:val="21"/>
            <w:szCs w:val="21"/>
            <w:u w:val="single" w:color="auto"/>
            <w:color w:val="0000EE"/>
          </w:rPr>
          <w:t>Column Group Opportunity III GP,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20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94129</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2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6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$4.995 to $5.00,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"TCG Managing Members").</w:t>
      </w:r>
    </w:p>
    <w:p>
      <w:pPr>
        <w:spacing w:after="0" w:line="178" w:lineRule="exact"/>
        <w:rPr>
          <w:rFonts w:ascii="Times New Roman" w:cs="Times New Roman" w:eastAsia="Times New Roman" w:hAnsi="Times New Roman"/>
          <w:sz w:val="13"/>
          <w:szCs w:val="13"/>
          <w:color w:val="008000"/>
        </w:rPr>
      </w:pPr>
    </w:p>
    <w:p>
      <w:pPr>
        <w:ind w:left="20" w:right="40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The TCG Managing Members may be deemed to share voting, investment and dispositive power with respect to such securities. TCG Opportunity III GP LP, TCG Opportunity III GP LLC and each of the TCG Managing Members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20" w:right="6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investment and dispositive power with respect to these securities. TCG IV GP LLC ("TCG IV LLC") is the general partner of TCG IV GP LP and the ultimate general partner of TCG IV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ectPr>
          <w:pgSz w:w="11900" w:h="16838" w:orient="portrait"/>
          <w:cols w:equalWidth="0" w:num="1">
            <w:col w:w="10820"/>
          </w:cols>
          <w:pgMar w:left="480" w:top="125" w:right="599" w:bottom="0" w:gutter="0" w:footer="0" w:header="0"/>
        </w:sectPr>
      </w:pPr>
    </w:p>
    <w:bookmarkStart w:id="3" w:name="page4"/>
    <w:bookmarkEnd w:id="3"/>
    <w:p>
      <w:pPr>
        <w:ind w:right="100" w:firstLine="7"/>
        <w:spacing w:after="0" w:line="244"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TCG IV GP LP is the general partner of TCG IV-A LP and may be deemed to have voting, investment and dispositive power with respect to these securities. TCG IV LLC is the general partner of TCG IV GP LP and the ultimate general partner of TCG IV-A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right="20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investment and dispositive power with respect to these securities. The managing partners of TCG GP are David Goeddel, a member of the Issuer's board of directors and Peter Svennilson (collectively, the "TCG Managing Partners"). The TCG Managing Partners may be deemed to share voting, investment and dispositive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0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0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TCG II GP is the general partner of TCG II LP and may be deemed to have voting, investment and dispositive power with respect to these securities. The managing partners of TCG II GP are the TCG Managing Partners. The TCG Managing Partners may be deemed to share voting, investment and dispositive power with respect to such securities. TCG II GP and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80" w:firstLine="7"/>
        <w:spacing w:after="0" w:line="247"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investment and dispositive power with respect to these securities. The managing members of Ponoi LLC are the TCG Managing Members. The TCG Managing Members may be deemed to share voting, investment and dispositive power with respect to such securities. Ponoi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40" w:firstLine="7"/>
        <w:spacing w:after="0" w:line="247" w:lineRule="auto"/>
        <w:tabs>
          <w:tab w:leader="none" w:pos="195"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investment and dispositive power with respect to these securities. The managing members of Ponoi II LLC are the TCG Managing Members. The TCG Managing Members may be deemed to share voting, investment and dispositive power with respect to such securities. Ponoi II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60"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members of TCG GP are the TCG Managing Partners. The TCG Managing Partners may be deemed to share voting, investment and dispositive power with respect to such securities.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Members. The TCG Managing Members may be deemed to share voting, investment and dispositive power with respect to such securities. Each of the TCG Managing Members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solely by Tim Kutzkey.</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Peter Svennilson.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Due to SEC restrictions on the number of reporting persons, this is form 2 of 3.</w:t>
      </w:r>
    </w:p>
    <w:p>
      <w:pPr>
        <w:sectPr>
          <w:pgSz w:w="11900" w:h="16838" w:orient="portrait"/>
          <w:cols w:equalWidth="0" w:num="1">
            <w:col w:w="10880"/>
          </w:cols>
          <w:pgMar w:left="500" w:top="127" w:right="51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20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25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45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TCG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17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59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37592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80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660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80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337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43370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40" w:space="200"/>
            <w:col w:w="2140"/>
          </w:cols>
          <w:pgMar w:left="500" w:top="127" w:right="51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9" Type="http://schemas.openxmlformats.org/officeDocument/2006/relationships/hyperlink" Target="http://www.sec.gov/cgi-bin/browse-edgar?action=getcompany&amp;CIK=0001614627" TargetMode="External"/><Relationship Id="rId20" Type="http://schemas.openxmlformats.org/officeDocument/2006/relationships/hyperlink" Target="http://www.sec.gov/cgi-bin/browse-edgar?action=getcompany&amp;CIK=0001668159" TargetMode="External"/><Relationship Id="rId21" Type="http://schemas.openxmlformats.org/officeDocument/2006/relationships/hyperlink" Target="http://www.sec.gov/cgi-bin/browse-edgar?action=getcompany&amp;CIK=0001668085" TargetMode="External"/><Relationship Id="rId22" Type="http://schemas.openxmlformats.org/officeDocument/2006/relationships/hyperlink" Target="http://www.sec.gov/cgi-bin/browse-edgar?action=getcompany&amp;CIK=0001796354" TargetMode="External"/><Relationship Id="rId23" Type="http://schemas.openxmlformats.org/officeDocument/2006/relationships/hyperlink" Target="http://www.sec.gov/cgi-bin/browse-edgar?action=getcompany&amp;CIK=0001796353" TargetMode="External"/><Relationship Id="rId53" Type="http://schemas.openxmlformats.org/officeDocument/2006/relationships/hyperlink" Target="http://www.sec.gov/cgi-bin/browse-edgar?action=getcompany&amp;CIK=0001796356" TargetMode="External"/><Relationship Id="rId54" Type="http://schemas.openxmlformats.org/officeDocument/2006/relationships/hyperlink" Target="http://www.sec.gov/cgi-bin/browse-edgar?action=getcompany&amp;CIK=0001796359" TargetMode="External"/><Relationship Id="rId55" Type="http://schemas.openxmlformats.org/officeDocument/2006/relationships/hyperlink" Target="http://www.sec.gov/cgi-bin/browse-edgar?action=getcompany&amp;CIK=0001931825" TargetMode="External"/><Relationship Id="rId56" Type="http://schemas.openxmlformats.org/officeDocument/2006/relationships/hyperlink" Target="http://www.sec.gov/cgi-bin/browse-edgar?action=getcompany&amp;CIK=00019328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2023-01-25T15:40:08Z</dcterms:created>
  <dcterms:modified xsi:type="dcterms:W3CDTF">2023-01-25T15:40:08Z</dcterms:modified>
</cp:coreProperties>
</file>