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tcBorders>
              <w:top w:val="single" w:sz="8" w:color="2C2C2C"/>
              <w:bottom w:val="single" w:sz="8" w:color="2C2C2C"/>
            </w:tcBorders>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vMerge w:val="continue"/>
          </w:tcPr>
          <w:p>
            <w:pPr>
              <w:spacing w:after="0" w:line="20" w:lineRule="exact"/>
              <w:rPr>
                <w:sz w:val="1"/>
                <w:szCs w:val="1"/>
                <w:color w:val="auto"/>
              </w:rPr>
            </w:pPr>
          </w:p>
        </w:tc>
        <w:tc>
          <w:tcPr>
            <w:tcW w:w="3840" w:type="dxa"/>
            <w:vAlign w:val="bottom"/>
            <w:gridSpan w:val="9"/>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3840" w:type="dxa"/>
            <w:vAlign w:val="bottom"/>
            <w:gridSpan w:val="9"/>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4"/>
            <w:vMerge w:val="restart"/>
          </w:tcPr>
          <w:p>
            <w:pPr>
              <w:ind w:left="50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gridSpan w:val="6"/>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8"/>
                <w:szCs w:val="18"/>
                <w:color w:val="0000FF"/>
              </w:rPr>
              <w:t>X</w:t>
            </w:r>
          </w:p>
        </w:tc>
        <w:tc>
          <w:tcPr>
            <w:tcW w:w="3000" w:type="dxa"/>
            <w:vAlign w:val="bottom"/>
            <w:gridSpan w:val="6"/>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0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19"/>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 (D)</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 (I)</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10/09/2019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17,724</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10.26</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17,724</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10/10/2019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17,724</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10.5</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35,448</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8"/>
                <w:szCs w:val="18"/>
                <w:color w:val="0000FF"/>
              </w:rPr>
              <w:t>10/11/2019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17,724</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10.57</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53,172</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5"/>
              </w:rPr>
              <w:t>16,166,907</w:t>
            </w:r>
            <w:r>
              <w:rPr>
                <w:rFonts w:ascii="Arial" w:cs="Arial" w:eastAsia="Arial" w:hAnsi="Arial"/>
                <w:sz w:val="22"/>
                <w:szCs w:val="22"/>
                <w:color w:val="008000"/>
                <w:w w:val="85"/>
                <w:vertAlign w:val="superscript"/>
              </w:rPr>
              <w:t>(4)</w:t>
            </w:r>
          </w:p>
        </w:tc>
        <w:tc>
          <w:tcPr>
            <w:tcW w:w="1080" w:type="dxa"/>
            <w:vAlign w:val="bottom"/>
            <w:tcBorders>
              <w:bottom w:val="single" w:sz="8" w:color="2C2C2C"/>
            </w:tcBorders>
            <w:gridSpan w:val="2"/>
          </w:tcPr>
          <w:p>
            <w:pPr>
              <w:ind w:left="40"/>
              <w:spacing w:after="0" w:line="324" w:lineRule="exact"/>
              <w:rPr>
                <w:sz w:val="20"/>
                <w:szCs w:val="20"/>
                <w:color w:val="auto"/>
              </w:rPr>
            </w:pPr>
            <w:r>
              <w:rPr>
                <w:rFonts w:ascii="Arial" w:cs="Arial" w:eastAsia="Arial" w:hAnsi="Arial"/>
                <w:sz w:val="35"/>
                <w:szCs w:val="35"/>
                <w:color w:val="0000FF"/>
                <w:w w:val="98"/>
                <w:vertAlign w:val="subscript"/>
              </w:rPr>
              <w:t>D</w:t>
            </w:r>
            <w:r>
              <w:rPr>
                <w:rFonts w:ascii="Arial" w:cs="Arial" w:eastAsia="Arial" w:hAnsi="Arial"/>
                <w:sz w:val="11"/>
                <w:szCs w:val="11"/>
                <w:color w:val="008000"/>
                <w:w w:val="98"/>
              </w:rPr>
              <w:t>(5)(6)(7)(8)(9)(10)</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87"/>
              </w:rPr>
              <w:t>15,000</w:t>
            </w: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60" w:type="dxa"/>
            <w:vAlign w:val="bottom"/>
            <w:gridSpan w:val="13"/>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gridSpan w:val="3"/>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COLUMN GROUP III-A,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60" w:type="dxa"/>
            <w:vAlign w:val="bottom"/>
            <w:gridSpan w:val="4"/>
          </w:tcPr>
          <w:p>
            <w:pPr>
              <w:ind w:left="60"/>
              <w:spacing w:after="0"/>
              <w:rPr>
                <w:sz w:val="20"/>
                <w:szCs w:val="20"/>
                <w:color w:val="auto"/>
              </w:rPr>
            </w:pPr>
            <w:r>
              <w:rPr>
                <w:rFonts w:ascii="Arial" w:cs="Arial" w:eastAsia="Arial" w:hAnsi="Arial"/>
                <w:sz w:val="14"/>
                <w:szCs w:val="14"/>
                <w:color w:val="auto"/>
                <w:w w:val="99"/>
              </w:rPr>
              <w:t>1. Name and Address of Reporting Person</w:t>
            </w:r>
            <w:r>
              <w:rPr>
                <w:rFonts w:ascii="Arial" w:cs="Arial" w:eastAsia="Arial" w:hAnsi="Arial"/>
                <w:sz w:val="22"/>
                <w:szCs w:val="22"/>
                <w:color w:val="auto"/>
                <w:w w:val="99"/>
                <w:vertAlign w:val="superscript"/>
              </w:rPr>
              <w:t>*</w:t>
            </w: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6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COLUMN GROUP III GP, LP</w:t>
              </w:r>
            </w:hyperlink>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680" w:type="dxa"/>
            <w:vAlign w:val="bottom"/>
          </w:tcPr>
          <w:p>
            <w:pPr>
              <w:ind w:left="2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780" w:type="dxa"/>
            <w:vAlign w:val="bottom"/>
            <w:gridSpan w:val="2"/>
          </w:tcPr>
          <w:p>
            <w:pPr>
              <w:ind w:left="2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80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3803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8,324 shares of Common Stock held directly by The Column Group III, LP ("TCG III LP") and 9,400 shares of Common Stock held directly by The Column Group III-A, LP ("TCG III-A LP").</w:t>
      </w:r>
    </w:p>
    <w:p>
      <w:pPr>
        <w:spacing w:after="0" w:line="64" w:lineRule="exact"/>
        <w:rPr>
          <w:rFonts w:ascii="Arial" w:cs="Arial" w:eastAsia="Arial" w:hAnsi="Arial"/>
          <w:sz w:val="12"/>
          <w:szCs w:val="12"/>
          <w:color w:val="008000"/>
        </w:rPr>
      </w:pPr>
    </w:p>
    <w:p>
      <w:pPr>
        <w:ind w:left="20" w:right="1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 w:lineRule="exact"/>
        <w:rPr>
          <w:rFonts w:ascii="Arial" w:cs="Arial" w:eastAsia="Arial" w:hAnsi="Arial"/>
          <w:sz w:val="12"/>
          <w:szCs w:val="12"/>
          <w:color w:val="008000"/>
        </w:rPr>
      </w:pP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4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Ponoi LP. The managing partners of Ponoi LP are David Goeddel, Peter Svennilson and Tim Kutzkey. The managing partners of Ponoi LP may be deemed to have voting and investment power with respect to such shares. Each individual managing partner disclaims beneficial ownership of these shares, except to the extent of his pecuniary interest in such shares.</w:t>
      </w:r>
    </w:p>
    <w:p>
      <w:pPr>
        <w:jc w:val="both"/>
        <w:ind w:left="20" w:right="24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directly held by Ponoi II LP. The managing partners of Ponoi II LP are David Goeddel, Peter Svennilson and Tim Kutzkey. The managing partners of Ponoi II LP may be deemed to have voting and investment power with respect to such shares. Each individual managing partner disclaims beneficial ownership of these shares, except to the extent of his pecuniary interest in such shares.</w:t>
      </w:r>
    </w:p>
    <w:p>
      <w:pPr>
        <w:ind w:left="220" w:hanging="19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owned solely by Tim Kutzkey.</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Due to SEC restrictions on the number of reporting owners, this is Form 2 of 2.</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10/11/2019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68159" TargetMode="External"/><Relationship Id="rId15" Type="http://schemas.openxmlformats.org/officeDocument/2006/relationships/hyperlink" Target="http://www.sec.gov/cgi-bin/browse-edgar?action=getcompany&amp;CIK=0001668085" TargetMode="External"/><Relationship Id="rId16" Type="http://schemas.openxmlformats.org/officeDocument/2006/relationships/hyperlink" Target="http://www.sec.gov/cgi-bin/browse-edgar?action=getcompany&amp;CIK=0001790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2019-12-24T06:54:58Z</dcterms:created>
  <dcterms:modified xsi:type="dcterms:W3CDTF">2019-12-24T06:54:58Z</dcterms:modified>
</cp:coreProperties>
</file>