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116649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t>Carlton Fleming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+1 650 843 5865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cfleming@cooley.com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1,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5"/>
          <w:szCs w:val="15"/>
          <w:color w:val="auto"/>
        </w:rPr>
        <w:t>Sasha Parikh</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Jim Rosenberg</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Dorrie Yale</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Erin Jaskot</w:t>
      </w: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NGM Biopharmaceuticals,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Amendment No. 1 to 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Filed March 25, 2019</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 No. 333-227608</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CIK No. 0001426332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1"/>
        <w:spacing w:after="0" w:line="273" w:lineRule="auto"/>
        <w:rPr>
          <w:sz w:val="20"/>
          <w:szCs w:val="20"/>
          <w:color w:val="auto"/>
        </w:rPr>
      </w:pPr>
      <w:r>
        <w:rPr>
          <w:rFonts w:ascii="Arial" w:cs="Arial" w:eastAsia="Arial" w:hAnsi="Arial"/>
          <w:sz w:val="17"/>
          <w:szCs w:val="17"/>
          <w:color w:val="auto"/>
        </w:rPr>
        <w:t>On behalf of NGM Biopharmaceuticals, Inc. (“</w:t>
      </w:r>
      <w:r>
        <w:rPr>
          <w:rFonts w:ascii="Arial" w:cs="Arial" w:eastAsia="Arial" w:hAnsi="Arial"/>
          <w:sz w:val="17"/>
          <w:szCs w:val="17"/>
          <w:b w:val="1"/>
          <w:bCs w:val="1"/>
          <w:i w:val="1"/>
          <w:iCs w:val="1"/>
          <w:color w:val="auto"/>
        </w:rPr>
        <w:t>NGM</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submitting this letter and the following information in response to a letter, dated March 29, 2019, from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with respect to the Company’s Registration Statement on Form S-1 filed with the Commission on September 28, 2018 (the “</w:t>
      </w:r>
      <w:r>
        <w:rPr>
          <w:rFonts w:ascii="Arial" w:cs="Arial" w:eastAsia="Arial" w:hAnsi="Arial"/>
          <w:sz w:val="17"/>
          <w:szCs w:val="17"/>
          <w:b w:val="1"/>
          <w:bCs w:val="1"/>
          <w:i w:val="1"/>
          <w:iCs w:val="1"/>
          <w:color w:val="auto"/>
        </w:rPr>
        <w:t>Initial Filing</w:t>
      </w:r>
      <w:r>
        <w:rPr>
          <w:rFonts w:ascii="Arial" w:cs="Arial" w:eastAsia="Arial" w:hAnsi="Arial"/>
          <w:sz w:val="17"/>
          <w:szCs w:val="17"/>
          <w:color w:val="auto"/>
        </w:rPr>
        <w:t>”) and amended on March 25, 2019 (the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and, together with the Initial Filing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We are also filing the Amendment No. 2 to Registration Statement on Form S-1 (the “</w:t>
      </w:r>
      <w:r>
        <w:rPr>
          <w:rFonts w:ascii="Arial" w:cs="Arial" w:eastAsia="Arial" w:hAnsi="Arial"/>
          <w:sz w:val="17"/>
          <w:szCs w:val="17"/>
          <w:b w:val="1"/>
          <w:bCs w:val="1"/>
          <w:i w:val="1"/>
          <w:iCs w:val="1"/>
          <w:color w:val="auto"/>
        </w:rPr>
        <w:t>Amendment No. 2</w:t>
      </w:r>
      <w:r>
        <w:rPr>
          <w:rFonts w:ascii="Arial" w:cs="Arial" w:eastAsia="Arial" w:hAnsi="Arial"/>
          <w:sz w:val="17"/>
          <w:szCs w:val="17"/>
          <w:color w:val="auto"/>
        </w:rPr>
        <w:t>”). We are also sending a copy of this letter and the Amendment No. 2 in typeset format, including a version that is marked to show changes to the Registration Statement, to the Staff.</w:t>
      </w:r>
    </w:p>
    <w:p>
      <w:pPr>
        <w:spacing w:after="0" w:line="178" w:lineRule="exact"/>
        <w:rPr>
          <w:sz w:val="24"/>
          <w:szCs w:val="24"/>
          <w:color w:val="auto"/>
        </w:rPr>
      </w:pPr>
    </w:p>
    <w:p>
      <w:pPr>
        <w:ind w:firstLine="441"/>
        <w:spacing w:after="0" w:line="259" w:lineRule="auto"/>
        <w:rPr>
          <w:sz w:val="20"/>
          <w:szCs w:val="20"/>
          <w:color w:val="auto"/>
        </w:rPr>
      </w:pPr>
      <w:r>
        <w:rPr>
          <w:rFonts w:ascii="Arial" w:cs="Arial" w:eastAsia="Arial" w:hAnsi="Arial"/>
          <w:sz w:val="18"/>
          <w:szCs w:val="18"/>
          <w:color w:val="auto"/>
        </w:rPr>
        <w:t>The numbering of the paragraph below corresponds to the numbering of the comment in the letter from the Staff. For the Staff’s convenience, we have incorporated your comment into this response letter in italics. The page reference in the text of this response letter corresponds to the page number in the Amendment No. 2. Capitalized terms used in this letter but otherwise not defined herein shall have the meanings ascribed to such terms in the Amendment No. 2.</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Amendment No. 1 filed March 25,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Business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NGM313 Phase 1b Early Proof-of-Concept Clinical Trial, page 124</w:t>
      </w:r>
    </w:p>
    <w:p>
      <w:pPr>
        <w:spacing w:after="0" w:line="131" w:lineRule="exact"/>
        <w:rPr>
          <w:sz w:val="24"/>
          <w:szCs w:val="24"/>
          <w:color w:val="auto"/>
        </w:rPr>
      </w:pPr>
    </w:p>
    <w:p>
      <w:pPr>
        <w:ind w:left="440" w:right="20" w:hanging="436"/>
        <w:spacing w:after="0" w:line="259" w:lineRule="auto"/>
        <w:tabs>
          <w:tab w:leader="none" w:pos="4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Your revised disclosures in this section refer to preliminary results for this early proof-of-concept trial, and also state that the study indicated that NGM313 is “safe.” As previously stated in comment 14 of our prior comment letter dated September 7, 2018, safety determinations are solely within the authority of the FDA and comparable regulatory authorities. Accordingly, please revise your prospectus disclosure to remove the statement that your product candidate is safe.</w:t>
      </w:r>
    </w:p>
    <w:p>
      <w:pPr>
        <w:spacing w:after="0" w:line="115" w:lineRule="exact"/>
        <w:rPr>
          <w:sz w:val="24"/>
          <w:szCs w:val="24"/>
          <w:color w:val="auto"/>
        </w:rPr>
      </w:pPr>
    </w:p>
    <w:p>
      <w:pPr>
        <w:jc w:val="center"/>
        <w:ind w:right="-79"/>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jc w:val="center"/>
        <w:ind w:right="-79"/>
        <w:spacing w:after="0"/>
        <w:tabs>
          <w:tab w:leader="none" w:pos="12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0940"/>
          </w:cols>
          <w:pgMar w:left="440" w:top="1044"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16649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the disclosure on page 125 of the Amendment No. 2.</w:t>
      </w:r>
    </w:p>
    <w:p>
      <w:pPr>
        <w:spacing w:after="0" w:line="229" w:lineRule="exact"/>
        <w:rPr>
          <w:sz w:val="20"/>
          <w:szCs w:val="20"/>
          <w:color w:val="auto"/>
        </w:rPr>
      </w:pPr>
    </w:p>
    <w:p>
      <w:pPr>
        <w:ind w:left="4820"/>
        <w:spacing w:after="0"/>
        <w:tabs>
          <w:tab w:leader="none" w:pos="542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contact me at (650) 843-5865, Kenneth Guernsey of Cooley LLP at (415) 693-2091 or Michael Tenta of Cooley LLP at (650) 843-5636 with any questions or further comments regarding our responses to the Staff’s comments.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Carlton Fleming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Carlton Fleming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38" w:lineRule="exact"/>
        <w:rPr>
          <w:sz w:val="20"/>
          <w:szCs w:val="20"/>
          <w:color w:val="auto"/>
        </w:rPr>
      </w:pPr>
    </w:p>
    <w:p>
      <w:pPr>
        <w:ind w:left="440" w:right="6340" w:hanging="436"/>
        <w:spacing w:after="0" w:line="274" w:lineRule="auto"/>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David Woodhouse, Ph.D., NGM Biopharmaceuticals, Inc. Kenneth Guernsey, Cooley LLP</w:t>
      </w:r>
    </w:p>
    <w:p>
      <w:pPr>
        <w:ind w:left="440"/>
        <w:spacing w:after="0"/>
        <w:rPr>
          <w:rFonts w:ascii="Arial" w:cs="Arial" w:eastAsia="Arial" w:hAnsi="Arial"/>
          <w:sz w:val="17"/>
          <w:szCs w:val="17"/>
          <w:color w:val="auto"/>
        </w:rPr>
      </w:pPr>
      <w:r>
        <w:rPr>
          <w:rFonts w:ascii="Arial" w:cs="Arial" w:eastAsia="Arial" w:hAnsi="Arial"/>
          <w:sz w:val="18"/>
          <w:szCs w:val="18"/>
          <w:color w:val="auto"/>
        </w:rPr>
        <w:t>Michael Tenta, Cooley LLP</w:t>
      </w:r>
    </w:p>
    <w:p>
      <w:pPr>
        <w:spacing w:after="0" w:line="9" w:lineRule="exact"/>
        <w:rPr>
          <w:rFonts w:ascii="Arial" w:cs="Arial" w:eastAsia="Arial" w:hAnsi="Arial"/>
          <w:sz w:val="17"/>
          <w:szCs w:val="17"/>
          <w:color w:val="auto"/>
        </w:rPr>
      </w:pPr>
    </w:p>
    <w:p>
      <w:pPr>
        <w:jc w:val="both"/>
        <w:ind w:left="440" w:right="7420"/>
        <w:spacing w:after="0" w:line="323" w:lineRule="auto"/>
        <w:rPr>
          <w:rFonts w:ascii="Arial" w:cs="Arial" w:eastAsia="Arial" w:hAnsi="Arial"/>
          <w:sz w:val="17"/>
          <w:szCs w:val="17"/>
          <w:color w:val="auto"/>
        </w:rPr>
      </w:pPr>
      <w:r>
        <w:rPr>
          <w:rFonts w:ascii="Arial" w:cs="Arial" w:eastAsia="Arial" w:hAnsi="Arial"/>
          <w:sz w:val="16"/>
          <w:szCs w:val="16"/>
          <w:color w:val="auto"/>
        </w:rPr>
        <w:t>Bruce Dallas, Davis Polk &amp; Wardwell LLP Sarah Solum, Davis Polk &amp; Wardwell LLP</w:t>
      </w:r>
    </w:p>
    <w:p>
      <w:pPr>
        <w:spacing w:after="0" w:line="66" w:lineRule="exact"/>
        <w:rPr>
          <w:sz w:val="20"/>
          <w:szCs w:val="20"/>
          <w:color w:val="auto"/>
        </w:rPr>
      </w:pPr>
    </w:p>
    <w:p>
      <w:pPr>
        <w:jc w:val="center"/>
        <w:ind w:right="-59"/>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jc w:val="center"/>
        <w:ind w:right="-59"/>
        <w:spacing w:after="0"/>
        <w:tabs>
          <w:tab w:leader="none" w:pos="12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sectPr>
      <w:pgSz w:w="11900" w:h="16838" w:orient="portrait"/>
      <w:cols w:equalWidth="0" w:num="1">
        <w:col w:w="10960"/>
      </w:cols>
      <w:pgMar w:left="440" w:top="108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2019-12-21T01:08:32Z</dcterms:created>
  <dcterms:modified xsi:type="dcterms:W3CDTF">2019-12-21T01:08:32Z</dcterms:modified>
</cp:coreProperties>
</file>